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5D28FC">
      <w:pPr>
        <w:widowControl/>
        <w:jc w:val="left"/>
        <w:rPr>
          <w:rFonts w:ascii="宋体" w:hAnsi="宋体" w:eastAsia="宋体"/>
          <w:sz w:val="30"/>
          <w:highlight w:val="none"/>
        </w:rPr>
      </w:pPr>
    </w:p>
    <w:p w14:paraId="1FAEA51B">
      <w:pPr>
        <w:widowControl/>
        <w:jc w:val="left"/>
        <w:rPr>
          <w:rFonts w:ascii="宋体" w:hAnsi="宋体" w:eastAsia="宋体"/>
          <w:sz w:val="30"/>
          <w:highlight w:val="none"/>
        </w:rPr>
      </w:pPr>
    </w:p>
    <w:p w14:paraId="7F91AE30">
      <w:pPr>
        <w:widowControl/>
        <w:jc w:val="left"/>
        <w:rPr>
          <w:rFonts w:ascii="宋体" w:hAnsi="宋体" w:eastAsia="宋体"/>
          <w:sz w:val="30"/>
          <w:highlight w:val="none"/>
        </w:rPr>
      </w:pPr>
    </w:p>
    <w:p w14:paraId="65A9A1FF">
      <w:pPr>
        <w:widowControl/>
        <w:jc w:val="left"/>
        <w:rPr>
          <w:rFonts w:ascii="宋体" w:hAnsi="宋体" w:eastAsia="宋体"/>
          <w:sz w:val="30"/>
          <w:highlight w:val="none"/>
        </w:rPr>
      </w:pPr>
    </w:p>
    <w:p w14:paraId="10B65A6E">
      <w:pPr>
        <w:widowControl/>
        <w:spacing w:line="800" w:lineRule="exact"/>
        <w:jc w:val="center"/>
        <w:rPr>
          <w:rFonts w:ascii="宋体" w:hAnsi="宋体" w:eastAsia="宋体"/>
          <w:b/>
          <w:sz w:val="52"/>
          <w:highlight w:val="none"/>
        </w:rPr>
      </w:pPr>
      <w:r>
        <w:rPr>
          <w:rFonts w:hint="eastAsia" w:ascii="宋体" w:hAnsi="宋体" w:eastAsia="宋体"/>
          <w:b/>
          <w:sz w:val="52"/>
          <w:highlight w:val="none"/>
        </w:rPr>
        <w:t>博时恒生港股通</w:t>
      </w:r>
      <w:r>
        <w:rPr>
          <w:rFonts w:hint="eastAsia" w:ascii="宋体" w:hAnsi="宋体" w:eastAsia="宋体"/>
          <w:b/>
          <w:sz w:val="52"/>
          <w:highlight w:val="none"/>
          <w:lang w:eastAsia="zh-CN"/>
        </w:rPr>
        <w:t>红利</w:t>
      </w:r>
      <w:r>
        <w:rPr>
          <w:rFonts w:hint="eastAsia" w:ascii="宋体" w:hAnsi="宋体" w:eastAsia="宋体"/>
          <w:b/>
          <w:sz w:val="52"/>
          <w:highlight w:val="none"/>
        </w:rPr>
        <w:t>交易型开放式指数证券投资基金</w:t>
      </w:r>
    </w:p>
    <w:p w14:paraId="4C5490FE">
      <w:pPr>
        <w:widowControl/>
        <w:spacing w:line="800" w:lineRule="exact"/>
        <w:jc w:val="center"/>
        <w:rPr>
          <w:rFonts w:ascii="宋体" w:hAnsi="宋体" w:eastAsia="宋体"/>
          <w:b/>
          <w:sz w:val="52"/>
          <w:highlight w:val="none"/>
        </w:rPr>
      </w:pPr>
      <w:r>
        <w:rPr>
          <w:rFonts w:hint="eastAsia" w:ascii="宋体" w:hAnsi="宋体" w:eastAsia="宋体"/>
          <w:b/>
          <w:sz w:val="52"/>
          <w:highlight w:val="none"/>
        </w:rPr>
        <w:t>更新招募说明书</w:t>
      </w:r>
    </w:p>
    <w:p w14:paraId="2C1B9A30">
      <w:pPr>
        <w:widowControl/>
        <w:spacing w:line="800" w:lineRule="exact"/>
        <w:jc w:val="center"/>
        <w:rPr>
          <w:rFonts w:ascii="宋体" w:hAnsi="宋体" w:eastAsia="宋体"/>
          <w:b/>
          <w:sz w:val="52"/>
          <w:highlight w:val="none"/>
        </w:rPr>
      </w:pPr>
    </w:p>
    <w:p w14:paraId="79599026">
      <w:pPr>
        <w:widowControl/>
        <w:spacing w:line="800" w:lineRule="exact"/>
        <w:jc w:val="center"/>
        <w:rPr>
          <w:rFonts w:ascii="宋体" w:hAnsi="宋体" w:eastAsia="宋体"/>
          <w:b/>
          <w:sz w:val="52"/>
          <w:highlight w:val="none"/>
        </w:rPr>
      </w:pPr>
    </w:p>
    <w:p w14:paraId="1DE01FD7">
      <w:pPr>
        <w:widowControl/>
        <w:spacing w:line="800" w:lineRule="exact"/>
        <w:jc w:val="center"/>
        <w:rPr>
          <w:rFonts w:ascii="宋体" w:hAnsi="宋体" w:eastAsia="宋体"/>
          <w:b/>
          <w:sz w:val="52"/>
          <w:highlight w:val="none"/>
        </w:rPr>
      </w:pPr>
    </w:p>
    <w:p w14:paraId="7BA3CE59">
      <w:pPr>
        <w:widowControl/>
        <w:spacing w:line="800" w:lineRule="exact"/>
        <w:jc w:val="center"/>
        <w:rPr>
          <w:rFonts w:ascii="宋体" w:hAnsi="宋体" w:eastAsia="宋体"/>
          <w:b/>
          <w:sz w:val="52"/>
          <w:highlight w:val="none"/>
        </w:rPr>
      </w:pPr>
    </w:p>
    <w:p w14:paraId="6BADB392">
      <w:pPr>
        <w:widowControl/>
        <w:spacing w:line="800" w:lineRule="exact"/>
        <w:jc w:val="center"/>
        <w:rPr>
          <w:rFonts w:ascii="宋体" w:hAnsi="宋体" w:eastAsia="宋体"/>
          <w:b/>
          <w:sz w:val="52"/>
          <w:highlight w:val="none"/>
        </w:rPr>
      </w:pPr>
    </w:p>
    <w:p w14:paraId="577CDF33">
      <w:pPr>
        <w:widowControl/>
        <w:spacing w:line="800" w:lineRule="exact"/>
        <w:jc w:val="center"/>
        <w:rPr>
          <w:rFonts w:ascii="宋体" w:hAnsi="宋体" w:eastAsia="宋体"/>
          <w:b/>
          <w:sz w:val="52"/>
          <w:highlight w:val="none"/>
        </w:rPr>
      </w:pPr>
    </w:p>
    <w:p w14:paraId="2C6428F4">
      <w:pPr>
        <w:widowControl/>
        <w:spacing w:line="800" w:lineRule="exact"/>
        <w:jc w:val="center"/>
        <w:rPr>
          <w:rFonts w:ascii="宋体" w:hAnsi="宋体" w:eastAsia="宋体"/>
          <w:b/>
          <w:sz w:val="52"/>
          <w:highlight w:val="none"/>
        </w:rPr>
      </w:pPr>
    </w:p>
    <w:p w14:paraId="46FE52D4">
      <w:pPr>
        <w:widowControl/>
        <w:spacing w:line="800" w:lineRule="exact"/>
        <w:jc w:val="center"/>
        <w:rPr>
          <w:rFonts w:ascii="宋体" w:hAnsi="宋体" w:eastAsia="宋体"/>
          <w:b/>
          <w:sz w:val="52"/>
          <w:highlight w:val="none"/>
        </w:rPr>
      </w:pPr>
    </w:p>
    <w:p w14:paraId="6B1FCB52">
      <w:pPr>
        <w:widowControl/>
        <w:spacing w:line="800" w:lineRule="exact"/>
        <w:jc w:val="center"/>
        <w:rPr>
          <w:rFonts w:ascii="宋体" w:hAnsi="宋体" w:eastAsia="宋体"/>
          <w:b/>
          <w:sz w:val="30"/>
          <w:highlight w:val="none"/>
        </w:rPr>
      </w:pPr>
      <w:r>
        <w:rPr>
          <w:rFonts w:hint="eastAsia" w:ascii="宋体" w:hAnsi="宋体" w:eastAsia="宋体"/>
          <w:b/>
          <w:sz w:val="30"/>
          <w:highlight w:val="none"/>
        </w:rPr>
        <w:t>基金管理人</w:t>
      </w:r>
      <w:r>
        <w:rPr>
          <w:rFonts w:ascii="宋体" w:hAnsi="宋体" w:eastAsia="宋体"/>
          <w:b/>
          <w:sz w:val="30"/>
          <w:highlight w:val="none"/>
        </w:rPr>
        <w:t>: 博时基金管理有限公司</w:t>
      </w:r>
    </w:p>
    <w:p w14:paraId="17148D6B">
      <w:pPr>
        <w:widowControl/>
        <w:spacing w:line="800" w:lineRule="exact"/>
        <w:jc w:val="center"/>
        <w:rPr>
          <w:rFonts w:ascii="宋体" w:hAnsi="宋体" w:eastAsia="宋体" w:cstheme="majorBidi"/>
          <w:b/>
          <w:bCs/>
          <w:sz w:val="30"/>
          <w:szCs w:val="32"/>
          <w:highlight w:val="none"/>
        </w:rPr>
      </w:pPr>
      <w:r>
        <w:rPr>
          <w:rFonts w:hint="eastAsia" w:ascii="宋体" w:hAnsi="宋体" w:eastAsia="宋体"/>
          <w:b/>
          <w:sz w:val="30"/>
          <w:highlight w:val="none"/>
        </w:rPr>
        <w:t>基金托管人</w:t>
      </w:r>
      <w:r>
        <w:rPr>
          <w:rFonts w:ascii="宋体" w:hAnsi="宋体" w:eastAsia="宋体"/>
          <w:b/>
          <w:sz w:val="30"/>
          <w:highlight w:val="none"/>
        </w:rPr>
        <w:t>: 中国国际金融股份有限公司</w:t>
      </w:r>
      <w:r>
        <w:rPr>
          <w:rFonts w:ascii="宋体" w:hAnsi="宋体" w:eastAsia="宋体"/>
          <w:b/>
          <w:sz w:val="30"/>
          <w:highlight w:val="none"/>
        </w:rPr>
        <w:br w:type="page"/>
      </w:r>
    </w:p>
    <w:p w14:paraId="76F13FD7">
      <w:pPr>
        <w:pStyle w:val="2"/>
        <w:jc w:val="center"/>
        <w:rPr>
          <w:rFonts w:ascii="宋体" w:hAnsi="宋体" w:eastAsia="宋体"/>
          <w:sz w:val="30"/>
          <w:highlight w:val="none"/>
        </w:rPr>
      </w:pPr>
      <w:bookmarkStart w:id="0" w:name="_Toc207933741"/>
      <w:r>
        <w:rPr>
          <w:rFonts w:hint="eastAsia" w:ascii="宋体" w:hAnsi="宋体" w:eastAsia="宋体"/>
          <w:sz w:val="30"/>
          <w:highlight w:val="none"/>
        </w:rPr>
        <w:t>【重要提示】</w:t>
      </w:r>
      <w:bookmarkEnd w:id="0"/>
    </w:p>
    <w:p w14:paraId="32E218F2">
      <w:pPr>
        <w:pStyle w:val="8"/>
        <w:spacing w:before="0" w:beforeAutospacing="0" w:after="0" w:afterAutospacing="0" w:line="360" w:lineRule="auto"/>
        <w:ind w:firstLine="420"/>
        <w:rPr>
          <w:sz w:val="21"/>
          <w:szCs w:val="21"/>
          <w:highlight w:val="none"/>
        </w:rPr>
      </w:pPr>
      <w:r>
        <w:rPr>
          <w:rFonts w:hint="eastAsia"/>
          <w:sz w:val="21"/>
          <w:szCs w:val="21"/>
          <w:highlight w:val="none"/>
        </w:rPr>
        <w:t>1、</w:t>
      </w:r>
      <w:bookmarkStart w:id="1" w:name="field_0_productfullname_1"/>
      <w:r>
        <w:rPr>
          <w:rFonts w:hint="eastAsia"/>
          <w:sz w:val="21"/>
          <w:szCs w:val="21"/>
          <w:highlight w:val="none"/>
        </w:rPr>
        <w:t>博时恒生港股通红利交易型开放式指数证券投资基金由博时恒生港股通高股息率交易型开放式指数证券投资基金更名而来。博时恒生港股通高股息率交易型开放式指数证券投资基金</w:t>
      </w:r>
      <w:bookmarkEnd w:id="1"/>
      <w:r>
        <w:rPr>
          <w:rFonts w:hint="eastAsia"/>
          <w:sz w:val="21"/>
          <w:szCs w:val="21"/>
          <w:highlight w:val="none"/>
        </w:rPr>
        <w:t>根据</w:t>
      </w:r>
      <w:bookmarkStart w:id="2" w:name="field_2343_approveddate_1"/>
      <w:r>
        <w:rPr>
          <w:sz w:val="21"/>
          <w:szCs w:val="21"/>
          <w:highlight w:val="none"/>
        </w:rPr>
        <w:t>2021年2月3日</w:t>
      </w:r>
      <w:bookmarkEnd w:id="2"/>
      <w:r>
        <w:rPr>
          <w:rFonts w:hint="eastAsia"/>
          <w:sz w:val="21"/>
          <w:szCs w:val="21"/>
          <w:highlight w:val="none"/>
        </w:rPr>
        <w:t>中国证券监督管理委员会《关于准予</w:t>
      </w:r>
      <w:bookmarkStart w:id="3" w:name="field_0_productfullname_2"/>
      <w:r>
        <w:rPr>
          <w:rFonts w:hint="eastAsia"/>
          <w:sz w:val="21"/>
          <w:szCs w:val="21"/>
          <w:highlight w:val="none"/>
        </w:rPr>
        <w:t>博时恒生港股通高股息率交易型开放式指数证券投资基金</w:t>
      </w:r>
      <w:bookmarkEnd w:id="3"/>
      <w:r>
        <w:rPr>
          <w:rFonts w:hint="eastAsia"/>
          <w:sz w:val="21"/>
          <w:szCs w:val="21"/>
          <w:highlight w:val="none"/>
        </w:rPr>
        <w:t>注册的批复》（证监许可</w:t>
      </w:r>
      <w:bookmarkStart w:id="4" w:name="field_2343_lotnumber_1"/>
      <w:r>
        <w:rPr>
          <w:sz w:val="21"/>
          <w:szCs w:val="21"/>
          <w:highlight w:val="none"/>
        </w:rPr>
        <w:t>[2021]375</w:t>
      </w:r>
      <w:bookmarkEnd w:id="4"/>
      <w:r>
        <w:rPr>
          <w:rFonts w:hint="eastAsia"/>
          <w:sz w:val="21"/>
          <w:szCs w:val="21"/>
          <w:highlight w:val="none"/>
        </w:rPr>
        <w:t xml:space="preserve">号）准予注册，进行募集。 </w:t>
      </w:r>
    </w:p>
    <w:p w14:paraId="7911D8A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本基金管理人保证招募说明书的内容真实、准确、完整。本招募说明书经中国证监会注册，但中国证监会对本基金募集的注册，并不表明其对本基金的投资价值、市场前景和收益作出实质性判断或保证，也不表明投资于本基金没有风险。 </w:t>
      </w:r>
    </w:p>
    <w:p w14:paraId="4B6DB148">
      <w:pPr>
        <w:pStyle w:val="8"/>
        <w:spacing w:before="0" w:beforeAutospacing="0" w:after="0" w:afterAutospacing="0" w:line="360" w:lineRule="auto"/>
        <w:ind w:firstLine="420"/>
        <w:rPr>
          <w:sz w:val="21"/>
          <w:szCs w:val="21"/>
          <w:highlight w:val="none"/>
        </w:rPr>
      </w:pPr>
      <w:r>
        <w:rPr>
          <w:rFonts w:hint="eastAsia"/>
          <w:sz w:val="21"/>
          <w:szCs w:val="21"/>
          <w:highlight w:val="none"/>
        </w:rPr>
        <w:t>3、本基金的标的指数为恒生港股通</w:t>
      </w:r>
      <w:r>
        <w:rPr>
          <w:rFonts w:hint="eastAsia"/>
          <w:sz w:val="21"/>
          <w:szCs w:val="21"/>
          <w:highlight w:val="none"/>
          <w:lang w:eastAsia="zh-CN"/>
        </w:rPr>
        <w:t>红利</w:t>
      </w:r>
      <w:r>
        <w:rPr>
          <w:rFonts w:hint="eastAsia"/>
          <w:sz w:val="21"/>
          <w:szCs w:val="21"/>
          <w:highlight w:val="none"/>
        </w:rPr>
        <w:t xml:space="preserve">指数，编制方案如下： </w:t>
      </w:r>
    </w:p>
    <w:p w14:paraId="3E79959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（1）选样空间 </w:t>
      </w:r>
    </w:p>
    <w:p w14:paraId="17EFFD8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合资格在互联互通下交易的恒生综合指数成分股 </w:t>
      </w:r>
    </w:p>
    <w:p w14:paraId="520CDFC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（2）样本选取方法： </w:t>
      </w:r>
    </w:p>
    <w:p w14:paraId="005CE8A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1)样本空间：恒生综合指数成份股，且符合港股通资格 </w:t>
      </w:r>
    </w:p>
    <w:p w14:paraId="78EC77A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2)上市历史要求：最少一个月 </w:t>
      </w:r>
    </w:p>
    <w:p w14:paraId="6418267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3)市值要求：12个月平均市值低于50亿港元的候选证券会被剔除；市值排名最高的150只符合资格证券会被甄别遴选入围 </w:t>
      </w:r>
    </w:p>
    <w:p w14:paraId="205D724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4)流动性要求：投资类指数的换手率测试  </w:t>
      </w:r>
    </w:p>
    <w:p w14:paraId="0BBB39E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5)波动率筛选：最近一年历史波动率（即过去12个月至指数检讨截止日期间的每日对数回报之标准偏差）最高的20%证券将被剔除 </w:t>
      </w:r>
    </w:p>
    <w:p w14:paraId="4379694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7)派息要求：连续三个最近财政年度皆有现金派息记录 </w:t>
      </w:r>
    </w:p>
    <w:p w14:paraId="2A297F8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8)股价表现筛选：符合以下两个条件的证券将从指数候选名单中剔除：过去12个月股价下跌超过50%；及过去12个月股价表现在合资格候选股票中排名最差的10% </w:t>
      </w:r>
    </w:p>
    <w:p w14:paraId="5ECBD39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9)成分股挑选准则：过去三年平均净股息率排名最高的50只证券会被选为成分股 </w:t>
      </w:r>
    </w:p>
    <w:p w14:paraId="01ACA1A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有关标的指数具体编制方案及成份股信息详见恒生指数有限公司网站，网址：https://www.hsi.com.hk/。 </w:t>
      </w:r>
    </w:p>
    <w:p w14:paraId="3F708932">
      <w:pPr>
        <w:pStyle w:val="8"/>
        <w:spacing w:before="0" w:beforeAutospacing="0" w:after="0" w:afterAutospacing="0" w:line="360" w:lineRule="auto"/>
        <w:ind w:firstLine="420"/>
        <w:rPr>
          <w:sz w:val="21"/>
          <w:szCs w:val="21"/>
          <w:highlight w:val="none"/>
        </w:rPr>
      </w:pPr>
      <w:r>
        <w:rPr>
          <w:rFonts w:hint="eastAsia"/>
          <w:sz w:val="21"/>
          <w:szCs w:val="21"/>
          <w:highlight w:val="none"/>
        </w:rPr>
        <w:t>4、证券投资基金是一种长期投资工具，其主要功能是分散投资，降低投资单一证券所带来的个别风险。证券投资基金不同于银行储蓄和债券等能够提供固定收益预期的金融工具，投资人购买基金，既可能按其持有份额分享基金投资所产生的收益，也可能承担基金投资所带来的损失。本基金属于股票型基金，其预期收益及预期风险水平高于混合型基金、债券型基金与货币市场基金。本基金为被动式投资的股票型指数基金，跟踪恒生港股通</w:t>
      </w:r>
      <w:r>
        <w:rPr>
          <w:rFonts w:hint="eastAsia"/>
          <w:sz w:val="21"/>
          <w:szCs w:val="21"/>
          <w:highlight w:val="none"/>
          <w:lang w:eastAsia="zh-CN"/>
        </w:rPr>
        <w:t>红利</w:t>
      </w:r>
      <w:r>
        <w:rPr>
          <w:rFonts w:hint="eastAsia"/>
          <w:sz w:val="21"/>
          <w:szCs w:val="21"/>
          <w:highlight w:val="none"/>
        </w:rPr>
        <w:t xml:space="preserve">指数，其风险收益特征与标的指数所表征的市场组合的风险收益特征相似。 </w:t>
      </w:r>
    </w:p>
    <w:p w14:paraId="10A9389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本基金按照基金份额初始面值1.00元发售，在市场波动等因素的影响下，基金份额净值可能低于基金份额初始面值。 </w:t>
      </w:r>
    </w:p>
    <w:p w14:paraId="0EB8E64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因折算、分红等行为导致基金份额净值变化，不会改变基金的风险收益特征，不会降低基金投资风险或提高基金投资收益。本基金以1元初始面值开展基金募集或因折算、分红等行为导致基金份额净值调整至1元初始面值或1元附近，在市场波动等因素的影响下，基金投资仍有可能出现亏损或基金净值仍有可能低于初始面值。 </w:t>
      </w:r>
    </w:p>
    <w:p w14:paraId="2802B89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本基金投资于证券市场，基金净值会因为证券市场波动等因素产生波动，投资人在投资本基金前，需充分了解本基金的产品特性，充分考虑自身的风险承受能力，理性判断市场，对投资本基金的意愿、时机、数量等投资行为作出独立决策，并承担基金投资中出现的各类风险，包括市场风险、管理风险、技术风险、本基金特有风险及其他风险等，详见下文“风险揭示”章节。 </w:t>
      </w:r>
    </w:p>
    <w:p w14:paraId="6B65F5F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 </w:t>
      </w:r>
    </w:p>
    <w:p w14:paraId="52BAEBF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本基金基金资产若投资于股票期权，可能会面临价格波动风险、市场流动性风险、强制平仓风险、合约到期风险、行权失败风险、交易违约风险等。此外，行权失败和交收违约也是股票期权交易可能出现的风险，失去交易机会可能会对本基金的投资收益造成损失。 </w:t>
      </w:r>
    </w:p>
    <w:p w14:paraId="2DE287E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本基金的投资范围包括存托凭证，本基金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6E53DD1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有风险，投资者认购（或申购）基金时应仔细阅读本基金的招募说明书、基金合同及基金产品资料概要等文件，了解本基金的风险收益特征，并根据自身的投资目的、投资期限、投资经验、资产状况等判断基金是否和投资人的风险承受能力相适应。 </w:t>
      </w:r>
    </w:p>
    <w:p w14:paraId="48AF5FC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承诺以恪尽职守、诚实信用、谨慎勤勉的原则管理和运用基金资产，但不保证本基金一定盈利，也不保证最低收益。当投资人赎回时，所得会高于或低于投资人先前所支付的金额。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 </w:t>
      </w:r>
    </w:p>
    <w:p w14:paraId="7FE6DB0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投资人应当通过基金管理人或具有基金销售业务资格的其他机构购买和赎回基金，基金销售机构名单详见本基金《招募说明书》以及相关公告。 </w:t>
      </w:r>
    </w:p>
    <w:p w14:paraId="360F28D8">
      <w:pPr>
        <w:pStyle w:val="8"/>
        <w:spacing w:before="0" w:beforeAutospacing="0" w:after="0" w:afterAutospacing="0" w:line="360" w:lineRule="auto"/>
        <w:ind w:firstLine="420"/>
        <w:rPr>
          <w:sz w:val="21"/>
          <w:szCs w:val="21"/>
          <w:highlight w:val="none"/>
        </w:rPr>
      </w:pPr>
      <w:r>
        <w:rPr>
          <w:rFonts w:hint="eastAsia"/>
          <w:sz w:val="21"/>
          <w:szCs w:val="21"/>
          <w:highlight w:val="none"/>
        </w:rPr>
        <w:t>本招募说明书（更新）所载内容截止日</w:t>
      </w:r>
      <w:bookmarkStart w:id="5" w:name="field_2343_infoendday_1"/>
      <w:r>
        <w:rPr>
          <w:sz w:val="21"/>
          <w:szCs w:val="21"/>
          <w:highlight w:val="none"/>
        </w:rPr>
        <w:t>202</w:t>
      </w:r>
      <w:r>
        <w:rPr>
          <w:rFonts w:hint="eastAsia"/>
          <w:sz w:val="21"/>
          <w:szCs w:val="21"/>
          <w:highlight w:val="none"/>
          <w:lang w:val="en-US" w:eastAsia="zh-CN"/>
        </w:rPr>
        <w:t>6</w:t>
      </w:r>
      <w:r>
        <w:rPr>
          <w:sz w:val="21"/>
          <w:szCs w:val="21"/>
          <w:highlight w:val="none"/>
        </w:rPr>
        <w:t>年</w:t>
      </w:r>
      <w:r>
        <w:rPr>
          <w:rFonts w:hint="eastAsia"/>
          <w:sz w:val="21"/>
          <w:szCs w:val="21"/>
          <w:highlight w:val="none"/>
          <w:lang w:val="en-US" w:eastAsia="zh-CN"/>
        </w:rPr>
        <w:t>9</w:t>
      </w:r>
      <w:r>
        <w:rPr>
          <w:sz w:val="21"/>
          <w:szCs w:val="21"/>
          <w:highlight w:val="none"/>
        </w:rPr>
        <w:t>月</w:t>
      </w:r>
      <w:r>
        <w:rPr>
          <w:rFonts w:hint="eastAsia"/>
          <w:sz w:val="21"/>
          <w:szCs w:val="21"/>
          <w:highlight w:val="none"/>
          <w:lang w:val="en-US" w:eastAsia="zh-CN"/>
        </w:rPr>
        <w:t>1</w:t>
      </w:r>
      <w:r>
        <w:rPr>
          <w:sz w:val="21"/>
          <w:szCs w:val="21"/>
          <w:highlight w:val="none"/>
        </w:rPr>
        <w:t>1日</w:t>
      </w:r>
      <w:bookmarkEnd w:id="5"/>
      <w:r>
        <w:rPr>
          <w:rFonts w:hint="eastAsia"/>
          <w:sz w:val="21"/>
          <w:szCs w:val="21"/>
          <w:highlight w:val="none"/>
        </w:rPr>
        <w:t>，有关财务数据和净值表现截止日为</w:t>
      </w:r>
      <w:bookmarkStart w:id="6" w:name="field_2343_financeendday_1"/>
      <w:r>
        <w:rPr>
          <w:sz w:val="21"/>
          <w:szCs w:val="21"/>
          <w:highlight w:val="none"/>
        </w:rPr>
        <w:t>2025年6月30日</w:t>
      </w:r>
      <w:bookmarkEnd w:id="6"/>
      <w:r>
        <w:rPr>
          <w:rFonts w:hint="eastAsia"/>
          <w:sz w:val="21"/>
          <w:szCs w:val="21"/>
          <w:highlight w:val="none"/>
        </w:rPr>
        <w:t xml:space="preserve">（财务数据未经审计）。 </w:t>
      </w:r>
      <w:r>
        <w:rPr>
          <w:sz w:val="30"/>
          <w:highlight w:val="none"/>
        </w:rPr>
        <w:br w:type="page"/>
      </w:r>
    </w:p>
    <w:p w14:paraId="7A6BCD19">
      <w:pPr>
        <w:widowControl/>
        <w:spacing w:line="360" w:lineRule="auto"/>
        <w:ind w:left="-2" w:leftChars="-1"/>
        <w:jc w:val="center"/>
        <w:rPr>
          <w:rFonts w:ascii="宋体" w:hAnsi="宋体" w:eastAsia="宋体"/>
          <w:highlight w:val="none"/>
        </w:rPr>
      </w:pPr>
      <w:r>
        <w:rPr>
          <w:rFonts w:hint="eastAsia" w:ascii="宋体" w:hAnsi="宋体" w:eastAsia="宋体"/>
          <w:b/>
          <w:sz w:val="28"/>
          <w:highlight w:val="none"/>
        </w:rPr>
        <w:t>目录</w:t>
      </w:r>
      <w:r>
        <w:rPr>
          <w:rFonts w:ascii="宋体" w:hAnsi="宋体" w:eastAsia="宋体"/>
          <w:highlight w:val="none"/>
        </w:rPr>
        <w:fldChar w:fldCharType="begin"/>
      </w:r>
      <w:r>
        <w:rPr>
          <w:rFonts w:ascii="宋体" w:hAnsi="宋体" w:eastAsia="宋体"/>
          <w:highlight w:val="none"/>
        </w:rPr>
        <w:instrText xml:space="preserve"> </w:instrText>
      </w:r>
      <w:r>
        <w:rPr>
          <w:rFonts w:hint="eastAsia" w:ascii="宋体" w:hAnsi="宋体" w:eastAsia="宋体"/>
          <w:highlight w:val="none"/>
        </w:rPr>
        <w:instrText xml:space="preserve">TOC \o "1-2" \f 8 \h \t "2"</w:instrText>
      </w:r>
      <w:r>
        <w:rPr>
          <w:rFonts w:ascii="宋体" w:hAnsi="宋体" w:eastAsia="宋体"/>
          <w:highlight w:val="none"/>
        </w:rPr>
        <w:instrText xml:space="preserve"> </w:instrText>
      </w:r>
      <w:r>
        <w:rPr>
          <w:rFonts w:ascii="宋体" w:hAnsi="宋体" w:eastAsia="宋体"/>
          <w:highlight w:val="none"/>
        </w:rPr>
        <w:fldChar w:fldCharType="separate"/>
      </w:r>
    </w:p>
    <w:p w14:paraId="0760D9D3">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"_Toc207933741" </w:instrText>
      </w:r>
      <w:r>
        <w:rPr>
          <w:highlight w:val="none"/>
        </w:rPr>
        <w:fldChar w:fldCharType="separate"/>
      </w:r>
      <w:r>
        <w:rPr>
          <w:rStyle w:val="13"/>
          <w:rFonts w:hint="eastAsia" w:ascii="宋体" w:hAnsi="宋体" w:eastAsia="宋体"/>
          <w:highlight w:val="none"/>
          <w:u w:val="none"/>
        </w:rPr>
        <w:t>【重要提示】</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_Toc207933741 \h </w:instrText>
      </w:r>
      <w:r>
        <w:rPr>
          <w:rFonts w:ascii="宋体" w:hAnsi="宋体" w:eastAsia="宋体"/>
          <w:highlight w:val="none"/>
        </w:rPr>
        <w:fldChar w:fldCharType="separate"/>
      </w:r>
      <w:r>
        <w:rPr>
          <w:rFonts w:ascii="宋体" w:hAnsi="宋体" w:eastAsia="宋体"/>
          <w:highlight w:val="none"/>
        </w:rPr>
        <w:t>2</w:t>
      </w:r>
      <w:r>
        <w:rPr>
          <w:rFonts w:ascii="宋体" w:hAnsi="宋体" w:eastAsia="宋体"/>
          <w:highlight w:val="none"/>
        </w:rPr>
        <w:fldChar w:fldCharType="end"/>
      </w:r>
      <w:r>
        <w:rPr>
          <w:rFonts w:ascii="宋体" w:hAnsi="宋体" w:eastAsia="宋体"/>
          <w:highlight w:val="none"/>
        </w:rPr>
        <w:fldChar w:fldCharType="end"/>
      </w:r>
    </w:p>
    <w:p w14:paraId="21196568">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"_Toc207933742" </w:instrText>
      </w:r>
      <w:r>
        <w:rPr>
          <w:highlight w:val="none"/>
        </w:rPr>
        <w:fldChar w:fldCharType="separate"/>
      </w:r>
      <w:r>
        <w:rPr>
          <w:rStyle w:val="13"/>
          <w:rFonts w:hint="eastAsia" w:ascii="宋体" w:hAnsi="宋体" w:eastAsia="宋体"/>
          <w:highlight w:val="none"/>
          <w:u w:val="none"/>
        </w:rPr>
        <w:t>第一部分</w:t>
      </w:r>
      <w:r>
        <w:rPr>
          <w:rStyle w:val="13"/>
          <w:rFonts w:ascii="宋体" w:hAnsi="宋体" w:eastAsia="宋体"/>
          <w:highlight w:val="none"/>
          <w:u w:val="none"/>
        </w:rPr>
        <w:t xml:space="preserve">  </w:t>
      </w:r>
      <w:r>
        <w:rPr>
          <w:rStyle w:val="13"/>
          <w:rFonts w:hint="eastAsia" w:ascii="宋体" w:hAnsi="宋体" w:eastAsia="宋体"/>
          <w:highlight w:val="none"/>
          <w:u w:val="none"/>
        </w:rPr>
        <w:t>绪言</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_Toc207933742 \h </w:instrText>
      </w:r>
      <w:r>
        <w:rPr>
          <w:rFonts w:ascii="宋体" w:hAnsi="宋体" w:eastAsia="宋体"/>
          <w:highlight w:val="none"/>
        </w:rPr>
        <w:fldChar w:fldCharType="separate"/>
      </w:r>
      <w:r>
        <w:rPr>
          <w:rFonts w:ascii="宋体" w:hAnsi="宋体" w:eastAsia="宋体"/>
          <w:highlight w:val="none"/>
        </w:rPr>
        <w:t>6</w:t>
      </w:r>
      <w:r>
        <w:rPr>
          <w:rFonts w:ascii="宋体" w:hAnsi="宋体" w:eastAsia="宋体"/>
          <w:highlight w:val="none"/>
        </w:rPr>
        <w:fldChar w:fldCharType="end"/>
      </w:r>
      <w:r>
        <w:rPr>
          <w:rFonts w:ascii="宋体" w:hAnsi="宋体" w:eastAsia="宋体"/>
          <w:highlight w:val="none"/>
        </w:rPr>
        <w:fldChar w:fldCharType="end"/>
      </w:r>
    </w:p>
    <w:p w14:paraId="120B9643">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"_Toc207933743" </w:instrText>
      </w:r>
      <w:r>
        <w:rPr>
          <w:highlight w:val="none"/>
        </w:rPr>
        <w:fldChar w:fldCharType="separate"/>
      </w:r>
      <w:r>
        <w:rPr>
          <w:rStyle w:val="13"/>
          <w:rFonts w:hint="eastAsia" w:ascii="宋体" w:hAnsi="宋体" w:eastAsia="宋体"/>
          <w:highlight w:val="none"/>
          <w:u w:val="none"/>
        </w:rPr>
        <w:t>第二部分</w:t>
      </w:r>
      <w:r>
        <w:rPr>
          <w:rStyle w:val="13"/>
          <w:rFonts w:ascii="宋体" w:hAnsi="宋体" w:eastAsia="宋体"/>
          <w:highlight w:val="none"/>
          <w:u w:val="none"/>
        </w:rPr>
        <w:t xml:space="preserve">  </w:t>
      </w:r>
      <w:r>
        <w:rPr>
          <w:rStyle w:val="13"/>
          <w:rFonts w:hint="eastAsia" w:ascii="宋体" w:hAnsi="宋体" w:eastAsia="宋体"/>
          <w:highlight w:val="none"/>
          <w:u w:val="none"/>
        </w:rPr>
        <w:t>释义</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_Toc207933743 \h </w:instrText>
      </w:r>
      <w:r>
        <w:rPr>
          <w:rFonts w:ascii="宋体" w:hAnsi="宋体" w:eastAsia="宋体"/>
          <w:highlight w:val="none"/>
        </w:rPr>
        <w:fldChar w:fldCharType="separate"/>
      </w:r>
      <w:r>
        <w:rPr>
          <w:rFonts w:ascii="宋体" w:hAnsi="宋体" w:eastAsia="宋体"/>
          <w:highlight w:val="none"/>
        </w:rPr>
        <w:t>7</w:t>
      </w:r>
      <w:r>
        <w:rPr>
          <w:rFonts w:ascii="宋体" w:hAnsi="宋体" w:eastAsia="宋体"/>
          <w:highlight w:val="none"/>
        </w:rPr>
        <w:fldChar w:fldCharType="end"/>
      </w:r>
      <w:r>
        <w:rPr>
          <w:rFonts w:ascii="宋体" w:hAnsi="宋体" w:eastAsia="宋体"/>
          <w:highlight w:val="none"/>
        </w:rPr>
        <w:fldChar w:fldCharType="end"/>
      </w:r>
    </w:p>
    <w:p w14:paraId="2BDF57FD">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"_Toc207933744" </w:instrText>
      </w:r>
      <w:r>
        <w:rPr>
          <w:highlight w:val="none"/>
        </w:rPr>
        <w:fldChar w:fldCharType="separate"/>
      </w:r>
      <w:r>
        <w:rPr>
          <w:rStyle w:val="13"/>
          <w:rFonts w:hint="eastAsia" w:ascii="宋体" w:hAnsi="宋体" w:eastAsia="宋体"/>
          <w:highlight w:val="none"/>
          <w:u w:val="none"/>
        </w:rPr>
        <w:t>第三部分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基金管理人</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_Toc207933744 \h </w:instrText>
      </w:r>
      <w:r>
        <w:rPr>
          <w:rFonts w:ascii="宋体" w:hAnsi="宋体" w:eastAsia="宋体"/>
          <w:highlight w:val="none"/>
        </w:rPr>
        <w:fldChar w:fldCharType="separate"/>
      </w:r>
      <w:r>
        <w:rPr>
          <w:rFonts w:ascii="宋体" w:hAnsi="宋体" w:eastAsia="宋体"/>
          <w:highlight w:val="none"/>
        </w:rPr>
        <w:t>13</w:t>
      </w:r>
      <w:r>
        <w:rPr>
          <w:rFonts w:ascii="宋体" w:hAnsi="宋体" w:eastAsia="宋体"/>
          <w:highlight w:val="none"/>
        </w:rPr>
        <w:fldChar w:fldCharType="end"/>
      </w:r>
      <w:r>
        <w:rPr>
          <w:rFonts w:ascii="宋体" w:hAnsi="宋体" w:eastAsia="宋体"/>
          <w:highlight w:val="none"/>
        </w:rPr>
        <w:fldChar w:fldCharType="end"/>
      </w:r>
    </w:p>
    <w:p w14:paraId="085C3D2C">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"_Toc207933745" </w:instrText>
      </w:r>
      <w:r>
        <w:rPr>
          <w:highlight w:val="none"/>
        </w:rPr>
        <w:fldChar w:fldCharType="separate"/>
      </w:r>
      <w:r>
        <w:rPr>
          <w:rStyle w:val="13"/>
          <w:rFonts w:hint="eastAsia" w:ascii="宋体" w:hAnsi="宋体" w:eastAsia="宋体"/>
          <w:highlight w:val="none"/>
          <w:u w:val="none"/>
        </w:rPr>
        <w:t>第四部分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基金托管人</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_Toc207933745 \h </w:instrText>
      </w:r>
      <w:r>
        <w:rPr>
          <w:rFonts w:ascii="宋体" w:hAnsi="宋体" w:eastAsia="宋体"/>
          <w:highlight w:val="none"/>
        </w:rPr>
        <w:fldChar w:fldCharType="separate"/>
      </w:r>
      <w:r>
        <w:rPr>
          <w:rFonts w:ascii="宋体" w:hAnsi="宋体" w:eastAsia="宋体"/>
          <w:highlight w:val="none"/>
        </w:rPr>
        <w:t>24</w:t>
      </w:r>
      <w:r>
        <w:rPr>
          <w:rFonts w:ascii="宋体" w:hAnsi="宋体" w:eastAsia="宋体"/>
          <w:highlight w:val="none"/>
        </w:rPr>
        <w:fldChar w:fldCharType="end"/>
      </w:r>
      <w:r>
        <w:rPr>
          <w:rFonts w:ascii="宋体" w:hAnsi="宋体" w:eastAsia="宋体"/>
          <w:highlight w:val="none"/>
        </w:rPr>
        <w:fldChar w:fldCharType="end"/>
      </w:r>
    </w:p>
    <w:p w14:paraId="532A5990">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"_Toc207933746" </w:instrText>
      </w:r>
      <w:r>
        <w:rPr>
          <w:highlight w:val="none"/>
        </w:rPr>
        <w:fldChar w:fldCharType="separate"/>
      </w:r>
      <w:r>
        <w:rPr>
          <w:rStyle w:val="13"/>
          <w:rFonts w:hint="eastAsia" w:ascii="宋体" w:hAnsi="宋体" w:eastAsia="宋体"/>
          <w:highlight w:val="none"/>
          <w:u w:val="none"/>
        </w:rPr>
        <w:t>第五部分</w:t>
      </w:r>
      <w:r>
        <w:rPr>
          <w:rStyle w:val="13"/>
          <w:rFonts w:ascii="宋体" w:hAnsi="宋体" w:eastAsia="宋体"/>
          <w:highlight w:val="none"/>
          <w:u w:val="none"/>
        </w:rPr>
        <w:t xml:space="preserve">  </w:t>
      </w:r>
      <w:r>
        <w:rPr>
          <w:rStyle w:val="13"/>
          <w:rFonts w:hint="eastAsia" w:ascii="宋体" w:hAnsi="宋体" w:eastAsia="宋体"/>
          <w:highlight w:val="none"/>
          <w:u w:val="none"/>
        </w:rPr>
        <w:t>相关服务机构</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_Toc207933746 \h </w:instrText>
      </w:r>
      <w:r>
        <w:rPr>
          <w:rFonts w:ascii="宋体" w:hAnsi="宋体" w:eastAsia="宋体"/>
          <w:highlight w:val="none"/>
        </w:rPr>
        <w:fldChar w:fldCharType="separate"/>
      </w:r>
      <w:r>
        <w:rPr>
          <w:rFonts w:ascii="宋体" w:hAnsi="宋体" w:eastAsia="宋体"/>
          <w:highlight w:val="none"/>
        </w:rPr>
        <w:t>29</w:t>
      </w:r>
      <w:r>
        <w:rPr>
          <w:rFonts w:ascii="宋体" w:hAnsi="宋体" w:eastAsia="宋体"/>
          <w:highlight w:val="none"/>
        </w:rPr>
        <w:fldChar w:fldCharType="end"/>
      </w:r>
      <w:r>
        <w:rPr>
          <w:rFonts w:ascii="宋体" w:hAnsi="宋体" w:eastAsia="宋体"/>
          <w:highlight w:val="none"/>
        </w:rPr>
        <w:fldChar w:fldCharType="end"/>
      </w:r>
    </w:p>
    <w:p w14:paraId="412FB8CB">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"_Toc207933747" </w:instrText>
      </w:r>
      <w:r>
        <w:rPr>
          <w:highlight w:val="none"/>
        </w:rPr>
        <w:fldChar w:fldCharType="separate"/>
      </w:r>
      <w:r>
        <w:rPr>
          <w:rStyle w:val="13"/>
          <w:rFonts w:hint="eastAsia" w:ascii="宋体" w:hAnsi="宋体" w:eastAsia="宋体"/>
          <w:highlight w:val="none"/>
          <w:u w:val="none"/>
        </w:rPr>
        <w:t>第六部分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基金的募集与基金合同的生效</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_Toc207933747 \h </w:instrText>
      </w:r>
      <w:r>
        <w:rPr>
          <w:rFonts w:ascii="宋体" w:hAnsi="宋体" w:eastAsia="宋体"/>
          <w:highlight w:val="none"/>
        </w:rPr>
        <w:fldChar w:fldCharType="separate"/>
      </w:r>
      <w:r>
        <w:rPr>
          <w:rFonts w:ascii="宋体" w:hAnsi="宋体" w:eastAsia="宋体"/>
          <w:highlight w:val="none"/>
        </w:rPr>
        <w:t>43</w:t>
      </w:r>
      <w:r>
        <w:rPr>
          <w:rFonts w:ascii="宋体" w:hAnsi="宋体" w:eastAsia="宋体"/>
          <w:highlight w:val="none"/>
        </w:rPr>
        <w:fldChar w:fldCharType="end"/>
      </w:r>
      <w:r>
        <w:rPr>
          <w:rFonts w:ascii="宋体" w:hAnsi="宋体" w:eastAsia="宋体"/>
          <w:highlight w:val="none"/>
        </w:rPr>
        <w:fldChar w:fldCharType="end"/>
      </w:r>
    </w:p>
    <w:p w14:paraId="3F9CA4B9">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"_Toc207933748" </w:instrText>
      </w:r>
      <w:r>
        <w:rPr>
          <w:highlight w:val="none"/>
        </w:rPr>
        <w:fldChar w:fldCharType="separate"/>
      </w:r>
      <w:r>
        <w:rPr>
          <w:rStyle w:val="13"/>
          <w:rFonts w:hint="eastAsia" w:ascii="宋体" w:hAnsi="宋体" w:eastAsia="宋体"/>
          <w:highlight w:val="none"/>
          <w:u w:val="none"/>
        </w:rPr>
        <w:t>第七部分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基金的份额折算与变更登记</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_Toc207933748 \h </w:instrText>
      </w:r>
      <w:r>
        <w:rPr>
          <w:rFonts w:ascii="宋体" w:hAnsi="宋体" w:eastAsia="宋体"/>
          <w:highlight w:val="none"/>
        </w:rPr>
        <w:fldChar w:fldCharType="separate"/>
      </w:r>
      <w:r>
        <w:rPr>
          <w:rFonts w:ascii="宋体" w:hAnsi="宋体" w:eastAsia="宋体"/>
          <w:highlight w:val="none"/>
        </w:rPr>
        <w:t>44</w:t>
      </w:r>
      <w:r>
        <w:rPr>
          <w:rFonts w:ascii="宋体" w:hAnsi="宋体" w:eastAsia="宋体"/>
          <w:highlight w:val="none"/>
        </w:rPr>
        <w:fldChar w:fldCharType="end"/>
      </w:r>
      <w:r>
        <w:rPr>
          <w:rFonts w:ascii="宋体" w:hAnsi="宋体" w:eastAsia="宋体"/>
          <w:highlight w:val="none"/>
        </w:rPr>
        <w:fldChar w:fldCharType="end"/>
      </w:r>
    </w:p>
    <w:p w14:paraId="126B30B1">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"_Toc207933749" </w:instrText>
      </w:r>
      <w:r>
        <w:rPr>
          <w:highlight w:val="none"/>
        </w:rPr>
        <w:fldChar w:fldCharType="separate"/>
      </w:r>
      <w:r>
        <w:rPr>
          <w:rStyle w:val="13"/>
          <w:rFonts w:hint="eastAsia" w:ascii="宋体" w:hAnsi="宋体" w:eastAsia="宋体"/>
          <w:highlight w:val="none"/>
          <w:u w:val="none"/>
        </w:rPr>
        <w:t>第八部分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基金份额的上市交易</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_Toc207933749 \h </w:instrText>
      </w:r>
      <w:r>
        <w:rPr>
          <w:rFonts w:ascii="宋体" w:hAnsi="宋体" w:eastAsia="宋体"/>
          <w:highlight w:val="none"/>
        </w:rPr>
        <w:fldChar w:fldCharType="separate"/>
      </w:r>
      <w:r>
        <w:rPr>
          <w:rFonts w:ascii="宋体" w:hAnsi="宋体" w:eastAsia="宋体"/>
          <w:highlight w:val="none"/>
        </w:rPr>
        <w:t>45</w:t>
      </w:r>
      <w:r>
        <w:rPr>
          <w:rFonts w:ascii="宋体" w:hAnsi="宋体" w:eastAsia="宋体"/>
          <w:highlight w:val="none"/>
        </w:rPr>
        <w:fldChar w:fldCharType="end"/>
      </w:r>
      <w:r>
        <w:rPr>
          <w:rFonts w:ascii="宋体" w:hAnsi="宋体" w:eastAsia="宋体"/>
          <w:highlight w:val="none"/>
        </w:rPr>
        <w:fldChar w:fldCharType="end"/>
      </w:r>
    </w:p>
    <w:p w14:paraId="21ED9C9C">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"_Toc207933750" </w:instrText>
      </w:r>
      <w:r>
        <w:rPr>
          <w:highlight w:val="none"/>
        </w:rPr>
        <w:fldChar w:fldCharType="separate"/>
      </w:r>
      <w:r>
        <w:rPr>
          <w:rStyle w:val="13"/>
          <w:rFonts w:hint="eastAsia" w:ascii="宋体" w:hAnsi="宋体" w:eastAsia="宋体"/>
          <w:highlight w:val="none"/>
          <w:u w:val="none"/>
        </w:rPr>
        <w:t>第九部分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基金转型的情况</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_Toc207933750 \h </w:instrText>
      </w:r>
      <w:r>
        <w:rPr>
          <w:rFonts w:ascii="宋体" w:hAnsi="宋体" w:eastAsia="宋体"/>
          <w:highlight w:val="none"/>
        </w:rPr>
        <w:fldChar w:fldCharType="separate"/>
      </w:r>
      <w:r>
        <w:rPr>
          <w:rFonts w:ascii="宋体" w:hAnsi="宋体" w:eastAsia="宋体"/>
          <w:highlight w:val="none"/>
        </w:rPr>
        <w:t>47</w:t>
      </w:r>
      <w:r>
        <w:rPr>
          <w:rFonts w:ascii="宋体" w:hAnsi="宋体" w:eastAsia="宋体"/>
          <w:highlight w:val="none"/>
        </w:rPr>
        <w:fldChar w:fldCharType="end"/>
      </w:r>
      <w:r>
        <w:rPr>
          <w:rFonts w:ascii="宋体" w:hAnsi="宋体" w:eastAsia="宋体"/>
          <w:highlight w:val="none"/>
        </w:rPr>
        <w:fldChar w:fldCharType="end"/>
      </w:r>
    </w:p>
    <w:p w14:paraId="032725AE">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"_Toc207933751" </w:instrText>
      </w:r>
      <w:r>
        <w:rPr>
          <w:highlight w:val="none"/>
        </w:rPr>
        <w:fldChar w:fldCharType="separate"/>
      </w:r>
      <w:r>
        <w:rPr>
          <w:rStyle w:val="13"/>
          <w:rFonts w:hint="eastAsia" w:ascii="宋体" w:hAnsi="宋体" w:eastAsia="宋体"/>
          <w:highlight w:val="none"/>
          <w:u w:val="none"/>
        </w:rPr>
        <w:t>第十部分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基金份额的申购与赎回</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_Toc207933751 \h </w:instrText>
      </w:r>
      <w:r>
        <w:rPr>
          <w:rFonts w:ascii="宋体" w:hAnsi="宋体" w:eastAsia="宋体"/>
          <w:highlight w:val="none"/>
        </w:rPr>
        <w:fldChar w:fldCharType="separate"/>
      </w:r>
      <w:r>
        <w:rPr>
          <w:rFonts w:ascii="宋体" w:hAnsi="宋体" w:eastAsia="宋体"/>
          <w:highlight w:val="none"/>
        </w:rPr>
        <w:t>54</w:t>
      </w:r>
      <w:r>
        <w:rPr>
          <w:rFonts w:ascii="宋体" w:hAnsi="宋体" w:eastAsia="宋体"/>
          <w:highlight w:val="none"/>
        </w:rPr>
        <w:fldChar w:fldCharType="end"/>
      </w:r>
      <w:r>
        <w:rPr>
          <w:rFonts w:ascii="宋体" w:hAnsi="宋体" w:eastAsia="宋体"/>
          <w:highlight w:val="none"/>
        </w:rPr>
        <w:fldChar w:fldCharType="end"/>
      </w:r>
    </w:p>
    <w:p w14:paraId="2F78CBD2">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"_Toc207933752" </w:instrText>
      </w:r>
      <w:r>
        <w:rPr>
          <w:highlight w:val="none"/>
        </w:rPr>
        <w:fldChar w:fldCharType="separate"/>
      </w:r>
      <w:r>
        <w:rPr>
          <w:rStyle w:val="13"/>
          <w:rFonts w:hint="eastAsia" w:ascii="宋体" w:hAnsi="宋体" w:eastAsia="宋体"/>
          <w:highlight w:val="none"/>
          <w:u w:val="none"/>
        </w:rPr>
        <w:t>第十一部分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基金的投资</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_Toc207933752 \h </w:instrText>
      </w:r>
      <w:r>
        <w:rPr>
          <w:rFonts w:ascii="宋体" w:hAnsi="宋体" w:eastAsia="宋体"/>
          <w:highlight w:val="none"/>
        </w:rPr>
        <w:fldChar w:fldCharType="separate"/>
      </w:r>
      <w:r>
        <w:rPr>
          <w:rFonts w:ascii="宋体" w:hAnsi="宋体" w:eastAsia="宋体"/>
          <w:highlight w:val="none"/>
        </w:rPr>
        <w:t>67</w:t>
      </w:r>
      <w:r>
        <w:rPr>
          <w:rFonts w:ascii="宋体" w:hAnsi="宋体" w:eastAsia="宋体"/>
          <w:highlight w:val="none"/>
        </w:rPr>
        <w:fldChar w:fldCharType="end"/>
      </w:r>
      <w:r>
        <w:rPr>
          <w:rFonts w:ascii="宋体" w:hAnsi="宋体" w:eastAsia="宋体"/>
          <w:highlight w:val="none"/>
        </w:rPr>
        <w:fldChar w:fldCharType="end"/>
      </w:r>
    </w:p>
    <w:p w14:paraId="1CF8AEFE">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"_Toc207933753" </w:instrText>
      </w:r>
      <w:r>
        <w:rPr>
          <w:highlight w:val="none"/>
        </w:rPr>
        <w:fldChar w:fldCharType="separate"/>
      </w:r>
      <w:r>
        <w:rPr>
          <w:rStyle w:val="13"/>
          <w:rFonts w:hint="eastAsia" w:ascii="宋体" w:hAnsi="宋体" w:eastAsia="宋体"/>
          <w:highlight w:val="none"/>
          <w:u w:val="none"/>
        </w:rPr>
        <w:t>第十二部分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基金的业绩</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_Toc207933753 \h </w:instrText>
      </w:r>
      <w:r>
        <w:rPr>
          <w:rFonts w:ascii="宋体" w:hAnsi="宋体" w:eastAsia="宋体"/>
          <w:highlight w:val="none"/>
        </w:rPr>
        <w:fldChar w:fldCharType="separate"/>
      </w:r>
      <w:r>
        <w:rPr>
          <w:rFonts w:ascii="宋体" w:hAnsi="宋体" w:eastAsia="宋体"/>
          <w:highlight w:val="none"/>
        </w:rPr>
        <w:t>80</w:t>
      </w:r>
      <w:r>
        <w:rPr>
          <w:rFonts w:ascii="宋体" w:hAnsi="宋体" w:eastAsia="宋体"/>
          <w:highlight w:val="none"/>
        </w:rPr>
        <w:fldChar w:fldCharType="end"/>
      </w:r>
      <w:r>
        <w:rPr>
          <w:rFonts w:ascii="宋体" w:hAnsi="宋体" w:eastAsia="宋体"/>
          <w:highlight w:val="none"/>
        </w:rPr>
        <w:fldChar w:fldCharType="end"/>
      </w:r>
    </w:p>
    <w:p w14:paraId="2E555FC9">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"_Toc207933754" </w:instrText>
      </w:r>
      <w:r>
        <w:rPr>
          <w:highlight w:val="none"/>
        </w:rPr>
        <w:fldChar w:fldCharType="separate"/>
      </w:r>
      <w:r>
        <w:rPr>
          <w:rStyle w:val="13"/>
          <w:rFonts w:hint="eastAsia" w:ascii="宋体" w:hAnsi="宋体" w:eastAsia="宋体"/>
          <w:highlight w:val="none"/>
          <w:u w:val="none"/>
        </w:rPr>
        <w:t>第十三部分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基金的财产</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_Toc207933754 \h </w:instrText>
      </w:r>
      <w:r>
        <w:rPr>
          <w:rFonts w:ascii="宋体" w:hAnsi="宋体" w:eastAsia="宋体"/>
          <w:highlight w:val="none"/>
        </w:rPr>
        <w:fldChar w:fldCharType="separate"/>
      </w:r>
      <w:r>
        <w:rPr>
          <w:rFonts w:ascii="宋体" w:hAnsi="宋体" w:eastAsia="宋体"/>
          <w:highlight w:val="none"/>
        </w:rPr>
        <w:t>81</w:t>
      </w:r>
      <w:r>
        <w:rPr>
          <w:rFonts w:ascii="宋体" w:hAnsi="宋体" w:eastAsia="宋体"/>
          <w:highlight w:val="none"/>
        </w:rPr>
        <w:fldChar w:fldCharType="end"/>
      </w:r>
      <w:r>
        <w:rPr>
          <w:rFonts w:ascii="宋体" w:hAnsi="宋体" w:eastAsia="宋体"/>
          <w:highlight w:val="none"/>
        </w:rPr>
        <w:fldChar w:fldCharType="end"/>
      </w:r>
    </w:p>
    <w:p w14:paraId="7B5A8BC6">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"_Toc207933755" </w:instrText>
      </w:r>
      <w:r>
        <w:rPr>
          <w:highlight w:val="none"/>
        </w:rPr>
        <w:fldChar w:fldCharType="separate"/>
      </w:r>
      <w:r>
        <w:rPr>
          <w:rStyle w:val="13"/>
          <w:rFonts w:hint="eastAsia" w:ascii="宋体" w:hAnsi="宋体" w:eastAsia="宋体"/>
          <w:highlight w:val="none"/>
          <w:u w:val="none"/>
        </w:rPr>
        <w:t>第十四部分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基金资产的估值</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_Toc207933755 \h </w:instrText>
      </w:r>
      <w:r>
        <w:rPr>
          <w:rFonts w:ascii="宋体" w:hAnsi="宋体" w:eastAsia="宋体"/>
          <w:highlight w:val="none"/>
        </w:rPr>
        <w:fldChar w:fldCharType="separate"/>
      </w:r>
      <w:r>
        <w:rPr>
          <w:rFonts w:ascii="宋体" w:hAnsi="宋体" w:eastAsia="宋体"/>
          <w:highlight w:val="none"/>
        </w:rPr>
        <w:t>82</w:t>
      </w:r>
      <w:r>
        <w:rPr>
          <w:rFonts w:ascii="宋体" w:hAnsi="宋体" w:eastAsia="宋体"/>
          <w:highlight w:val="none"/>
        </w:rPr>
        <w:fldChar w:fldCharType="end"/>
      </w:r>
      <w:r>
        <w:rPr>
          <w:rFonts w:ascii="宋体" w:hAnsi="宋体" w:eastAsia="宋体"/>
          <w:highlight w:val="none"/>
        </w:rPr>
        <w:fldChar w:fldCharType="end"/>
      </w:r>
    </w:p>
    <w:p w14:paraId="38C0E88E">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"_Toc207933756" </w:instrText>
      </w:r>
      <w:r>
        <w:rPr>
          <w:highlight w:val="none"/>
        </w:rPr>
        <w:fldChar w:fldCharType="separate"/>
      </w:r>
      <w:r>
        <w:rPr>
          <w:rStyle w:val="13"/>
          <w:rFonts w:hint="eastAsia" w:ascii="宋体" w:hAnsi="宋体" w:eastAsia="宋体"/>
          <w:highlight w:val="none"/>
          <w:u w:val="none"/>
        </w:rPr>
        <w:t>第十五部分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基金的收益与分配</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_Toc207933756 \h </w:instrText>
      </w:r>
      <w:r>
        <w:rPr>
          <w:rFonts w:ascii="宋体" w:hAnsi="宋体" w:eastAsia="宋体"/>
          <w:highlight w:val="none"/>
        </w:rPr>
        <w:fldChar w:fldCharType="separate"/>
      </w:r>
      <w:r>
        <w:rPr>
          <w:rFonts w:ascii="宋体" w:hAnsi="宋体" w:eastAsia="宋体"/>
          <w:highlight w:val="none"/>
        </w:rPr>
        <w:t>88</w:t>
      </w:r>
      <w:r>
        <w:rPr>
          <w:rFonts w:ascii="宋体" w:hAnsi="宋体" w:eastAsia="宋体"/>
          <w:highlight w:val="none"/>
        </w:rPr>
        <w:fldChar w:fldCharType="end"/>
      </w:r>
      <w:r>
        <w:rPr>
          <w:rFonts w:ascii="宋体" w:hAnsi="宋体" w:eastAsia="宋体"/>
          <w:highlight w:val="none"/>
        </w:rPr>
        <w:fldChar w:fldCharType="end"/>
      </w:r>
    </w:p>
    <w:p w14:paraId="150AA8BE">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"_Toc207933757" </w:instrText>
      </w:r>
      <w:r>
        <w:rPr>
          <w:highlight w:val="none"/>
        </w:rPr>
        <w:fldChar w:fldCharType="separate"/>
      </w:r>
      <w:r>
        <w:rPr>
          <w:rStyle w:val="13"/>
          <w:rFonts w:hint="eastAsia" w:ascii="宋体" w:hAnsi="宋体" w:eastAsia="宋体"/>
          <w:highlight w:val="none"/>
          <w:u w:val="none"/>
        </w:rPr>
        <w:t>第十六部分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基金的费用与税收</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_Toc207933757 \h </w:instrText>
      </w:r>
      <w:r>
        <w:rPr>
          <w:rFonts w:ascii="宋体" w:hAnsi="宋体" w:eastAsia="宋体"/>
          <w:highlight w:val="none"/>
        </w:rPr>
        <w:fldChar w:fldCharType="separate"/>
      </w:r>
      <w:r>
        <w:rPr>
          <w:rFonts w:ascii="宋体" w:hAnsi="宋体" w:eastAsia="宋体"/>
          <w:highlight w:val="none"/>
        </w:rPr>
        <w:t>90</w:t>
      </w:r>
      <w:r>
        <w:rPr>
          <w:rFonts w:ascii="宋体" w:hAnsi="宋体" w:eastAsia="宋体"/>
          <w:highlight w:val="none"/>
        </w:rPr>
        <w:fldChar w:fldCharType="end"/>
      </w:r>
      <w:r>
        <w:rPr>
          <w:rFonts w:ascii="宋体" w:hAnsi="宋体" w:eastAsia="宋体"/>
          <w:highlight w:val="none"/>
        </w:rPr>
        <w:fldChar w:fldCharType="end"/>
      </w:r>
    </w:p>
    <w:p w14:paraId="5B32C933">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"_Toc207933758" </w:instrText>
      </w:r>
      <w:r>
        <w:rPr>
          <w:highlight w:val="none"/>
        </w:rPr>
        <w:fldChar w:fldCharType="separate"/>
      </w:r>
      <w:r>
        <w:rPr>
          <w:rStyle w:val="13"/>
          <w:rFonts w:hint="eastAsia" w:ascii="宋体" w:hAnsi="宋体" w:eastAsia="宋体"/>
          <w:highlight w:val="none"/>
          <w:u w:val="none"/>
        </w:rPr>
        <w:t>第十七部分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基金的会计与审计</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_Toc207933758 \h </w:instrText>
      </w:r>
      <w:r>
        <w:rPr>
          <w:rFonts w:ascii="宋体" w:hAnsi="宋体" w:eastAsia="宋体"/>
          <w:highlight w:val="none"/>
        </w:rPr>
        <w:fldChar w:fldCharType="separate"/>
      </w:r>
      <w:r>
        <w:rPr>
          <w:rFonts w:ascii="宋体" w:hAnsi="宋体" w:eastAsia="宋体"/>
          <w:highlight w:val="none"/>
        </w:rPr>
        <w:t>92</w:t>
      </w:r>
      <w:r>
        <w:rPr>
          <w:rFonts w:ascii="宋体" w:hAnsi="宋体" w:eastAsia="宋体"/>
          <w:highlight w:val="none"/>
        </w:rPr>
        <w:fldChar w:fldCharType="end"/>
      </w:r>
      <w:r>
        <w:rPr>
          <w:rFonts w:ascii="宋体" w:hAnsi="宋体" w:eastAsia="宋体"/>
          <w:highlight w:val="none"/>
        </w:rPr>
        <w:fldChar w:fldCharType="end"/>
      </w:r>
    </w:p>
    <w:p w14:paraId="5B19D40B">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"_Toc207933759" </w:instrText>
      </w:r>
      <w:r>
        <w:rPr>
          <w:highlight w:val="none"/>
        </w:rPr>
        <w:fldChar w:fldCharType="separate"/>
      </w:r>
      <w:r>
        <w:rPr>
          <w:rStyle w:val="13"/>
          <w:rFonts w:hint="eastAsia" w:ascii="宋体" w:hAnsi="宋体" w:eastAsia="宋体"/>
          <w:highlight w:val="none"/>
          <w:u w:val="none"/>
        </w:rPr>
        <w:t>第十八部分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基金的信息披露</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_Toc207933759 \h </w:instrText>
      </w:r>
      <w:r>
        <w:rPr>
          <w:rFonts w:ascii="宋体" w:hAnsi="宋体" w:eastAsia="宋体"/>
          <w:highlight w:val="none"/>
        </w:rPr>
        <w:fldChar w:fldCharType="separate"/>
      </w:r>
      <w:r>
        <w:rPr>
          <w:rFonts w:ascii="宋体" w:hAnsi="宋体" w:eastAsia="宋体"/>
          <w:highlight w:val="none"/>
        </w:rPr>
        <w:t>93</w:t>
      </w:r>
      <w:r>
        <w:rPr>
          <w:rFonts w:ascii="宋体" w:hAnsi="宋体" w:eastAsia="宋体"/>
          <w:highlight w:val="none"/>
        </w:rPr>
        <w:fldChar w:fldCharType="end"/>
      </w:r>
      <w:r>
        <w:rPr>
          <w:rFonts w:ascii="宋体" w:hAnsi="宋体" w:eastAsia="宋体"/>
          <w:highlight w:val="none"/>
        </w:rPr>
        <w:fldChar w:fldCharType="end"/>
      </w:r>
    </w:p>
    <w:p w14:paraId="4B70B18F">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"_Toc207933760" </w:instrText>
      </w:r>
      <w:r>
        <w:rPr>
          <w:highlight w:val="none"/>
        </w:rPr>
        <w:fldChar w:fldCharType="separate"/>
      </w:r>
      <w:r>
        <w:rPr>
          <w:rStyle w:val="13"/>
          <w:rFonts w:hint="eastAsia" w:ascii="宋体" w:hAnsi="宋体" w:eastAsia="宋体"/>
          <w:highlight w:val="none"/>
          <w:u w:val="none"/>
        </w:rPr>
        <w:t>第十九部分</w:t>
      </w:r>
      <w:r>
        <w:rPr>
          <w:rStyle w:val="13"/>
          <w:rFonts w:ascii="宋体" w:hAnsi="宋体" w:eastAsia="宋体"/>
          <w:highlight w:val="none"/>
          <w:u w:val="none"/>
        </w:rPr>
        <w:t xml:space="preserve">  </w:t>
      </w:r>
      <w:r>
        <w:rPr>
          <w:rStyle w:val="13"/>
          <w:rFonts w:hint="eastAsia" w:ascii="宋体" w:hAnsi="宋体" w:eastAsia="宋体"/>
          <w:highlight w:val="none"/>
          <w:u w:val="none"/>
        </w:rPr>
        <w:t>风险揭示</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_Toc207933760 \h </w:instrText>
      </w:r>
      <w:r>
        <w:rPr>
          <w:rFonts w:ascii="宋体" w:hAnsi="宋体" w:eastAsia="宋体"/>
          <w:highlight w:val="none"/>
        </w:rPr>
        <w:fldChar w:fldCharType="separate"/>
      </w:r>
      <w:r>
        <w:rPr>
          <w:rFonts w:ascii="宋体" w:hAnsi="宋体" w:eastAsia="宋体"/>
          <w:highlight w:val="none"/>
        </w:rPr>
        <w:t>101</w:t>
      </w:r>
      <w:r>
        <w:rPr>
          <w:rFonts w:ascii="宋体" w:hAnsi="宋体" w:eastAsia="宋体"/>
          <w:highlight w:val="none"/>
        </w:rPr>
        <w:fldChar w:fldCharType="end"/>
      </w:r>
      <w:r>
        <w:rPr>
          <w:rFonts w:ascii="宋体" w:hAnsi="宋体" w:eastAsia="宋体"/>
          <w:highlight w:val="none"/>
        </w:rPr>
        <w:fldChar w:fldCharType="end"/>
      </w:r>
    </w:p>
    <w:p w14:paraId="0617881D">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"_Toc207933761" </w:instrText>
      </w:r>
      <w:r>
        <w:rPr>
          <w:highlight w:val="none"/>
        </w:rPr>
        <w:fldChar w:fldCharType="separate"/>
      </w:r>
      <w:r>
        <w:rPr>
          <w:rStyle w:val="13"/>
          <w:rFonts w:hint="eastAsia" w:ascii="宋体" w:hAnsi="宋体" w:eastAsia="宋体"/>
          <w:highlight w:val="none"/>
          <w:u w:val="none"/>
        </w:rPr>
        <w:t>第二十部分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基金合同的变更、终止与基金财产的清算</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_Toc207933761 \h </w:instrText>
      </w:r>
      <w:r>
        <w:rPr>
          <w:rFonts w:ascii="宋体" w:hAnsi="宋体" w:eastAsia="宋体"/>
          <w:highlight w:val="none"/>
        </w:rPr>
        <w:fldChar w:fldCharType="separate"/>
      </w:r>
      <w:r>
        <w:rPr>
          <w:rFonts w:ascii="宋体" w:hAnsi="宋体" w:eastAsia="宋体"/>
          <w:highlight w:val="none"/>
        </w:rPr>
        <w:t>114</w:t>
      </w:r>
      <w:r>
        <w:rPr>
          <w:rFonts w:ascii="宋体" w:hAnsi="宋体" w:eastAsia="宋体"/>
          <w:highlight w:val="none"/>
        </w:rPr>
        <w:fldChar w:fldCharType="end"/>
      </w:r>
      <w:r>
        <w:rPr>
          <w:rFonts w:ascii="宋体" w:hAnsi="宋体" w:eastAsia="宋体"/>
          <w:highlight w:val="none"/>
        </w:rPr>
        <w:fldChar w:fldCharType="end"/>
      </w:r>
    </w:p>
    <w:p w14:paraId="4F1187DE">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"_Toc207933762" </w:instrText>
      </w:r>
      <w:r>
        <w:rPr>
          <w:highlight w:val="none"/>
        </w:rPr>
        <w:fldChar w:fldCharType="separate"/>
      </w:r>
      <w:r>
        <w:rPr>
          <w:rStyle w:val="13"/>
          <w:rFonts w:hint="eastAsia" w:ascii="宋体" w:hAnsi="宋体" w:eastAsia="宋体"/>
          <w:highlight w:val="none"/>
          <w:u w:val="none"/>
        </w:rPr>
        <w:t>第二十一部分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基金合同的内容摘要</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_Toc207933762 \h </w:instrText>
      </w:r>
      <w:r>
        <w:rPr>
          <w:rFonts w:ascii="宋体" w:hAnsi="宋体" w:eastAsia="宋体"/>
          <w:highlight w:val="none"/>
        </w:rPr>
        <w:fldChar w:fldCharType="separate"/>
      </w:r>
      <w:r>
        <w:rPr>
          <w:rFonts w:ascii="宋体" w:hAnsi="宋体" w:eastAsia="宋体"/>
          <w:highlight w:val="none"/>
        </w:rPr>
        <w:t>116</w:t>
      </w:r>
      <w:r>
        <w:rPr>
          <w:rFonts w:ascii="宋体" w:hAnsi="宋体" w:eastAsia="宋体"/>
          <w:highlight w:val="none"/>
        </w:rPr>
        <w:fldChar w:fldCharType="end"/>
      </w:r>
      <w:r>
        <w:rPr>
          <w:rFonts w:ascii="宋体" w:hAnsi="宋体" w:eastAsia="宋体"/>
          <w:highlight w:val="none"/>
        </w:rPr>
        <w:fldChar w:fldCharType="end"/>
      </w:r>
    </w:p>
    <w:p w14:paraId="51D7B07E">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"_Toc207933763" </w:instrText>
      </w:r>
      <w:r>
        <w:rPr>
          <w:highlight w:val="none"/>
        </w:rPr>
        <w:fldChar w:fldCharType="separate"/>
      </w:r>
      <w:r>
        <w:rPr>
          <w:rStyle w:val="13"/>
          <w:rFonts w:hint="eastAsia" w:ascii="宋体" w:hAnsi="宋体" w:eastAsia="宋体"/>
          <w:highlight w:val="none"/>
          <w:u w:val="none"/>
        </w:rPr>
        <w:t>第二十二部分</w:t>
      </w:r>
      <w:r>
        <w:rPr>
          <w:rStyle w:val="13"/>
          <w:rFonts w:ascii="宋体" w:hAnsi="宋体" w:eastAsia="宋体"/>
          <w:highlight w:val="none"/>
          <w:u w:val="none"/>
        </w:rPr>
        <w:t xml:space="preserve">  </w:t>
      </w:r>
      <w:r>
        <w:rPr>
          <w:rStyle w:val="13"/>
          <w:rFonts w:hint="eastAsia" w:ascii="宋体" w:hAnsi="宋体" w:eastAsia="宋体"/>
          <w:highlight w:val="none"/>
          <w:u w:val="none"/>
        </w:rPr>
        <w:t>基金托管协议的内容摘要</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_Toc207933763 \h </w:instrText>
      </w:r>
      <w:r>
        <w:rPr>
          <w:rFonts w:ascii="宋体" w:hAnsi="宋体" w:eastAsia="宋体"/>
          <w:highlight w:val="none"/>
        </w:rPr>
        <w:fldChar w:fldCharType="separate"/>
      </w:r>
      <w:r>
        <w:rPr>
          <w:rFonts w:ascii="宋体" w:hAnsi="宋体" w:eastAsia="宋体"/>
          <w:highlight w:val="none"/>
        </w:rPr>
        <w:t>132</w:t>
      </w:r>
      <w:r>
        <w:rPr>
          <w:rFonts w:ascii="宋体" w:hAnsi="宋体" w:eastAsia="宋体"/>
          <w:highlight w:val="none"/>
        </w:rPr>
        <w:fldChar w:fldCharType="end"/>
      </w:r>
      <w:r>
        <w:rPr>
          <w:rFonts w:ascii="宋体" w:hAnsi="宋体" w:eastAsia="宋体"/>
          <w:highlight w:val="none"/>
        </w:rPr>
        <w:fldChar w:fldCharType="end"/>
      </w:r>
    </w:p>
    <w:p w14:paraId="75D6A3C6">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"_Toc207933764" </w:instrText>
      </w:r>
      <w:r>
        <w:rPr>
          <w:highlight w:val="none"/>
        </w:rPr>
        <w:fldChar w:fldCharType="separate"/>
      </w:r>
      <w:r>
        <w:rPr>
          <w:rStyle w:val="13"/>
          <w:rFonts w:hint="eastAsia" w:ascii="宋体" w:hAnsi="宋体" w:eastAsia="宋体"/>
          <w:highlight w:val="none"/>
          <w:u w:val="none"/>
        </w:rPr>
        <w:t>第二十三部分</w:t>
      </w:r>
      <w:r>
        <w:rPr>
          <w:rStyle w:val="13"/>
          <w:rFonts w:ascii="宋体" w:hAnsi="宋体" w:eastAsia="宋体"/>
          <w:highlight w:val="none"/>
          <w:u w:val="none"/>
        </w:rPr>
        <w:t xml:space="preserve">  </w:t>
      </w:r>
      <w:r>
        <w:rPr>
          <w:rStyle w:val="13"/>
          <w:rFonts w:hint="eastAsia" w:ascii="宋体" w:hAnsi="宋体" w:eastAsia="宋体"/>
          <w:highlight w:val="none"/>
          <w:u w:val="none"/>
        </w:rPr>
        <w:t>对基金份额持有人的服务</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_Toc207933764 \h </w:instrText>
      </w:r>
      <w:r>
        <w:rPr>
          <w:rFonts w:ascii="宋体" w:hAnsi="宋体" w:eastAsia="宋体"/>
          <w:highlight w:val="none"/>
        </w:rPr>
        <w:fldChar w:fldCharType="separate"/>
      </w:r>
      <w:r>
        <w:rPr>
          <w:rFonts w:ascii="宋体" w:hAnsi="宋体" w:eastAsia="宋体"/>
          <w:highlight w:val="none"/>
        </w:rPr>
        <w:t>157</w:t>
      </w:r>
      <w:r>
        <w:rPr>
          <w:rFonts w:ascii="宋体" w:hAnsi="宋体" w:eastAsia="宋体"/>
          <w:highlight w:val="none"/>
        </w:rPr>
        <w:fldChar w:fldCharType="end"/>
      </w:r>
      <w:r>
        <w:rPr>
          <w:rFonts w:ascii="宋体" w:hAnsi="宋体" w:eastAsia="宋体"/>
          <w:highlight w:val="none"/>
        </w:rPr>
        <w:fldChar w:fldCharType="end"/>
      </w:r>
    </w:p>
    <w:p w14:paraId="5BA955F0">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"_Toc207933765" </w:instrText>
      </w:r>
      <w:r>
        <w:rPr>
          <w:highlight w:val="none"/>
        </w:rPr>
        <w:fldChar w:fldCharType="separate"/>
      </w:r>
      <w:r>
        <w:rPr>
          <w:rStyle w:val="13"/>
          <w:rFonts w:hint="eastAsia" w:ascii="宋体" w:hAnsi="宋体" w:eastAsia="宋体"/>
          <w:highlight w:val="none"/>
          <w:u w:val="none"/>
        </w:rPr>
        <w:t>第二十四部分</w:t>
      </w:r>
      <w:r>
        <w:rPr>
          <w:rStyle w:val="13"/>
          <w:rFonts w:ascii="宋体" w:hAnsi="宋体" w:eastAsia="宋体"/>
          <w:highlight w:val="none"/>
          <w:u w:val="none"/>
        </w:rPr>
        <w:t xml:space="preserve"> </w:t>
      </w:r>
      <w:r>
        <w:rPr>
          <w:rStyle w:val="13"/>
          <w:rFonts w:hint="eastAsia" w:ascii="宋体" w:hAnsi="宋体" w:eastAsia="宋体"/>
          <w:highlight w:val="none"/>
          <w:u w:val="none"/>
        </w:rPr>
        <w:t>其他应披露的事项</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_Toc207933765 \h </w:instrText>
      </w:r>
      <w:r>
        <w:rPr>
          <w:rFonts w:ascii="宋体" w:hAnsi="宋体" w:eastAsia="宋体"/>
          <w:highlight w:val="none"/>
        </w:rPr>
        <w:fldChar w:fldCharType="separate"/>
      </w:r>
      <w:r>
        <w:rPr>
          <w:rFonts w:ascii="宋体" w:hAnsi="宋体" w:eastAsia="宋体"/>
          <w:highlight w:val="none"/>
        </w:rPr>
        <w:t>158</w:t>
      </w:r>
      <w:r>
        <w:rPr>
          <w:rFonts w:ascii="宋体" w:hAnsi="宋体" w:eastAsia="宋体"/>
          <w:highlight w:val="none"/>
        </w:rPr>
        <w:fldChar w:fldCharType="end"/>
      </w:r>
      <w:r>
        <w:rPr>
          <w:rFonts w:ascii="宋体" w:hAnsi="宋体" w:eastAsia="宋体"/>
          <w:highlight w:val="none"/>
        </w:rPr>
        <w:fldChar w:fldCharType="end"/>
      </w:r>
    </w:p>
    <w:p w14:paraId="52B88E18">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"_Toc207933766" </w:instrText>
      </w:r>
      <w:r>
        <w:rPr>
          <w:highlight w:val="none"/>
        </w:rPr>
        <w:fldChar w:fldCharType="separate"/>
      </w:r>
      <w:r>
        <w:rPr>
          <w:rStyle w:val="13"/>
          <w:rFonts w:hint="eastAsia" w:ascii="宋体" w:hAnsi="宋体" w:eastAsia="宋体"/>
          <w:highlight w:val="none"/>
          <w:u w:val="none"/>
        </w:rPr>
        <w:t>第二十五部分</w:t>
      </w:r>
      <w:r>
        <w:rPr>
          <w:rStyle w:val="13"/>
          <w:rFonts w:ascii="宋体" w:hAnsi="宋体" w:eastAsia="宋体"/>
          <w:highlight w:val="none"/>
          <w:u w:val="none"/>
        </w:rPr>
        <w:t xml:space="preserve">  </w:t>
      </w:r>
      <w:r>
        <w:rPr>
          <w:rStyle w:val="13"/>
          <w:rFonts w:hint="eastAsia" w:ascii="宋体" w:hAnsi="宋体" w:eastAsia="宋体"/>
          <w:highlight w:val="none"/>
          <w:u w:val="none"/>
        </w:rPr>
        <w:t>招募说明书的存放及查阅方式</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_Toc207933766 \h </w:instrText>
      </w:r>
      <w:r>
        <w:rPr>
          <w:rFonts w:ascii="宋体" w:hAnsi="宋体" w:eastAsia="宋体"/>
          <w:highlight w:val="none"/>
        </w:rPr>
        <w:fldChar w:fldCharType="separate"/>
      </w:r>
      <w:r>
        <w:rPr>
          <w:rFonts w:ascii="宋体" w:hAnsi="宋体" w:eastAsia="宋体"/>
          <w:highlight w:val="none"/>
        </w:rPr>
        <w:t>161</w:t>
      </w:r>
      <w:r>
        <w:rPr>
          <w:rFonts w:ascii="宋体" w:hAnsi="宋体" w:eastAsia="宋体"/>
          <w:highlight w:val="none"/>
        </w:rPr>
        <w:fldChar w:fldCharType="end"/>
      </w:r>
      <w:r>
        <w:rPr>
          <w:rFonts w:ascii="宋体" w:hAnsi="宋体" w:eastAsia="宋体"/>
          <w:highlight w:val="none"/>
        </w:rPr>
        <w:fldChar w:fldCharType="end"/>
      </w:r>
    </w:p>
    <w:p w14:paraId="631606C8">
      <w:pPr>
        <w:pStyle w:val="7"/>
        <w:tabs>
          <w:tab w:val="right" w:leader="dot" w:pos="8290"/>
        </w:tabs>
        <w:spacing w:line="360" w:lineRule="auto"/>
        <w:ind w:left="0" w:leftChars="0" w:firstLine="0" w:firstLineChars="0"/>
        <w:rPr>
          <w:rFonts w:ascii="宋体" w:hAnsi="宋体" w:eastAsia="宋体"/>
          <w:highlight w:val="none"/>
        </w:rPr>
      </w:pPr>
      <w:r>
        <w:rPr>
          <w:highlight w:val="none"/>
        </w:rPr>
        <w:fldChar w:fldCharType="begin"/>
      </w:r>
      <w:r>
        <w:rPr>
          <w:highlight w:val="none"/>
        </w:rPr>
        <w:instrText xml:space="preserve"> HYPERLINK \l "_Toc207933767" </w:instrText>
      </w:r>
      <w:r>
        <w:rPr>
          <w:highlight w:val="none"/>
        </w:rPr>
        <w:fldChar w:fldCharType="separate"/>
      </w:r>
      <w:r>
        <w:rPr>
          <w:rStyle w:val="13"/>
          <w:rFonts w:hint="eastAsia" w:ascii="宋体" w:hAnsi="宋体" w:eastAsia="宋体"/>
          <w:highlight w:val="none"/>
          <w:u w:val="none"/>
        </w:rPr>
        <w:t>第二十六部分</w:t>
      </w:r>
      <w:r>
        <w:rPr>
          <w:rStyle w:val="13"/>
          <w:rFonts w:ascii="宋体" w:hAnsi="宋体" w:eastAsia="宋体"/>
          <w:highlight w:val="none"/>
          <w:u w:val="none"/>
        </w:rPr>
        <w:t xml:space="preserve">  </w:t>
      </w:r>
      <w:r>
        <w:rPr>
          <w:rStyle w:val="13"/>
          <w:rFonts w:hint="eastAsia" w:ascii="宋体" w:hAnsi="宋体" w:eastAsia="宋体"/>
          <w:highlight w:val="none"/>
          <w:u w:val="none"/>
        </w:rPr>
        <w:t>备查文件</w:t>
      </w:r>
      <w:r>
        <w:rPr>
          <w:rFonts w:ascii="宋体" w:hAnsi="宋体" w:eastAsia="宋体"/>
          <w:highlight w:val="none"/>
        </w:rPr>
        <w:tab/>
      </w:r>
      <w:r>
        <w:rPr>
          <w:rFonts w:ascii="宋体" w:hAnsi="宋体" w:eastAsia="宋体"/>
          <w:highlight w:val="none"/>
        </w:rPr>
        <w:fldChar w:fldCharType="begin"/>
      </w:r>
      <w:r>
        <w:rPr>
          <w:rFonts w:ascii="宋体" w:hAnsi="宋体" w:eastAsia="宋体"/>
          <w:highlight w:val="none"/>
        </w:rPr>
        <w:instrText xml:space="preserve"> PAGEREF _Toc207933767 \h </w:instrText>
      </w:r>
      <w:r>
        <w:rPr>
          <w:rFonts w:ascii="宋体" w:hAnsi="宋体" w:eastAsia="宋体"/>
          <w:highlight w:val="none"/>
        </w:rPr>
        <w:fldChar w:fldCharType="separate"/>
      </w:r>
      <w:r>
        <w:rPr>
          <w:rFonts w:ascii="宋体" w:hAnsi="宋体" w:eastAsia="宋体"/>
          <w:highlight w:val="none"/>
        </w:rPr>
        <w:t>162</w:t>
      </w:r>
      <w:r>
        <w:rPr>
          <w:rFonts w:ascii="宋体" w:hAnsi="宋体" w:eastAsia="宋体"/>
          <w:highlight w:val="none"/>
        </w:rPr>
        <w:fldChar w:fldCharType="end"/>
      </w:r>
      <w:r>
        <w:rPr>
          <w:rFonts w:ascii="宋体" w:hAnsi="宋体" w:eastAsia="宋体"/>
          <w:highlight w:val="none"/>
        </w:rPr>
        <w:fldChar w:fldCharType="end"/>
      </w:r>
    </w:p>
    <w:p w14:paraId="67C6FC10">
      <w:pPr>
        <w:widowControl/>
        <w:spacing w:line="360" w:lineRule="auto"/>
        <w:ind w:left="-2" w:leftChars="-1"/>
        <w:jc w:val="center"/>
        <w:rPr>
          <w:rFonts w:ascii="宋体" w:hAnsi="宋体" w:eastAsia="宋体"/>
          <w:b/>
          <w:sz w:val="28"/>
          <w:highlight w:val="none"/>
        </w:rPr>
      </w:pPr>
      <w:r>
        <w:rPr>
          <w:rFonts w:ascii="宋体" w:hAnsi="宋体" w:eastAsia="宋体"/>
          <w:highlight w:val="none"/>
        </w:rPr>
        <w:fldChar w:fldCharType="end"/>
      </w:r>
      <w:r>
        <w:rPr>
          <w:rFonts w:ascii="宋体" w:hAnsi="宋体" w:eastAsia="宋体"/>
          <w:b/>
          <w:sz w:val="28"/>
          <w:highlight w:val="none"/>
        </w:rPr>
        <w:br w:type="page"/>
      </w:r>
    </w:p>
    <w:p w14:paraId="2DD5AB91">
      <w:pPr>
        <w:pStyle w:val="2"/>
        <w:jc w:val="center"/>
        <w:rPr>
          <w:rFonts w:ascii="宋体" w:hAnsi="宋体" w:eastAsia="宋体"/>
          <w:sz w:val="30"/>
          <w:highlight w:val="none"/>
        </w:rPr>
      </w:pPr>
      <w:bookmarkStart w:id="7" w:name="chapter_level1_3_2344"/>
      <w:bookmarkStart w:id="8" w:name="_Toc207933742"/>
      <w:r>
        <w:rPr>
          <w:rFonts w:hint="eastAsia" w:ascii="宋体" w:hAnsi="宋体" w:eastAsia="宋体"/>
          <w:sz w:val="30"/>
          <w:highlight w:val="none"/>
        </w:rPr>
        <w:t>第一部分  绪言</w:t>
      </w:r>
      <w:bookmarkEnd w:id="7"/>
      <w:bookmarkEnd w:id="8"/>
    </w:p>
    <w:p w14:paraId="777B34B6">
      <w:pPr>
        <w:pStyle w:val="8"/>
        <w:spacing w:before="0" w:beforeAutospacing="0" w:after="0" w:afterAutospacing="0" w:line="360" w:lineRule="auto"/>
        <w:ind w:firstLine="420"/>
        <w:rPr>
          <w:sz w:val="21"/>
          <w:szCs w:val="21"/>
          <w:highlight w:val="none"/>
        </w:rPr>
      </w:pPr>
      <w:bookmarkStart w:id="9" w:name="chapter_level1_3_2344_section_1"/>
      <w:bookmarkEnd w:id="9"/>
      <w:r>
        <w:rPr>
          <w:rFonts w:hint="eastAsia"/>
          <w:sz w:val="21"/>
          <w:szCs w:val="21"/>
          <w:highlight w:val="none"/>
        </w:rPr>
        <w:t>《</w:t>
      </w:r>
      <w:bookmarkStart w:id="10" w:name="field_0_productfullname_3"/>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10"/>
      <w:r>
        <w:rPr>
          <w:rFonts w:hint="eastAsia"/>
          <w:sz w:val="21"/>
          <w:szCs w:val="21"/>
          <w:highlight w:val="none"/>
        </w:rPr>
        <w:t>招募说明书》（以下简称“招募说明书”或“本招募说明书”）依照《中华人民共和国证券法》(以下简称“《证券法》”)、《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bookmarkStart w:id="11" w:name="field_0_productfullname_4"/>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11"/>
      <w:r>
        <w:rPr>
          <w:rFonts w:hint="eastAsia"/>
          <w:sz w:val="21"/>
          <w:szCs w:val="21"/>
          <w:highlight w:val="none"/>
        </w:rPr>
        <w:t xml:space="preserve">基金合同》（以下简称“基金合同”）编写。  </w:t>
      </w:r>
    </w:p>
    <w:p w14:paraId="7C18834A">
      <w:pPr>
        <w:pStyle w:val="8"/>
        <w:spacing w:before="0" w:beforeAutospacing="0" w:after="0" w:afterAutospacing="0" w:line="360" w:lineRule="auto"/>
        <w:ind w:firstLine="420"/>
        <w:rPr>
          <w:sz w:val="21"/>
          <w:szCs w:val="21"/>
          <w:highlight w:val="none"/>
        </w:rPr>
      </w:pPr>
      <w:r>
        <w:rPr>
          <w:rFonts w:hint="eastAsia"/>
          <w:sz w:val="21"/>
          <w:szCs w:val="21"/>
          <w:highlight w:val="none"/>
        </w:rPr>
        <w:t>本招募说明书阐述了</w:t>
      </w:r>
      <w:bookmarkStart w:id="12" w:name="field_0_productfullname_5"/>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12"/>
      <w:r>
        <w:rPr>
          <w:rFonts w:hint="eastAsia"/>
          <w:sz w:val="21"/>
          <w:szCs w:val="21"/>
          <w:highlight w:val="none"/>
        </w:rPr>
        <w:t xml:space="preserve">的投资目标、策略、风险、费率等与投资人投资决策有关的必要事项，投资人在作出投资决策前应仔细阅读本招募说明书。 </w:t>
      </w:r>
    </w:p>
    <w:p w14:paraId="6C57867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基金管理人承诺本招募说明书不存在任何虚假记载、误导性陈述或重大遗漏，并对其真实性、准确性、完整性承担法律责任。 </w:t>
      </w:r>
    </w:p>
    <w:p w14:paraId="04302F03">
      <w:pPr>
        <w:pStyle w:val="8"/>
        <w:spacing w:before="0" w:beforeAutospacing="0" w:after="0" w:afterAutospacing="0" w:line="360" w:lineRule="auto"/>
        <w:ind w:firstLine="420"/>
        <w:rPr>
          <w:sz w:val="21"/>
          <w:szCs w:val="21"/>
          <w:highlight w:val="none"/>
        </w:rPr>
      </w:pPr>
      <w:bookmarkStart w:id="13" w:name="field_0_productfullname_6"/>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13"/>
      <w:r>
        <w:rPr>
          <w:rFonts w:hint="eastAsia"/>
          <w:sz w:val="21"/>
          <w:szCs w:val="21"/>
          <w:highlight w:val="none"/>
        </w:rPr>
        <w:t xml:space="preserve">（以下简称“基金”或“本基金”）是根据本招募说明书所载明的资料申请募集的。本基金管理人没有委托或授权任何其他人提供未在本招募说明书中载明的信息，或对本招募说明书作任何解释或者说明。 </w:t>
      </w:r>
    </w:p>
    <w:p w14:paraId="65BE0467">
      <w:pPr>
        <w:pStyle w:val="8"/>
        <w:spacing w:before="0" w:beforeAutospacing="0" w:after="0" w:afterAutospacing="0" w:line="360" w:lineRule="auto"/>
        <w:ind w:firstLine="420"/>
        <w:rPr>
          <w:sz w:val="21"/>
          <w:szCs w:val="21"/>
          <w:highlight w:val="none"/>
        </w:rPr>
      </w:pPr>
      <w:r>
        <w:rPr>
          <w:rFonts w:hint="eastAsia"/>
          <w:sz w:val="21"/>
          <w:szCs w:val="21"/>
          <w:highlight w:val="none"/>
        </w:rPr>
        <w:t>本招募说明书根据本基金的基金合同编写，并经中国证券监督管理委员会（以下简称“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w:t>
      </w:r>
      <w:bookmarkStart w:id="14" w:name="chapter_level1_3_2344_section_1_end"/>
      <w:bookmarkEnd w:id="14"/>
      <w:r>
        <w:rPr>
          <w:rFonts w:hint="eastAsia"/>
          <w:sz w:val="21"/>
          <w:szCs w:val="21"/>
          <w:highlight w:val="none"/>
        </w:rPr>
        <w:t xml:space="preserve">金合同。 </w:t>
      </w:r>
    </w:p>
    <w:p w14:paraId="152CA82A">
      <w:pPr>
        <w:widowControl/>
        <w:jc w:val="left"/>
        <w:rPr>
          <w:rFonts w:ascii="宋体" w:hAnsi="宋体" w:eastAsia="宋体"/>
          <w:highlight w:val="none"/>
        </w:rPr>
      </w:pPr>
      <w:r>
        <w:rPr>
          <w:rFonts w:ascii="宋体" w:hAnsi="宋体" w:eastAsia="宋体"/>
          <w:highlight w:val="none"/>
        </w:rPr>
        <w:br w:type="page"/>
      </w:r>
    </w:p>
    <w:p w14:paraId="143747C4">
      <w:pPr>
        <w:pStyle w:val="2"/>
        <w:jc w:val="center"/>
        <w:rPr>
          <w:rFonts w:ascii="宋体" w:hAnsi="宋体" w:eastAsia="宋体"/>
          <w:sz w:val="30"/>
          <w:highlight w:val="none"/>
        </w:rPr>
      </w:pPr>
      <w:bookmarkStart w:id="15" w:name="_Toc207933743"/>
      <w:bookmarkStart w:id="16" w:name="chapter_level1_4_49"/>
      <w:r>
        <w:rPr>
          <w:rFonts w:hint="eastAsia" w:ascii="宋体" w:hAnsi="宋体" w:eastAsia="宋体"/>
          <w:sz w:val="30"/>
          <w:highlight w:val="none"/>
        </w:rPr>
        <w:t>第二部分  释义</w:t>
      </w:r>
      <w:bookmarkEnd w:id="15"/>
      <w:bookmarkEnd w:id="16"/>
    </w:p>
    <w:p w14:paraId="7BDB466B">
      <w:pPr>
        <w:pStyle w:val="8"/>
        <w:spacing w:before="0" w:beforeAutospacing="0" w:after="0" w:afterAutospacing="0" w:line="360" w:lineRule="auto"/>
        <w:ind w:firstLine="420"/>
        <w:rPr>
          <w:sz w:val="21"/>
          <w:szCs w:val="21"/>
          <w:highlight w:val="none"/>
        </w:rPr>
      </w:pPr>
      <w:bookmarkStart w:id="17" w:name="chapter_level1_4_49_section_1"/>
      <w:bookmarkEnd w:id="17"/>
      <w:r>
        <w:rPr>
          <w:rFonts w:hint="eastAsia"/>
          <w:sz w:val="21"/>
          <w:szCs w:val="21"/>
          <w:highlight w:val="none"/>
        </w:rPr>
        <w:t xml:space="preserve">在本招募说明书中，除非文意另有所指，下列词语或简称具有以下含义：  </w:t>
      </w:r>
    </w:p>
    <w:p w14:paraId="726A48D0">
      <w:pPr>
        <w:pStyle w:val="8"/>
        <w:spacing w:before="0" w:beforeAutospacing="0" w:after="0" w:afterAutospacing="0" w:line="360" w:lineRule="auto"/>
        <w:ind w:firstLine="420"/>
        <w:rPr>
          <w:sz w:val="21"/>
          <w:szCs w:val="21"/>
          <w:highlight w:val="none"/>
        </w:rPr>
      </w:pPr>
      <w:r>
        <w:rPr>
          <w:rFonts w:hint="eastAsia"/>
          <w:sz w:val="21"/>
          <w:szCs w:val="21"/>
          <w:highlight w:val="none"/>
        </w:rPr>
        <w:t>1.基金或本基金：指</w:t>
      </w:r>
      <w:bookmarkStart w:id="18" w:name="field_0_productfullname_7"/>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18"/>
      <w:r>
        <w:rPr>
          <w:rFonts w:hint="eastAsia"/>
          <w:sz w:val="21"/>
          <w:szCs w:val="21"/>
          <w:highlight w:val="none"/>
        </w:rPr>
        <w:t xml:space="preserve">  </w:t>
      </w:r>
    </w:p>
    <w:p w14:paraId="73C26F97">
      <w:pPr>
        <w:pStyle w:val="8"/>
        <w:spacing w:before="0" w:beforeAutospacing="0" w:after="0" w:afterAutospacing="0" w:line="360" w:lineRule="auto"/>
        <w:ind w:firstLine="420"/>
        <w:rPr>
          <w:sz w:val="21"/>
          <w:szCs w:val="21"/>
          <w:highlight w:val="none"/>
        </w:rPr>
      </w:pPr>
      <w:r>
        <w:rPr>
          <w:rFonts w:hint="eastAsia"/>
          <w:sz w:val="21"/>
          <w:szCs w:val="21"/>
          <w:highlight w:val="none"/>
        </w:rPr>
        <w:t>2.基金管理人：指</w:t>
      </w:r>
      <w:bookmarkStart w:id="19" w:name="field_0_managerorgfullname_1"/>
      <w:r>
        <w:rPr>
          <w:rFonts w:hint="eastAsia"/>
          <w:sz w:val="21"/>
          <w:szCs w:val="21"/>
          <w:highlight w:val="none"/>
        </w:rPr>
        <w:t>博时基金管理有限公司</w:t>
      </w:r>
      <w:bookmarkEnd w:id="19"/>
      <w:r>
        <w:rPr>
          <w:rFonts w:hint="eastAsia"/>
          <w:sz w:val="21"/>
          <w:szCs w:val="21"/>
          <w:highlight w:val="none"/>
        </w:rPr>
        <w:t xml:space="preserve">  </w:t>
      </w:r>
    </w:p>
    <w:p w14:paraId="2B6C31F7">
      <w:pPr>
        <w:pStyle w:val="8"/>
        <w:spacing w:before="0" w:beforeAutospacing="0" w:after="0" w:afterAutospacing="0" w:line="360" w:lineRule="auto"/>
        <w:ind w:firstLine="420"/>
        <w:rPr>
          <w:sz w:val="21"/>
          <w:szCs w:val="21"/>
          <w:highlight w:val="none"/>
        </w:rPr>
      </w:pPr>
      <w:r>
        <w:rPr>
          <w:rFonts w:hint="eastAsia"/>
          <w:sz w:val="21"/>
          <w:szCs w:val="21"/>
          <w:highlight w:val="none"/>
        </w:rPr>
        <w:t>3.基金托管人：指</w:t>
      </w:r>
      <w:bookmarkStart w:id="20" w:name="field_0_trustorgfullname_1"/>
      <w:r>
        <w:rPr>
          <w:rFonts w:hint="eastAsia"/>
          <w:sz w:val="21"/>
          <w:szCs w:val="21"/>
          <w:highlight w:val="none"/>
        </w:rPr>
        <w:t>中国国际金融股份有限公司</w:t>
      </w:r>
      <w:bookmarkEnd w:id="20"/>
      <w:r>
        <w:rPr>
          <w:rFonts w:hint="eastAsia"/>
          <w:sz w:val="21"/>
          <w:szCs w:val="21"/>
          <w:highlight w:val="none"/>
        </w:rPr>
        <w:t xml:space="preserve">  </w:t>
      </w:r>
    </w:p>
    <w:p w14:paraId="10C11D35">
      <w:pPr>
        <w:pStyle w:val="8"/>
        <w:spacing w:before="0" w:beforeAutospacing="0" w:after="0" w:afterAutospacing="0" w:line="360" w:lineRule="auto"/>
        <w:ind w:firstLine="420"/>
        <w:rPr>
          <w:sz w:val="21"/>
          <w:szCs w:val="21"/>
          <w:highlight w:val="none"/>
        </w:rPr>
      </w:pPr>
      <w:r>
        <w:rPr>
          <w:rFonts w:hint="eastAsia"/>
          <w:sz w:val="21"/>
          <w:szCs w:val="21"/>
          <w:highlight w:val="none"/>
        </w:rPr>
        <w:t>4.基金合同：指《</w:t>
      </w:r>
      <w:bookmarkStart w:id="21" w:name="field_0_productfullname_8"/>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21"/>
      <w:r>
        <w:rPr>
          <w:rFonts w:hint="eastAsia"/>
          <w:sz w:val="21"/>
          <w:szCs w:val="21"/>
          <w:highlight w:val="none"/>
        </w:rPr>
        <w:t xml:space="preserve">基金合同》及对基金合同的任何有效修订和补充 </w:t>
      </w:r>
    </w:p>
    <w:p w14:paraId="41B8830A">
      <w:pPr>
        <w:pStyle w:val="8"/>
        <w:spacing w:before="0" w:beforeAutospacing="0" w:after="0" w:afterAutospacing="0" w:line="360" w:lineRule="auto"/>
        <w:ind w:firstLine="420"/>
        <w:rPr>
          <w:sz w:val="21"/>
          <w:szCs w:val="21"/>
          <w:highlight w:val="none"/>
        </w:rPr>
      </w:pPr>
      <w:r>
        <w:rPr>
          <w:rFonts w:hint="eastAsia"/>
          <w:sz w:val="21"/>
          <w:szCs w:val="21"/>
          <w:highlight w:val="none"/>
        </w:rPr>
        <w:t>5.托管协议：指基金管理人与基金托管人就本基金签订之《</w:t>
      </w:r>
      <w:bookmarkStart w:id="22" w:name="field_0_productfullname_9"/>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22"/>
      <w:r>
        <w:rPr>
          <w:rFonts w:hint="eastAsia"/>
          <w:sz w:val="21"/>
          <w:szCs w:val="21"/>
          <w:highlight w:val="none"/>
        </w:rPr>
        <w:t xml:space="preserve">托管协议》及对该托管协议的任何有效修订和补充 </w:t>
      </w:r>
    </w:p>
    <w:p w14:paraId="10675EC3">
      <w:pPr>
        <w:pStyle w:val="8"/>
        <w:spacing w:before="0" w:beforeAutospacing="0" w:after="0" w:afterAutospacing="0" w:line="360" w:lineRule="auto"/>
        <w:ind w:firstLine="420"/>
        <w:rPr>
          <w:sz w:val="21"/>
          <w:szCs w:val="21"/>
          <w:highlight w:val="none"/>
        </w:rPr>
      </w:pPr>
      <w:r>
        <w:rPr>
          <w:rFonts w:hint="eastAsia"/>
          <w:sz w:val="21"/>
          <w:szCs w:val="21"/>
          <w:highlight w:val="none"/>
        </w:rPr>
        <w:t>6.招募说明书或本招募说明书：指《</w:t>
      </w:r>
      <w:bookmarkStart w:id="23" w:name="field_0_productfullname_10"/>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23"/>
      <w:r>
        <w:rPr>
          <w:rFonts w:hint="eastAsia"/>
          <w:sz w:val="21"/>
          <w:szCs w:val="21"/>
          <w:highlight w:val="none"/>
        </w:rPr>
        <w:t xml:space="preserve">招募说明书》及其更新 </w:t>
      </w:r>
    </w:p>
    <w:p w14:paraId="3FC48B84">
      <w:pPr>
        <w:pStyle w:val="8"/>
        <w:spacing w:before="0" w:beforeAutospacing="0" w:after="0" w:afterAutospacing="0" w:line="360" w:lineRule="auto"/>
        <w:ind w:firstLine="420"/>
        <w:rPr>
          <w:sz w:val="21"/>
          <w:szCs w:val="21"/>
          <w:highlight w:val="none"/>
        </w:rPr>
      </w:pPr>
      <w:r>
        <w:rPr>
          <w:rFonts w:hint="eastAsia"/>
          <w:sz w:val="21"/>
          <w:szCs w:val="21"/>
          <w:highlight w:val="none"/>
        </w:rPr>
        <w:t>7.基金产品资料概要：指《</w:t>
      </w:r>
      <w:bookmarkStart w:id="24" w:name="field_0_productfullname_11"/>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24"/>
      <w:r>
        <w:rPr>
          <w:rFonts w:hint="eastAsia"/>
          <w:sz w:val="21"/>
          <w:szCs w:val="21"/>
          <w:highlight w:val="none"/>
        </w:rPr>
        <w:t xml:space="preserve">基金产品资料概要》及其更新 </w:t>
      </w:r>
    </w:p>
    <w:p w14:paraId="3D81B85F">
      <w:pPr>
        <w:pStyle w:val="8"/>
        <w:spacing w:before="0" w:beforeAutospacing="0" w:after="0" w:afterAutospacing="0" w:line="360" w:lineRule="auto"/>
        <w:ind w:firstLine="420"/>
        <w:rPr>
          <w:sz w:val="21"/>
          <w:szCs w:val="21"/>
          <w:highlight w:val="none"/>
        </w:rPr>
      </w:pPr>
      <w:r>
        <w:rPr>
          <w:rFonts w:hint="eastAsia"/>
          <w:sz w:val="21"/>
          <w:szCs w:val="21"/>
          <w:highlight w:val="none"/>
        </w:rPr>
        <w:t>8.基金份额发售公告：指《</w:t>
      </w:r>
      <w:bookmarkStart w:id="25" w:name="field_0_productfullname_12"/>
      <w:r>
        <w:rPr>
          <w:rFonts w:hint="eastAsia"/>
          <w:sz w:val="21"/>
          <w:szCs w:val="21"/>
          <w:highlight w:val="none"/>
        </w:rPr>
        <w:t>博时恒生港股通高股息率交易型开放式指数证券投资基金</w:t>
      </w:r>
      <w:bookmarkEnd w:id="25"/>
      <w:r>
        <w:rPr>
          <w:rFonts w:hint="eastAsia"/>
          <w:sz w:val="21"/>
          <w:szCs w:val="21"/>
          <w:highlight w:val="none"/>
        </w:rPr>
        <w:t xml:space="preserve">基金份额发售公告》 </w:t>
      </w:r>
    </w:p>
    <w:p w14:paraId="79984C0A">
      <w:pPr>
        <w:pStyle w:val="8"/>
        <w:spacing w:before="0" w:beforeAutospacing="0" w:after="0" w:afterAutospacing="0" w:line="360" w:lineRule="auto"/>
        <w:ind w:firstLine="420"/>
        <w:rPr>
          <w:sz w:val="21"/>
          <w:szCs w:val="21"/>
          <w:highlight w:val="none"/>
        </w:rPr>
      </w:pPr>
      <w:r>
        <w:rPr>
          <w:rFonts w:hint="eastAsia"/>
          <w:sz w:val="21"/>
          <w:szCs w:val="21"/>
          <w:highlight w:val="none"/>
        </w:rPr>
        <w:t>9.上市交易公告书：指《</w:t>
      </w:r>
      <w:bookmarkStart w:id="26" w:name="field_0_productfullname_13"/>
      <w:r>
        <w:rPr>
          <w:rFonts w:hint="eastAsia"/>
          <w:sz w:val="21"/>
          <w:szCs w:val="21"/>
          <w:highlight w:val="none"/>
        </w:rPr>
        <w:t>博时恒生港股通高股息率交易型开放式指数证券投资基金</w:t>
      </w:r>
      <w:bookmarkEnd w:id="26"/>
      <w:r>
        <w:rPr>
          <w:rFonts w:hint="eastAsia"/>
          <w:sz w:val="21"/>
          <w:szCs w:val="21"/>
          <w:highlight w:val="none"/>
        </w:rPr>
        <w:t xml:space="preserve">基金份额上市交易公告书》 </w:t>
      </w:r>
    </w:p>
    <w:p w14:paraId="4B8B597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 法律法规：指中国现行有效并公布实施的法律、行政法规、规范性文件、司法解释、行政规章以及其他对基金合同当事人有约束力的决定、决议、通知等 </w:t>
      </w:r>
    </w:p>
    <w:p w14:paraId="62F0EB5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 《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574D3C8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 《销售办法》：指中国证监会2020年8月28日颁布、同年10月1日实施的《公开募集证券投资基金销售机构监督管理办法》及颁布机关对其不时做出的修订 </w:t>
      </w:r>
    </w:p>
    <w:p w14:paraId="361750D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13. 《信息披露办法》：指中国证监会2019年7月26日颁布、同年9月1日实施，并经2020年3月20日中国证监会《关于修改部分证券期货规章的决定》修正的《公开募集证券投资基金信息披露管理办法》及颁布机关对其不时做出的修订 </w:t>
      </w:r>
    </w:p>
    <w:p w14:paraId="674EDFF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14. 《运作办法》：指中国证监会2014年7月7日颁布、同年8月8日实施的《公开募集证券投资基金运作管理办法》及颁布机关对其不时做出的修订 </w:t>
      </w:r>
    </w:p>
    <w:p w14:paraId="6773695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15. 《流动性风险管理规定》：指中国证监会2017年8月31日颁布、同年10月1日实施的《公开募集开放式证券投资基金流动性风险管理规定》及颁布机关对其不时做出的修订 </w:t>
      </w:r>
    </w:p>
    <w:p w14:paraId="5844562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16. 《指数基金指引》：指中国证监会2021年颁布、同年2月1日实施的《公开募集证券投资基金运作指引第3号——指数基金指引》及颁布机关对其不时做出的修订 </w:t>
      </w:r>
    </w:p>
    <w:p w14:paraId="0EADD4D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17.业务规则：指上海证券交易所、登记机构、基金管理人及销售机构的相关业务规则及其不时做出的修订 </w:t>
      </w:r>
    </w:p>
    <w:p w14:paraId="7BF43A7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18. 中国证监会：指中国证券监督管理委员会 </w:t>
      </w:r>
    </w:p>
    <w:p w14:paraId="7CE74B0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19. 基金合同当事人：指受基金合同约束，根据基金合同享有权利并承担义务的法律主体，包括基金管理人、基金托管人和基金份额持有人 </w:t>
      </w:r>
    </w:p>
    <w:p w14:paraId="0BB7C34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20. 个人投资者：指依据有关法律法规规定可投资于证券投资基金的自然人 </w:t>
      </w:r>
    </w:p>
    <w:p w14:paraId="2BDCDE2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21. 机构投资者：指依法可以投资证券投资基金的、在中华人民共和国境内合法登记并存续或经有关政府部门批准设立并存续的企业法人、事业法人、社会团体或其他组织 </w:t>
      </w:r>
    </w:p>
    <w:p w14:paraId="638048C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22. 合格境外机构投资者：指符合《合格境外机构投资者和人民币合格境外机构投资者境内证券期货投资管理办法》及相关法律法规规定可以投资于在中国境内依法募集的证券投资基金的中国境外的机构投资者 </w:t>
      </w:r>
    </w:p>
    <w:p w14:paraId="41C8AAD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23. 人民币合格境外机构投资者：指按照《合格境外机构投资者和人民币合格境外机构投资者境内证券期货投资管理办法》及相关法律法规规定，运用来自境外的人民币资金进行境内证券投资的境外法人 </w:t>
      </w:r>
    </w:p>
    <w:p w14:paraId="1BD9FAB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24. 投资人、投资者：指个人投资者、机构投资者、合格境外机构投资者和人民币合格境外机构投资者以及法律法规或中国证监会允许购买证券投资基金的其他投资人的合称 </w:t>
      </w:r>
    </w:p>
    <w:p w14:paraId="6D656144">
      <w:pPr>
        <w:pStyle w:val="8"/>
        <w:spacing w:before="0" w:beforeAutospacing="0" w:after="0" w:afterAutospacing="0" w:line="360" w:lineRule="auto"/>
        <w:ind w:firstLine="420"/>
        <w:rPr>
          <w:sz w:val="21"/>
          <w:szCs w:val="21"/>
          <w:highlight w:val="none"/>
        </w:rPr>
      </w:pPr>
      <w:bookmarkStart w:id="27" w:name="chapter_level1_4_49_section_1_end"/>
      <w:bookmarkEnd w:id="27"/>
      <w:r>
        <w:rPr>
          <w:rFonts w:hint="eastAsia"/>
          <w:sz w:val="21"/>
          <w:szCs w:val="21"/>
          <w:highlight w:val="none"/>
        </w:rPr>
        <w:t xml:space="preserve">25. 基金份额持有人：指依基金合同和招募说明书合法取得基金份额的投资人 </w:t>
      </w:r>
    </w:p>
    <w:p w14:paraId="74BF2324">
      <w:pPr>
        <w:pStyle w:val="8"/>
        <w:spacing w:before="0" w:beforeAutospacing="0" w:after="0" w:afterAutospacing="0" w:line="360" w:lineRule="auto"/>
        <w:ind w:firstLine="420"/>
        <w:rPr>
          <w:sz w:val="21"/>
          <w:szCs w:val="21"/>
          <w:highlight w:val="none"/>
        </w:rPr>
      </w:pPr>
      <w:bookmarkStart w:id="28" w:name="chapter_level1_4_49_section_2"/>
      <w:bookmarkEnd w:id="28"/>
      <w:r>
        <w:rPr>
          <w:rFonts w:hint="eastAsia"/>
          <w:sz w:val="21"/>
          <w:szCs w:val="21"/>
          <w:highlight w:val="none"/>
        </w:rPr>
        <w:t xml:space="preserve">26. 发售代理机构：指符合《销售办法》和中国证监会规定的其他条件，由基金管理人指定的代理本基金发售业务的机构  </w:t>
      </w:r>
    </w:p>
    <w:p w14:paraId="7BEC32D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27. 申购、赎回代理券商：指基金管理人指定的，在基金合同生效后代理办理本基金申购、赎回业务的证券公司，又称为代办证券公司 </w:t>
      </w:r>
    </w:p>
    <w:p w14:paraId="3B1879D7">
      <w:pPr>
        <w:pStyle w:val="8"/>
        <w:spacing w:before="0" w:beforeAutospacing="0" w:after="0" w:afterAutospacing="0" w:line="360" w:lineRule="auto"/>
        <w:ind w:firstLine="420"/>
        <w:rPr>
          <w:sz w:val="21"/>
          <w:szCs w:val="21"/>
          <w:highlight w:val="none"/>
        </w:rPr>
      </w:pPr>
      <w:r>
        <w:rPr>
          <w:rFonts w:hint="eastAsia"/>
          <w:sz w:val="21"/>
          <w:szCs w:val="21"/>
          <w:highlight w:val="none"/>
        </w:rPr>
        <w:t>28. 直销机构：指</w:t>
      </w:r>
      <w:bookmarkStart w:id="29" w:name="field_0_managerorgfullname_2"/>
      <w:r>
        <w:rPr>
          <w:rFonts w:hint="eastAsia"/>
          <w:sz w:val="21"/>
          <w:szCs w:val="21"/>
          <w:highlight w:val="none"/>
        </w:rPr>
        <w:t>博时基金管理有限公司</w:t>
      </w:r>
      <w:bookmarkEnd w:id="29"/>
      <w:r>
        <w:rPr>
          <w:rFonts w:hint="eastAsia"/>
          <w:sz w:val="21"/>
          <w:szCs w:val="21"/>
          <w:highlight w:val="none"/>
        </w:rPr>
        <w:t xml:space="preserve">  </w:t>
      </w:r>
    </w:p>
    <w:p w14:paraId="66D31F2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29. 代销机构：指符合《销售办法》和中国证监会规定的其他条件，取得基金销售业务资格并与基金管理人签订了基金销售服务协议，办理基金销售业务的机构，包括发售代理机构和申购、赎回代理券商（代办证券公司） </w:t>
      </w:r>
    </w:p>
    <w:p w14:paraId="2334623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30. 销售机构：指直销机构与代销机构 </w:t>
      </w:r>
    </w:p>
    <w:p w14:paraId="13386E1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31. 登记机构：指办理登记业务的机构。本基金的登记机构为中国证券登记结算有限责任公司 </w:t>
      </w:r>
    </w:p>
    <w:p w14:paraId="49B3070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32. 登记业务：指基金登记、存管、过户、清算和结算业务，具体内容包括投资者账户的建立和管理、基金份额登记、基金交易的确认、清算和结算、代理发放红利、建立并保管基金份额持有人名册等 </w:t>
      </w:r>
    </w:p>
    <w:p w14:paraId="2762B12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33. 基金合同生效日：指基金募集达到法律法规规定及基金合同规定的条件，基金管理人向中国证监会办理基金备案手续完毕，并获得中国证监会书面确认的日期 </w:t>
      </w:r>
    </w:p>
    <w:p w14:paraId="7DAAD7D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34. 基金合同终止日：指基金合同规定的基金合同终止事由出现后，基金财产清算完毕，清算结果报中国证监会备案并予以公告的日期 </w:t>
      </w:r>
    </w:p>
    <w:p w14:paraId="28FDCD5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35. 基金募集期：指自基金份额发售之日起至发售结束之日止的期间，最长不得超过3个月 </w:t>
      </w:r>
    </w:p>
    <w:p w14:paraId="061524C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36. 存续期：指基金合同生效至终止之间的不定期期限 </w:t>
      </w:r>
    </w:p>
    <w:p w14:paraId="2BB0EE3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37. 工作日：指上海证券交易所、深圳证券交易所的正常交易日 </w:t>
      </w:r>
    </w:p>
    <w:p w14:paraId="2054EF8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38. T日：指销售机构在规定时间受理投资人申购、赎回或其他业务申请的开放日 </w:t>
      </w:r>
    </w:p>
    <w:p w14:paraId="728C4EB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39. T+n日：指自T日起第n个工作日（不包含T日） </w:t>
      </w:r>
    </w:p>
    <w:p w14:paraId="48F8477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40. 开放日：指为投资人办理基金份额申购、赎回或其他业务的港股通、上海证券交易所同时正常开放交易的工作日 </w:t>
      </w:r>
    </w:p>
    <w:p w14:paraId="040577E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41. 开放时间：指开放日基金接受申购、赎回或其他交易的时间段 </w:t>
      </w:r>
    </w:p>
    <w:p w14:paraId="0D92CAA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42. 认购：指在基金募集期内，投资人根据基金合同和招募说明书的规定申请购买基金份额的行为 </w:t>
      </w:r>
    </w:p>
    <w:p w14:paraId="1D711D3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43. 申购：指基金合同生效后，投资人根据基金合同和招募说明书的规定，以申购赎回清单规定的申购对价向基金管理人申请购买基金份额的行为 </w:t>
      </w:r>
    </w:p>
    <w:p w14:paraId="2D97FB5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44. 赎回：指基金合同生效后，基金份额持有人按基金合同和招募说明书的规定，将基金份额兑换为申购赎回清单规定的赎回对价的行为 </w:t>
      </w:r>
    </w:p>
    <w:p w14:paraId="1D6370D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45. 申购、赎回清单：指由基金管理人编制的用以公告申购对价、赎回对价等信息的文件 </w:t>
      </w:r>
    </w:p>
    <w:p w14:paraId="1906083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46. 申购对价：指投资人申购基金份额时，按基金合同和招募说明书规定应交付的现金替代、现金差额及其他对价 </w:t>
      </w:r>
    </w:p>
    <w:p w14:paraId="30B4F8A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47. 赎回对价：指投资人赎回基金份额时，基金管理人按基金合同和招募说明书规定应交付给赎回人的现金替代、现金差额及其他对价 </w:t>
      </w:r>
    </w:p>
    <w:p w14:paraId="02002B6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48. 组合证券：指本基金标的指数所包含的全部或部分证券 </w:t>
      </w:r>
    </w:p>
    <w:p w14:paraId="6F07E587">
      <w:pPr>
        <w:pStyle w:val="8"/>
        <w:spacing w:before="0" w:beforeAutospacing="0" w:after="0" w:afterAutospacing="0" w:line="360" w:lineRule="auto"/>
        <w:ind w:firstLine="420"/>
        <w:rPr>
          <w:sz w:val="21"/>
          <w:szCs w:val="21"/>
          <w:highlight w:val="none"/>
        </w:rPr>
      </w:pPr>
      <w:r>
        <w:rPr>
          <w:rFonts w:hint="eastAsia"/>
          <w:sz w:val="21"/>
          <w:szCs w:val="21"/>
          <w:highlight w:val="none"/>
        </w:rPr>
        <w:t>49. 标的指数：指恒生指数有限公司编制并发布的恒生港股通</w:t>
      </w:r>
      <w:r>
        <w:rPr>
          <w:rFonts w:hint="eastAsia"/>
          <w:sz w:val="21"/>
          <w:szCs w:val="21"/>
          <w:highlight w:val="none"/>
          <w:lang w:eastAsia="zh-CN"/>
        </w:rPr>
        <w:t>红利</w:t>
      </w:r>
      <w:r>
        <w:rPr>
          <w:rFonts w:hint="eastAsia"/>
          <w:sz w:val="21"/>
          <w:szCs w:val="21"/>
          <w:highlight w:val="none"/>
        </w:rPr>
        <w:t xml:space="preserve">指数及其未来可能发生的变更 </w:t>
      </w:r>
    </w:p>
    <w:p w14:paraId="08F73CD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50. 完全复制法：指一种跟踪指数的方法。通过购买标的指数中的所有成份证券，并且按照每种成份证券在标的指数中的权重确定购买的比例以构建指数组合，达到复制指数的目的 </w:t>
      </w:r>
    </w:p>
    <w:p w14:paraId="6D7D308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51. 现金替代：指申购、赎回过程中，投资人按基金合同和招募说明书的规定，用于替代组合证券中部分证券的一定数量的现金 </w:t>
      </w:r>
    </w:p>
    <w:p w14:paraId="74607FF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52. 现金替代退补款：指投资人支付的现金替代与基金购入被替代成份证券的成本及相关费用的差额。若现金替代大于本基金购入被替代成份证券的成本及相关费用，则本基金需向投资人退还差额，若现金替代小于本基金购入被替代成份证券的成本及相关费用，则投资人需向本基金补缴差额 </w:t>
      </w:r>
    </w:p>
    <w:p w14:paraId="191B2A5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53. 现金差额：指最小申购、赎回单位的资产净值与按当日收盘价计算的最小申购、赎回单位中的组合证券市值和现金替代之差；投资人申购、赎回时应支付或应获得的现金差额根据最小申购、赎回单位对应的现金差额、申购或赎回的基金份额数计算 </w:t>
      </w:r>
    </w:p>
    <w:p w14:paraId="574EA75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54. 最小申购、赎回单位：指本基金申购、赎回份额的最低数量，投资人申购、赎回的基金份额应为最小申购、赎回单位的整数倍 </w:t>
      </w:r>
    </w:p>
    <w:p w14:paraId="0BB994B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55. 基金份额参考净值：指基金管理人或基金管理人委托其他机构在交易时间内根据申购、赎回清单和组合证券内各只证券的实时成交数据及汇率数据计算并由上海证券交易所在交易时间内发布的基金份额参考净值，简称IOPV </w:t>
      </w:r>
    </w:p>
    <w:p w14:paraId="64C86E4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56. 预估现金部分：指为便于计算基金份额参考净值及申购赎回代理券商预先冻结申请申购、赎回的投资人的相应资金，由基金管理人计算并公布的现金数额 </w:t>
      </w:r>
    </w:p>
    <w:p w14:paraId="330F6F8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57. 元：指人民币元 </w:t>
      </w:r>
    </w:p>
    <w:p w14:paraId="0D5ECF3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58. 基金收益：指基金投资所得红利、股息、债券利息、买卖证券价差、银行存款利息、已实现的其他合法收入及因运用基金财产带来的成本和费用的节约 </w:t>
      </w:r>
    </w:p>
    <w:p w14:paraId="33371A3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59. 基金份额折算：指基金管理人根据基金合同规定将投资人的基金份额进行变更登记的行为 </w:t>
      </w:r>
    </w:p>
    <w:p w14:paraId="1588C9E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60. 收益评价日：指基金管理人计算本基金份额净值增长率与标的指数同期增长率差额之日 </w:t>
      </w:r>
    </w:p>
    <w:p w14:paraId="68A1087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61. 基金份额净值增长率：指收益评价日基金份额净值与基金上市前一日基金份额净值之比减去1乘以100%（期间发生基金份额折算、拆分或合并，则以基金份额折算日、经拆分或合并调整后的基金份额折算日为初始日重新计算） </w:t>
      </w:r>
    </w:p>
    <w:p w14:paraId="282F1AE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62. 标的指数同期增长率：指收益评价日标的指数收盘价与基金上市前一日标的指数收盘价之比减去1乘以100%（期间发生基金份额折算、拆分或合并，则以基金份额折算日、经拆分或合并调整后的基金份额折算日为初始日重新计算） </w:t>
      </w:r>
    </w:p>
    <w:p w14:paraId="33249FD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63. 基金资产总值：指基金拥有的各类有价证券、银行存款本息、基金应收申购款及其他资产的价值总和 </w:t>
      </w:r>
    </w:p>
    <w:p w14:paraId="1326D72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64. 基金资产净值：指基金资产总值减去基金负债后的价值 </w:t>
      </w:r>
    </w:p>
    <w:p w14:paraId="14008E2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65. 基金份额净值：指计算日基金资产净值除以计算日基金份额总数 </w:t>
      </w:r>
    </w:p>
    <w:p w14:paraId="1C6846A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66. 基金资产估值：指计算评估基金资产和负债的价值，以确定基金资产净值和基金份额净值的过程 </w:t>
      </w:r>
    </w:p>
    <w:p w14:paraId="41F47DA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67. 规定媒介：指符合中国证监会规定条件的用以进行信息披露的全国性报刊及《信息披露办法》规定的互联网网站（包括基金管理人网站、基金托管人网站、中国证监会基金电子披露网站）等媒介 </w:t>
      </w:r>
    </w:p>
    <w:p w14:paraId="43A3AA4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68. 交易型开放式指数证券投资基金：指《上海证券交易所交易型开放式指数基金业务实施细则》定义的“交易型开放式指数基金”，简称“ETF” </w:t>
      </w:r>
    </w:p>
    <w:p w14:paraId="540AD0CA">
      <w:pPr>
        <w:pStyle w:val="8"/>
        <w:spacing w:before="0" w:beforeAutospacing="0" w:after="0" w:afterAutospacing="0" w:line="360" w:lineRule="auto"/>
        <w:ind w:firstLine="420"/>
        <w:rPr>
          <w:sz w:val="21"/>
          <w:szCs w:val="21"/>
          <w:highlight w:val="none"/>
        </w:rPr>
      </w:pPr>
      <w:r>
        <w:rPr>
          <w:rFonts w:hint="eastAsia"/>
          <w:sz w:val="21"/>
          <w:szCs w:val="21"/>
          <w:highlight w:val="none"/>
        </w:rPr>
        <w:t>69. 联接基金：指将绝大部分基金财产投资于</w:t>
      </w:r>
      <w:bookmarkStart w:id="30" w:name="field_0_productfullname_14"/>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30"/>
      <w:r>
        <w:rPr>
          <w:rFonts w:hint="eastAsia"/>
          <w:sz w:val="21"/>
          <w:szCs w:val="21"/>
          <w:highlight w:val="none"/>
        </w:rPr>
        <w:t xml:space="preserve">（目标ETF），紧密跟踪标的指数表现，追求跟踪偏离度和跟踪误差最小化，获得与指数收益相似的回报，采用开放式运作方式的基金 </w:t>
      </w:r>
    </w:p>
    <w:p w14:paraId="286E57D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70. 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 </w:t>
      </w:r>
    </w:p>
    <w:p w14:paraId="24D2322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71. 港股通：指内地投资者委托内地证券公司，经由上海证券交易所、深圳证券交易所或经中国证监会认可的机构设立的证券交易服务公司，向香港联合交易所有限公司进行申报，买卖沪港通、深港通规定范围内的香港联合交易所上市的股票 </w:t>
      </w:r>
    </w:p>
    <w:p w14:paraId="48FD04D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72. 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7F22593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73. 转融通证券出借业务：指基金以一定的费率通过证券交易所综合业务平台向中国证券金融股份有限公司（以下简称证券金融公司）出借证券，证券金融公司到期归还所借证券及相应权益补偿并支付费用的业务 </w:t>
      </w:r>
    </w:p>
    <w:p w14:paraId="31D88C9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74. 特定机构投资者：指根据上海证券交易所颁布的《特定机构投资者参与交易型开放式指数基金申购赎回业务指引》所定义机构投资者 </w:t>
      </w:r>
    </w:p>
    <w:p w14:paraId="0A861CF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75. 中国：指中华人民共和国，就基金合同而言，不包括香港特别行政区、澳门特别行政区和台湾地区 </w:t>
      </w:r>
    </w:p>
    <w:p w14:paraId="5D70D9CF">
      <w:pPr>
        <w:pStyle w:val="8"/>
        <w:spacing w:before="0" w:beforeAutospacing="0" w:after="0" w:afterAutospacing="0" w:line="360" w:lineRule="auto"/>
        <w:ind w:firstLine="420"/>
        <w:rPr>
          <w:sz w:val="21"/>
          <w:szCs w:val="21"/>
          <w:highlight w:val="none"/>
        </w:rPr>
      </w:pPr>
      <w:bookmarkStart w:id="31" w:name="chapter_level1_4_49_section_2_end"/>
      <w:bookmarkEnd w:id="31"/>
      <w:r>
        <w:rPr>
          <w:rFonts w:hint="eastAsia"/>
          <w:sz w:val="21"/>
          <w:szCs w:val="21"/>
          <w:highlight w:val="none"/>
        </w:rPr>
        <w:t xml:space="preserve">76. 不可抗力：指基金合同当事人不能预见、不能避免且不能克服的客观事件 </w:t>
      </w:r>
    </w:p>
    <w:p w14:paraId="3987A5A8">
      <w:pPr>
        <w:widowControl/>
        <w:jc w:val="left"/>
        <w:rPr>
          <w:rFonts w:ascii="宋体" w:hAnsi="宋体" w:eastAsia="宋体"/>
          <w:highlight w:val="none"/>
        </w:rPr>
      </w:pPr>
      <w:r>
        <w:rPr>
          <w:rFonts w:ascii="宋体" w:hAnsi="宋体" w:eastAsia="宋体"/>
          <w:highlight w:val="none"/>
        </w:rPr>
        <w:br w:type="page"/>
      </w:r>
    </w:p>
    <w:p w14:paraId="3C179415">
      <w:pPr>
        <w:pStyle w:val="2"/>
        <w:jc w:val="center"/>
        <w:rPr>
          <w:rFonts w:ascii="宋体" w:hAnsi="宋体" w:eastAsia="宋体"/>
          <w:sz w:val="30"/>
          <w:highlight w:val="none"/>
        </w:rPr>
      </w:pPr>
      <w:bookmarkStart w:id="32" w:name="_Toc207933745"/>
      <w:bookmarkStart w:id="33" w:name="chapter_level1_6_55"/>
      <w:r>
        <w:rPr>
          <w:rFonts w:hint="eastAsia" w:ascii="宋体" w:hAnsi="宋体" w:eastAsia="宋体"/>
          <w:sz w:val="30"/>
          <w:highlight w:val="none"/>
        </w:rPr>
        <w:t>第三部分  基金管理人</w:t>
      </w:r>
    </w:p>
    <w:p w14:paraId="35B4662D">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一、基金管理人概况</w:t>
      </w:r>
    </w:p>
    <w:p w14:paraId="0B0C9FB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名称：博时基金管理有限公司 </w:t>
      </w:r>
    </w:p>
    <w:p w14:paraId="66F2A49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住所：深圳市福田区莲花街道福新社区益田路5999号基金大厦21层 </w:t>
      </w:r>
    </w:p>
    <w:p w14:paraId="5489094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办公地址：广东省深圳市福田区益田路5999号基金大厦21层 </w:t>
      </w:r>
    </w:p>
    <w:p w14:paraId="5D25FFD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法定代表人：张东 </w:t>
      </w:r>
    </w:p>
    <w:p w14:paraId="735AB87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成立时间：1998年7月13日 </w:t>
      </w:r>
    </w:p>
    <w:p w14:paraId="4BDB454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注册资本：2.5亿元人民币 </w:t>
      </w:r>
    </w:p>
    <w:p w14:paraId="1F9DFB3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存续期间：持续经营 </w:t>
      </w:r>
    </w:p>
    <w:p w14:paraId="652F7A4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联系人：杜松岭</w:t>
      </w:r>
    </w:p>
    <w:p w14:paraId="17049DA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联系电话：（0755）8316 9999 </w:t>
      </w:r>
    </w:p>
    <w:p w14:paraId="552A553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w:t>
      </w:r>
    </w:p>
    <w:p w14:paraId="7594AC0D">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公司设立了投资决策委员会。投资决策委员会负责指导基金资产的运作、确定基本的投资策略和投资组合的原则。</w:t>
      </w:r>
    </w:p>
    <w:p w14:paraId="3DC0AB34">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公司已经建立健全投资管理制度、风险控制制度、内部监察制度、财务管理制度、人事管理制度、信息披露制度和员工行为准则等公司管理制度体系。</w:t>
      </w:r>
    </w:p>
    <w:p w14:paraId="6585A345">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二、主要成员情况</w:t>
      </w:r>
    </w:p>
    <w:p w14:paraId="450440AB">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1、基金管理人董事会成员</w:t>
      </w:r>
    </w:p>
    <w:p w14:paraId="1055ADA8">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w:t>
      </w:r>
    </w:p>
    <w:p w14:paraId="3738100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w:t>
      </w:r>
    </w:p>
    <w:p w14:paraId="280BDD9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w:t>
      </w:r>
    </w:p>
    <w:p w14:paraId="5F4D46E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w:t>
      </w:r>
    </w:p>
    <w:p w14:paraId="3A626E96">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w:t>
      </w:r>
    </w:p>
    <w:p w14:paraId="0C96EE2F">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w:t>
      </w:r>
    </w:p>
    <w:p w14:paraId="2628C5D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w:t>
      </w:r>
    </w:p>
    <w:p w14:paraId="31679466">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陆海天先生，法学博士。现任香港理工大学内地发展处总监、可持续技术基金会会计及金融学教授。历任香港理工大学商学院副院长、会计及金融学院副院长、纽约大学斯特恩商学院客座研究教授。香港理工大学终身教授。</w:t>
      </w:r>
    </w:p>
    <w:p w14:paraId="0A54755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w:t>
      </w:r>
    </w:p>
    <w:p w14:paraId="084542E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方芳女士，上海财经大学国民经济学专业博士、加拿大不列颠哥伦比亚大学访问学者。1985年7月至今，就职于上海财经大学。历任上海财经大学公共经济与管理学院副院长 、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w:t>
      </w:r>
    </w:p>
    <w:p w14:paraId="3FA82DC0">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w:t>
      </w:r>
    </w:p>
    <w:p w14:paraId="7C59F21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2、高级管理人员</w:t>
      </w:r>
    </w:p>
    <w:p w14:paraId="47BC1D18">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张东先生，简历同上。</w:t>
      </w:r>
    </w:p>
    <w:p w14:paraId="1A3B4D24">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陈宇先生，简历同上。</w:t>
      </w:r>
    </w:p>
    <w:p w14:paraId="6258B76B">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w:t>
      </w:r>
    </w:p>
    <w:p w14:paraId="153982D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资产管理有限公司合规总监。2024年加入博时基金管理有限公司，现任公司督察长。  </w:t>
      </w:r>
    </w:p>
    <w:p w14:paraId="4940B708">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3</w:t>
      </w:r>
      <w:r>
        <w:rPr>
          <w:rFonts w:hint="eastAsia"/>
          <w:sz w:val="21"/>
          <w:szCs w:val="21"/>
          <w:highlight w:val="none"/>
        </w:rPr>
        <w:t xml:space="preserve">、本基金基金经理 </w:t>
      </w:r>
    </w:p>
    <w:p w14:paraId="561EE790">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万琼女士，硕士。2004年起先后在中企动力科技股份有限公司、华夏基金工作。2011年加入博时基金管理有限公司。历任投资助理、基金经理助理、博时富时中国A股指数证券投资基金(2017年9月29日-2019年9月5日)、上证超级大盘交易型开放式指数证券投资基金(2015年6月8日-2019年10月11日)、博时上证超级大盘交易型开放式指数证券投资基金联接基金(2015年6月8日-2019年10月11日)、博时恒生沪深港通大湾区综合交易型开放式指数证券投资基金(2020年4月30日-2022年5月27日)、博时上证自然资源交易型开放式指数证券投资基金联接基金(2015年6月8日-2022年7月7日)、上证自然资源交易型开放式指数证券投资基金(2015年6月8日-2022年7月7日)、博时中证可持续发展100交易型开放式指数证券投资基金(2020年1月19日-2023年3月8日)、博时中证红利交易型开放式指数证券投资基金(2020年3月20日-2023年3月8日)、博时沪深300交易型开放式指数证券投资基金(2020年4月3日-2023年3月8日)、博时创业板指数证券投资基金(2021年4月2日-2023年3月8日)、博时纳斯达克100指数型发起式证券投资基金（QDII）(2022年7月26日-2023年9月25日)、博时中证港股通消费主题交易型开放式指数证券投资基金(2022年3月3日-2024年11月8日)的基金经理。现任指数与量化投资部投资总监助理兼博时标普500交易型开放式指数证券投资基金联接基金(2015年10月8日—至今)、博时标普500交易型开放式指数证券投资基金(2015年10月8日—至今)、博时中证500交易型开放式指数证券投资基金(2019年8月1日—至今)、博时中证500交易型开放式指数证券投资基金发起式联接基金(2019年12月30日—至今)、博时恒生医疗保健交易型开放式指数证券投资基金(QDII)(2021年3月18日—至今)、博时恒生港股通红利交易型开放式指数证券投资基金(2021年5月11日—至今)、博时恒生科技交易型开放式指数证券投资基金(QDII)(2021年5月17日—至今)、博时中证全球中国教育主题交易型开放式指数证券投资基金(QDII)(2021年6月8日—至今)、博时恒生科技交易型开放式指数证券投资基金发起式联接基金（QDII）(2021年12月21日—至今)、博时恒生医疗保健交易型开放式指数证券投资基金发起式联接基金(QDII)(2021年12月28日—至今)、博时恒生港股通红利交易型开放式指数证券投资基金发起式联接基金(2022年1月10日—至今)、博时纳</w:t>
      </w:r>
      <w:bookmarkStart w:id="211" w:name="_GoBack"/>
      <w:bookmarkEnd w:id="211"/>
      <w:r>
        <w:rPr>
          <w:rFonts w:hint="eastAsia"/>
          <w:sz w:val="21"/>
          <w:szCs w:val="21"/>
          <w:highlight w:val="none"/>
        </w:rPr>
        <w:t>斯达克100交易型开放式指数证券投资基金（QDII）(2023年4月19日—至今)、博时纳斯达克100交易型开放式指数证券投资基金发起式联接基金（QDII）(2023年9月26日—至今)、博时创业板综合交易型开放式指数证券投资基金(2025年8月15日—至今)、博时创业板综合交易型开放式指数证券投资基金联接基金(2025年12月2日—至今)、博时恒指港股通交易型开放式指数证券投资基金(2026年5月20日—至今)的基金经理。</w:t>
      </w:r>
    </w:p>
    <w:p w14:paraId="18681B4F">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王萌先生，博士。2016年毕业后加入博时基金管理有限公司。现任博时恒生港股通红利交易型开放式指数证券投资基金(2025年4月16日—至今)、博时中证全指自由现金流交易型开放式指数证券投资基金(2025年6月30日—至今)、博时恒生港股通创新药精选交易型开放式指数证券投资基金(2025年7月23日—至今)、博时中证全指自由现金流交易型开放式指数证券投资基金联接基金(2025年9月1日—至今)、博时国证工业软件主题交易型开放式指数证券投资基金(2025年11月12日—至今)、博时中证光伏产业交易型开放式指数证券投资基金(2026年2月11日—至今)、博时中证全指红利质量交易型开放式指数证券投资基金(2026年6月17日—至今)、博时国证新能源电池指数型证券投资基金(2026年6月26日—至今)、博时中证工程机械主题交易型开放式指数证券投资基金(2026年8月14日—至今)的基金经理。</w:t>
      </w:r>
    </w:p>
    <w:p w14:paraId="125BF627">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4</w:t>
      </w:r>
      <w:r>
        <w:rPr>
          <w:rFonts w:hint="eastAsia"/>
          <w:sz w:val="21"/>
          <w:szCs w:val="21"/>
          <w:highlight w:val="none"/>
        </w:rPr>
        <w:t xml:space="preserve">、投资决策委员会成员 </w:t>
      </w:r>
    </w:p>
    <w:p w14:paraId="5A209ACC">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公司首席资产配置官黄健斌先生。</w:t>
      </w:r>
    </w:p>
    <w:p w14:paraId="7DF652C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公司投资决策委员会专职委员兼年金投资部总经理于善辉先生。</w:t>
      </w:r>
    </w:p>
    <w:p w14:paraId="0923B6F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首席基金经理过钧先生。 </w:t>
      </w:r>
    </w:p>
    <w:p w14:paraId="2FEE6D7E">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首席投资官兼权益投研一体化总监、境外投资部总经理曾鹏先生。 </w:t>
      </w:r>
    </w:p>
    <w:p w14:paraId="12B9A19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董事总经理兼权益投资三部总经理、权益投资三部投资总监蔡滨先生。 </w:t>
      </w:r>
    </w:p>
    <w:p w14:paraId="1A7CF61F">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行业研究部总经理魏立先生。 </w:t>
      </w:r>
    </w:p>
    <w:p w14:paraId="267066C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 xml:space="preserve">宏观策略部首席策略分析师陈显顺先生。 </w:t>
      </w:r>
    </w:p>
    <w:p w14:paraId="480DCD2C">
      <w:pPr>
        <w:pStyle w:val="8"/>
        <w:spacing w:before="0" w:beforeAutospacing="0" w:after="0" w:afterAutospacing="0" w:line="360" w:lineRule="auto"/>
        <w:ind w:firstLine="420"/>
        <w:rPr>
          <w:rFonts w:hint="eastAsia" w:ascii="宋体" w:hAnsi="宋体" w:eastAsia="宋体" w:cs="宋体"/>
          <w:kern w:val="0"/>
          <w:sz w:val="21"/>
          <w:szCs w:val="21"/>
          <w:highlight w:val="none"/>
        </w:rPr>
      </w:pPr>
      <w:r>
        <w:rPr>
          <w:rFonts w:hint="eastAsia"/>
          <w:sz w:val="21"/>
          <w:szCs w:val="21"/>
          <w:highlight w:val="none"/>
        </w:rPr>
        <w:t>指数与量化投资部总经理兼指数与量化投资部投资总监赵云阳先生。</w:t>
      </w:r>
    </w:p>
    <w:p w14:paraId="7C583C7D">
      <w:pPr>
        <w:pStyle w:val="8"/>
        <w:spacing w:before="0" w:beforeAutospacing="0" w:after="0" w:afterAutospacing="0" w:line="360" w:lineRule="auto"/>
        <w:ind w:firstLine="420"/>
        <w:rPr>
          <w:sz w:val="21"/>
          <w:szCs w:val="21"/>
          <w:highlight w:val="none"/>
        </w:rPr>
      </w:pPr>
      <w:r>
        <w:rPr>
          <w:rFonts w:hint="eastAsia" w:cs="宋体"/>
          <w:kern w:val="0"/>
          <w:sz w:val="21"/>
          <w:szCs w:val="21"/>
          <w:highlight w:val="none"/>
          <w:lang w:val="en-US" w:eastAsia="zh-CN"/>
        </w:rPr>
        <w:t>5</w:t>
      </w:r>
      <w:r>
        <w:rPr>
          <w:rFonts w:hint="eastAsia"/>
          <w:sz w:val="21"/>
          <w:szCs w:val="21"/>
          <w:highlight w:val="none"/>
        </w:rPr>
        <w:t xml:space="preserve">、上述人员之间均不存在近亲属关系。  </w:t>
      </w:r>
    </w:p>
    <w:p w14:paraId="050D236B">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三、基金管理人的职责</w:t>
      </w:r>
    </w:p>
    <w:p w14:paraId="7780204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1、依法募集资金，办理或者委托经中国证监会认定的其他机构代为办理基金份额的发售、申购、赎回和登记事宜； </w:t>
      </w:r>
    </w:p>
    <w:p w14:paraId="724BE23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2、办理基金备案手续； </w:t>
      </w:r>
    </w:p>
    <w:p w14:paraId="5DE956F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3、自《基金合同》生效之日起，以诚实信用、谨慎勤勉的原则管理和运用基金财产； </w:t>
      </w:r>
    </w:p>
    <w:p w14:paraId="61A093E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4、配备足够的具有专业资格的人员进行基金投资分析、决策，以专业化的经营方式管理和运作基金财产； </w:t>
      </w:r>
    </w:p>
    <w:p w14:paraId="4DC6F60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5、建立健全内部风险控制、监察与稽核、财务管理及人事管理等制度，保证所管理的基金财产和基金管理人的财产相互独立，对所管理的不同基金分别管理，分别记账，进行证券投资； </w:t>
      </w:r>
    </w:p>
    <w:p w14:paraId="6B57D2D9">
      <w:pPr>
        <w:pStyle w:val="8"/>
        <w:spacing w:before="0" w:beforeAutospacing="0" w:after="0" w:afterAutospacing="0" w:line="360" w:lineRule="auto"/>
        <w:ind w:firstLine="420"/>
        <w:rPr>
          <w:sz w:val="21"/>
          <w:szCs w:val="21"/>
          <w:highlight w:val="none"/>
        </w:rPr>
      </w:pPr>
      <w:r>
        <w:rPr>
          <w:rFonts w:hint="eastAsia"/>
          <w:sz w:val="21"/>
          <w:szCs w:val="21"/>
          <w:highlight w:val="none"/>
        </w:rPr>
        <w:t>6、除依据《基金法》、《基金合同》及其他有关规定外，不得利用基金财产为自己及任何第三人谋取利益，不得委托第三人运作基金财产；</w:t>
      </w:r>
    </w:p>
    <w:p w14:paraId="7D7163D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7、依法接受基金托管人的监督； </w:t>
      </w:r>
    </w:p>
    <w:p w14:paraId="575DC64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8、采取适当合理的措施使计算基金份额认购价格、申购对价、赎回对价的方法符合《基金合同》等法律文件的规定，按有关规定计算并公告基金净值信息，确定基金份额申购、赎回对价，编制申购赎回清单； </w:t>
      </w:r>
    </w:p>
    <w:p w14:paraId="2098F35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9、进行基金会计核算并编制基金财务会计报告； </w:t>
      </w:r>
    </w:p>
    <w:p w14:paraId="05A5B86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10、编制季度报告、中期报告和年度报告； </w:t>
      </w:r>
    </w:p>
    <w:p w14:paraId="7CEC03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11、严格按照《基金法》、《基金合同》及其他有关规定，履行信息披露及报告义务； </w:t>
      </w:r>
    </w:p>
    <w:p w14:paraId="545113A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保守基金商业秘密，不泄露基金投资计划、投资意向等。除《基金法》、《基金合同》及其他有关规定另有规定外，在基金信息公开披露前应予保密，不向他人泄露，向审计、法律等外部专业顾问提供的情况除外； </w:t>
      </w:r>
    </w:p>
    <w:p w14:paraId="0836A38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13、按《基金合同》的约定确定基金收益分配方案，及时向基金份额持有人分配基金收益； </w:t>
      </w:r>
    </w:p>
    <w:p w14:paraId="1ECD583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14、按规定受理申购与赎回申请，及时、足额支付赎回对价； </w:t>
      </w:r>
    </w:p>
    <w:p w14:paraId="79DACB9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15、依据《基金法》、《基金合同》及其他有关规定召集基金份额持有人大会或配合基金托管人、基金份额持有人依法召集基金份额持有人大会； </w:t>
      </w:r>
    </w:p>
    <w:p w14:paraId="4CDA5BC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16、按规定保存基金财产管理业务活动的会计账册、报表、记录和其他相关资料，保存期限不低于法律法规规定； </w:t>
      </w:r>
    </w:p>
    <w:p w14:paraId="3C0739A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17、确保需要向基金投资人提供的各项文件或资料在规定时间发出，并且保证投资人能够按照《基金合同》规定的时间和方式，随时查阅到与基金有关的公开资料，并在支付合理成本的条件下得到有关资料的复印件； </w:t>
      </w:r>
    </w:p>
    <w:p w14:paraId="7FE0091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18、组织并参加基金财产清算小组，参与基金财产的保管、清理、估价、变现和分配； </w:t>
      </w:r>
    </w:p>
    <w:p w14:paraId="5D2B7CD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19、面临解散、依法被撤销或者被依法宣告破产时，及时报告中国证监会并通知基金托管人； </w:t>
      </w:r>
    </w:p>
    <w:p w14:paraId="5B37E97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20、因违反《基金合同》导致基金财产的损失或损害基金份额持有人合法权益时，应当承担赔偿责任，其赔偿责任不因其退任而免除； </w:t>
      </w:r>
    </w:p>
    <w:p w14:paraId="708A07F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21、监督基金托管人按法律法规和《基金合同》规定履行自己的义务，基金托管人违反《基金合同》造成基金财产损失时，基金管理人应为基金份额持有人利益向基金托管人追偿； </w:t>
      </w:r>
    </w:p>
    <w:p w14:paraId="7954102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22、当基金管理人将其义务委托第三方处理时，应当对第三方处理有关基金事务的行为承担责任； </w:t>
      </w:r>
    </w:p>
    <w:p w14:paraId="3E281DE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23、以基金管理人名义，代表基金份额持有人利益行使诉讼权利或实施其他法律行为； </w:t>
      </w:r>
    </w:p>
    <w:p w14:paraId="669A8B9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3E75E29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25、执行生效的基金份额持有人大会的决议； </w:t>
      </w:r>
    </w:p>
    <w:p w14:paraId="5F288ED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26、建立并保存基金份额持有人名册； </w:t>
      </w:r>
    </w:p>
    <w:p w14:paraId="4339266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27、法律法规及中国证监会规定的和《基金合同》约定的其他义务。 </w:t>
      </w:r>
    </w:p>
    <w:p w14:paraId="5B2C766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四、基金管理人的承诺</w:t>
      </w:r>
    </w:p>
    <w:p w14:paraId="161A20F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1、基金管理人承诺不从事违反《中华人民共和国证券法》的行为，并承诺建立健全内部控制制度，采取有效措施，防止违反《中华人民共和国证券法》行为的发生； </w:t>
      </w:r>
    </w:p>
    <w:p w14:paraId="278A10B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2、基金管理人承诺不从事违反《基金法》的行为，并承诺建立健全内部风险控制制度，采取有效措施，防止下列行为的发生： </w:t>
      </w:r>
    </w:p>
    <w:p w14:paraId="27F5546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（1）将基金管理人固有财产或者他人财产混同于基金财产从事证券投资； </w:t>
      </w:r>
    </w:p>
    <w:p w14:paraId="0502F57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（2）不公平地对待管理的不同基金财产； </w:t>
      </w:r>
    </w:p>
    <w:p w14:paraId="276AA38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（3）利用基金财产或者职务之便为基金份额持有人以外的第三人牟取利益； </w:t>
      </w:r>
    </w:p>
    <w:p w14:paraId="1DD1F16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（4）向基金份额持有人违规承诺收益或者承担损失； </w:t>
      </w:r>
    </w:p>
    <w:p w14:paraId="38EA708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（5）侵占、挪用基金财产； </w:t>
      </w:r>
    </w:p>
    <w:p w14:paraId="0767C79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（6）泄露因职务便利获取的未公开信息、利用该信息从事或者明示、暗示他人从事相关的交易活动； </w:t>
      </w:r>
    </w:p>
    <w:p w14:paraId="47AF0AB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（7）玩忽职守，不按照规定履行职责； </w:t>
      </w:r>
    </w:p>
    <w:p w14:paraId="14FB3C4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（8）法律、行政法规和中国证监会规定禁止的其他行为。 </w:t>
      </w:r>
    </w:p>
    <w:p w14:paraId="5C29C9C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3、基金管理人承诺严格遵守基金合同，并承诺建立健全内部控制制度，采取有效措施，防止违反基金合同行为的发生； </w:t>
      </w:r>
    </w:p>
    <w:p w14:paraId="6B3881C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4、基金管理人承诺加强人员管理，强化职业操守，督促和约束员工遵守国家有关法律法规及行业规范，诚实信用、勤勉尽责； </w:t>
      </w:r>
    </w:p>
    <w:p w14:paraId="61935A7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5、基金管理人承诺不从事其他法规规定禁止从事的行为。 </w:t>
      </w:r>
    </w:p>
    <w:p w14:paraId="006515D3">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五、基金经理承诺</w:t>
      </w:r>
    </w:p>
    <w:p w14:paraId="77C04E6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1、依照有关法律法规和基金合同的规定，本着谨慎的原则为基金份额持有人谋取最大利益； </w:t>
      </w:r>
    </w:p>
    <w:p w14:paraId="18DE3B9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2、不利用职务之便为自己、受雇人或任何第三者谋取利益； </w:t>
      </w:r>
    </w:p>
    <w:p w14:paraId="2965A1F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3、不泄露在任职期间知悉的有关证券、基金的商业秘密，尚未依法公开的基金投资内容、基金投资计划等信息，或利用该信息从事或者明示、暗示他人从事相关的交易活动； </w:t>
      </w:r>
    </w:p>
    <w:p w14:paraId="15AD802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4、不以任何形式为其他组织或个人进行证券交易。 </w:t>
      </w:r>
    </w:p>
    <w:p w14:paraId="391BEEC7">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六、基金管理人的内部控制制度</w:t>
      </w:r>
    </w:p>
    <w:p w14:paraId="049CF4D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1、风险管理的原则 </w:t>
      </w:r>
    </w:p>
    <w:p w14:paraId="468C945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（1）全面性原则 </w:t>
      </w:r>
    </w:p>
    <w:p w14:paraId="3D11D2D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公司风险管理必须覆盖公司的所有部门和岗位，渗透各项业务过程和业务环节。 </w:t>
      </w:r>
    </w:p>
    <w:p w14:paraId="30F781E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（2）独立性原则 </w:t>
      </w:r>
    </w:p>
    <w:p w14:paraId="107FDD7A">
      <w:pPr>
        <w:pStyle w:val="8"/>
        <w:spacing w:before="0" w:beforeAutospacing="0" w:after="0" w:afterAutospacing="0" w:line="360" w:lineRule="auto"/>
        <w:ind w:firstLine="420"/>
        <w:rPr>
          <w:sz w:val="21"/>
          <w:szCs w:val="21"/>
          <w:highlight w:val="none"/>
        </w:rPr>
      </w:pPr>
      <w:r>
        <w:rPr>
          <w:sz w:val="21"/>
          <w:szCs w:val="21"/>
          <w:highlight w:val="none"/>
        </w:rPr>
        <w:t>公司设立独立的法律</w:t>
      </w:r>
      <w:r>
        <w:rPr>
          <w:rFonts w:hint="eastAsia"/>
          <w:sz w:val="21"/>
          <w:szCs w:val="21"/>
          <w:highlight w:val="none"/>
        </w:rPr>
        <w:t>合规</w:t>
      </w:r>
      <w:r>
        <w:rPr>
          <w:sz w:val="21"/>
          <w:szCs w:val="21"/>
          <w:highlight w:val="none"/>
        </w:rPr>
        <w:t>部，法律</w:t>
      </w:r>
      <w:r>
        <w:rPr>
          <w:rFonts w:hint="eastAsia"/>
          <w:sz w:val="21"/>
          <w:szCs w:val="21"/>
          <w:highlight w:val="none"/>
        </w:rPr>
        <w:t>合规</w:t>
      </w:r>
      <w:r>
        <w:rPr>
          <w:sz w:val="21"/>
          <w:szCs w:val="21"/>
          <w:highlight w:val="none"/>
        </w:rPr>
        <w:t>部保持高度的独立性和权威性，负责对公司各部门风险控制工作进行检查。</w:t>
      </w:r>
      <w:r>
        <w:rPr>
          <w:rFonts w:hint="eastAsia"/>
          <w:sz w:val="21"/>
          <w:szCs w:val="21"/>
          <w:highlight w:val="none"/>
        </w:rPr>
        <w:t xml:space="preserve"> </w:t>
      </w:r>
    </w:p>
    <w:p w14:paraId="235878C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（3）相互制约原则 </w:t>
      </w:r>
    </w:p>
    <w:p w14:paraId="6BE7D61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公司及各部门在内部组织结构的设计上要形成一种相互制约的机制，建立不同岗位之间的制衡体系。 </w:t>
      </w:r>
    </w:p>
    <w:p w14:paraId="0C108D6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（4）定性和定量相结合原则 </w:t>
      </w:r>
    </w:p>
    <w:p w14:paraId="76746C0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建立完备的风险管理指标体系，使风险管理更具客观性和操作性。 </w:t>
      </w:r>
    </w:p>
    <w:p w14:paraId="2BB70D5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2、风险管理和内部风险控制体系结构 </w:t>
      </w:r>
    </w:p>
    <w:p w14:paraId="38BD37D5">
      <w:pPr>
        <w:pStyle w:val="8"/>
        <w:spacing w:before="0" w:beforeAutospacing="0" w:after="0" w:afterAutospacing="0" w:line="360" w:lineRule="auto"/>
        <w:ind w:firstLine="420"/>
        <w:rPr>
          <w:sz w:val="21"/>
          <w:szCs w:val="21"/>
          <w:highlight w:val="none"/>
        </w:rPr>
      </w:pPr>
      <w:r>
        <w:rPr>
          <w:rFonts w:hint="eastAsia"/>
          <w:sz w:val="21"/>
          <w:szCs w:val="21"/>
          <w:highlight w:val="none"/>
        </w:rPr>
        <w:t>公司的风险管理体系结构是一个分工明确、相互牵制的组织结构，由最高管理层对风险管理负最终责任，各个业务部门负责本部门的风险评估和监控，</w:t>
      </w:r>
      <w:r>
        <w:rPr>
          <w:sz w:val="21"/>
          <w:szCs w:val="21"/>
          <w:highlight w:val="none"/>
        </w:rPr>
        <w:t>法律</w:t>
      </w:r>
      <w:r>
        <w:rPr>
          <w:rFonts w:hint="eastAsia"/>
          <w:sz w:val="21"/>
          <w:szCs w:val="21"/>
          <w:highlight w:val="none"/>
        </w:rPr>
        <w:t>合规</w:t>
      </w:r>
      <w:r>
        <w:rPr>
          <w:sz w:val="21"/>
          <w:szCs w:val="21"/>
          <w:highlight w:val="none"/>
        </w:rPr>
        <w:t>部负责</w:t>
      </w:r>
      <w:r>
        <w:rPr>
          <w:rFonts w:hint="eastAsia"/>
          <w:sz w:val="21"/>
          <w:szCs w:val="21"/>
          <w:highlight w:val="none"/>
        </w:rPr>
        <w:t>检查</w:t>
      </w:r>
      <w:r>
        <w:rPr>
          <w:sz w:val="21"/>
          <w:szCs w:val="21"/>
          <w:highlight w:val="none"/>
        </w:rPr>
        <w:t>公司的风险管理措施的执行</w:t>
      </w:r>
      <w:r>
        <w:rPr>
          <w:rFonts w:hint="eastAsia"/>
          <w:sz w:val="21"/>
          <w:szCs w:val="21"/>
          <w:highlight w:val="none"/>
        </w:rPr>
        <w:t xml:space="preserve">。具体而言，包括如下组成部分： </w:t>
      </w:r>
    </w:p>
    <w:p w14:paraId="28252FA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（1）董事会 </w:t>
      </w:r>
    </w:p>
    <w:p w14:paraId="2B48515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负责制定公司的风险管理政策，对风险管理负完全的和最终的责任。 </w:t>
      </w:r>
    </w:p>
    <w:p w14:paraId="0876196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（2）风险管理委员会 </w:t>
      </w:r>
    </w:p>
    <w:p w14:paraId="4596409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5707856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（3）督察长 </w:t>
      </w:r>
    </w:p>
    <w:p w14:paraId="3EC48C1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独立行使督察权利；直接对董事会负责；按季向风险管理委员会提交独立的风险管理报告和风险管理建议。 </w:t>
      </w:r>
    </w:p>
    <w:p w14:paraId="18E0B59A">
      <w:pPr>
        <w:pStyle w:val="8"/>
        <w:spacing w:before="0" w:beforeAutospacing="0" w:after="0" w:afterAutospacing="0" w:line="360" w:lineRule="auto"/>
        <w:ind w:firstLine="420"/>
        <w:rPr>
          <w:sz w:val="21"/>
          <w:szCs w:val="21"/>
          <w:highlight w:val="none"/>
        </w:rPr>
      </w:pPr>
      <w:r>
        <w:rPr>
          <w:rFonts w:hint="eastAsia"/>
          <w:sz w:val="21"/>
          <w:szCs w:val="21"/>
          <w:highlight w:val="none"/>
        </w:rPr>
        <w:t>（4）</w:t>
      </w:r>
      <w:r>
        <w:rPr>
          <w:sz w:val="21"/>
          <w:szCs w:val="21"/>
          <w:highlight w:val="none"/>
        </w:rPr>
        <w:t>法律</w:t>
      </w:r>
      <w:r>
        <w:rPr>
          <w:rFonts w:hint="eastAsia"/>
          <w:sz w:val="21"/>
          <w:szCs w:val="21"/>
          <w:highlight w:val="none"/>
        </w:rPr>
        <w:t>合规</w:t>
      </w:r>
      <w:r>
        <w:rPr>
          <w:sz w:val="21"/>
          <w:szCs w:val="21"/>
          <w:highlight w:val="none"/>
        </w:rPr>
        <w:t>部</w:t>
      </w:r>
      <w:r>
        <w:rPr>
          <w:rFonts w:hint="eastAsia"/>
          <w:sz w:val="21"/>
          <w:szCs w:val="21"/>
          <w:highlight w:val="none"/>
        </w:rPr>
        <w:t xml:space="preserve"> </w:t>
      </w:r>
    </w:p>
    <w:p w14:paraId="203605DF">
      <w:pPr>
        <w:pStyle w:val="8"/>
        <w:spacing w:before="0" w:beforeAutospacing="0" w:after="0" w:afterAutospacing="0" w:line="360" w:lineRule="auto"/>
        <w:ind w:firstLine="420"/>
        <w:rPr>
          <w:sz w:val="21"/>
          <w:szCs w:val="21"/>
          <w:highlight w:val="none"/>
        </w:rPr>
      </w:pPr>
      <w:r>
        <w:rPr>
          <w:sz w:val="21"/>
          <w:szCs w:val="21"/>
          <w:highlight w:val="none"/>
        </w:rPr>
        <w:t>法律</w:t>
      </w:r>
      <w:r>
        <w:rPr>
          <w:rFonts w:hint="eastAsia"/>
          <w:sz w:val="21"/>
          <w:szCs w:val="21"/>
          <w:highlight w:val="none"/>
        </w:rPr>
        <w:t>合规</w:t>
      </w:r>
      <w:r>
        <w:rPr>
          <w:sz w:val="21"/>
          <w:szCs w:val="21"/>
          <w:highlight w:val="none"/>
        </w:rPr>
        <w:t>部负责对公司风险管理政策和措施的执行情况进行</w:t>
      </w:r>
      <w:r>
        <w:rPr>
          <w:rFonts w:hint="eastAsia"/>
          <w:sz w:val="21"/>
          <w:szCs w:val="21"/>
          <w:highlight w:val="none"/>
        </w:rPr>
        <w:t>检查</w:t>
      </w:r>
      <w:r>
        <w:rPr>
          <w:sz w:val="21"/>
          <w:szCs w:val="21"/>
          <w:highlight w:val="none"/>
        </w:rPr>
        <w:t>，并为每一个部门的风险管理系统的发展提供协助，使公司在一种风险管理和控制的环境中实现业务目标</w:t>
      </w:r>
      <w:r>
        <w:rPr>
          <w:rFonts w:hint="eastAsia"/>
          <w:sz w:val="21"/>
          <w:szCs w:val="21"/>
          <w:highlight w:val="none"/>
        </w:rPr>
        <w:t xml:space="preserve">。 </w:t>
      </w:r>
    </w:p>
    <w:p w14:paraId="2868CD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（5）风险管理部 </w:t>
      </w:r>
    </w:p>
    <w:p w14:paraId="46B45AA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风险管理部负责建立和完善公司投资风险管理制度与流程，组织实施公司投资风险管理与绩效分析工作，确保公司各类投资风险得到良好监督与控制。 </w:t>
      </w:r>
    </w:p>
    <w:p w14:paraId="187D5B0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（6）业务部门 </w:t>
      </w:r>
    </w:p>
    <w:p w14:paraId="55CA723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7B035AD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3、风险管理和内部风险控制的措施 </w:t>
      </w:r>
    </w:p>
    <w:p w14:paraId="29A23B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（1）建立内控结构，完善内控制度 </w:t>
      </w:r>
    </w:p>
    <w:p w14:paraId="5CA533C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公司建立、健全了内控结构，高管人员关于内控有明确的分工，确保各项业务活动有恰当的组织和授权，确保监察活动是独立的，并得到高管人员的支持，同时置备操作手册，并定期更新。 </w:t>
      </w:r>
    </w:p>
    <w:p w14:paraId="0751B64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（2）建立相互分离、相互制衡的内控机制 </w:t>
      </w:r>
    </w:p>
    <w:p w14:paraId="30A92D9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建立、健全了各项制度，做到基金经理分开，投资决策分开，基金交易集中，形成不同部门，不同岗位之间的制衡机制，从制度上减少和防范风险。 </w:t>
      </w:r>
    </w:p>
    <w:p w14:paraId="13E9E85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（3）建立、健全岗位责任制 </w:t>
      </w:r>
    </w:p>
    <w:p w14:paraId="089C127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建立、健全了岗位责任制，使每个员工都明确自己的任务、职责，并及时将各自工作领域中的风险隐患上报，以防范和减少风险。 </w:t>
      </w:r>
    </w:p>
    <w:p w14:paraId="0659351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（4）建立风险分类、识别、评估、报告、提示程序 </w:t>
      </w:r>
    </w:p>
    <w:p w14:paraId="372BE43E">
      <w:pPr>
        <w:pStyle w:val="8"/>
        <w:spacing w:before="0" w:beforeAutospacing="0" w:after="0" w:afterAutospacing="0" w:line="360" w:lineRule="auto"/>
        <w:ind w:firstLine="420"/>
        <w:rPr>
          <w:sz w:val="21"/>
          <w:szCs w:val="21"/>
          <w:highlight w:val="none"/>
        </w:rPr>
      </w:pPr>
      <w:r>
        <w:rPr>
          <w:rFonts w:hint="eastAsia"/>
          <w:sz w:val="21"/>
          <w:szCs w:val="21"/>
          <w:highlight w:val="none"/>
        </w:rPr>
        <w:t>建立了评估风险的委员会，使用适合的程序，确认和评估与公司运作有关的风险；公司建立了自下而上的风险报告程序，对风险隐患进行层层汇报，使各个层次的人员及时掌握风险状况，从而以最快速度作出决策。</w:t>
      </w:r>
    </w:p>
    <w:p w14:paraId="4EBD8D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（5）建立有效的内部监控系统 </w:t>
      </w:r>
    </w:p>
    <w:p w14:paraId="604B3B85">
      <w:pPr>
        <w:pStyle w:val="8"/>
        <w:spacing w:before="0" w:beforeAutospacing="0" w:after="0" w:afterAutospacing="0" w:line="360" w:lineRule="auto"/>
        <w:ind w:firstLine="420"/>
        <w:rPr>
          <w:sz w:val="21"/>
          <w:szCs w:val="21"/>
          <w:highlight w:val="none"/>
        </w:rPr>
      </w:pPr>
      <w:r>
        <w:rPr>
          <w:rFonts w:hint="eastAsia"/>
          <w:sz w:val="21"/>
          <w:szCs w:val="21"/>
          <w:highlight w:val="none"/>
        </w:rPr>
        <w:t>建立了足够、有效的内部监控系统，如电脑预警系统、投资监控系统，对可能出现的各种风险进行全面和实时的监控。</w:t>
      </w:r>
    </w:p>
    <w:p w14:paraId="622B9DCD">
      <w:pPr>
        <w:pStyle w:val="8"/>
        <w:spacing w:before="0" w:beforeAutospacing="0" w:after="0" w:afterAutospacing="0" w:line="360" w:lineRule="auto"/>
        <w:ind w:firstLine="420"/>
        <w:rPr>
          <w:sz w:val="21"/>
          <w:szCs w:val="21"/>
          <w:highlight w:val="none"/>
        </w:rPr>
      </w:pPr>
      <w:r>
        <w:rPr>
          <w:rFonts w:hint="eastAsia"/>
          <w:sz w:val="21"/>
          <w:szCs w:val="21"/>
          <w:highlight w:val="none"/>
        </w:rPr>
        <w:t>（6）使用数量化的风险管理手段</w:t>
      </w:r>
    </w:p>
    <w:p w14:paraId="0CFA5FF2">
      <w:pPr>
        <w:pStyle w:val="8"/>
        <w:spacing w:before="0" w:beforeAutospacing="0" w:after="0" w:afterAutospacing="0" w:line="360" w:lineRule="auto"/>
        <w:ind w:firstLine="420"/>
        <w:rPr>
          <w:sz w:val="21"/>
          <w:szCs w:val="21"/>
          <w:highlight w:val="none"/>
        </w:rPr>
      </w:pPr>
      <w:r>
        <w:rPr>
          <w:rFonts w:hint="eastAsia"/>
          <w:sz w:val="21"/>
          <w:szCs w:val="21"/>
          <w:highlight w:val="none"/>
        </w:rPr>
        <w:t>采取数量化、技术化的风险控制手段，建立数量化的风险管理模型，用以提示指数趋势、行业及个券的风险，以便公司及时采取有效的措施，对风险进行分散、控制和规避，尽可能地减少损失。</w:t>
      </w:r>
    </w:p>
    <w:p w14:paraId="7462741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（7）提供足够的培训 </w:t>
      </w:r>
    </w:p>
    <w:p w14:paraId="70D120E6">
      <w:pPr>
        <w:pStyle w:val="8"/>
        <w:spacing w:before="0" w:beforeAutospacing="0" w:after="0" w:afterAutospacing="0" w:line="360" w:lineRule="auto"/>
        <w:ind w:firstLine="420"/>
        <w:rPr>
          <w:sz w:val="21"/>
          <w:szCs w:val="21"/>
          <w:highlight w:val="none"/>
        </w:rPr>
      </w:pPr>
      <w:r>
        <w:rPr>
          <w:rFonts w:hint="eastAsia"/>
          <w:sz w:val="21"/>
          <w:szCs w:val="21"/>
          <w:highlight w:val="none"/>
        </w:rPr>
        <w:t>制定了完整的培训计划，为所有员工提供足够和适当的培训，使员工明确其职责所在，控制风险。</w:t>
      </w:r>
    </w:p>
    <w:p w14:paraId="513C072D">
      <w:pPr>
        <w:widowControl/>
        <w:jc w:val="left"/>
        <w:rPr>
          <w:rFonts w:ascii="宋体" w:hAnsi="宋体" w:eastAsia="宋体"/>
          <w:highlight w:val="none"/>
        </w:rPr>
      </w:pPr>
      <w:r>
        <w:rPr>
          <w:rFonts w:ascii="宋体" w:hAnsi="宋体" w:eastAsia="宋体"/>
          <w:highlight w:val="none"/>
        </w:rPr>
        <w:br w:type="page"/>
      </w:r>
    </w:p>
    <w:p w14:paraId="43CDBDA2">
      <w:pPr>
        <w:pStyle w:val="2"/>
        <w:jc w:val="center"/>
        <w:rPr>
          <w:rFonts w:ascii="宋体" w:hAnsi="宋体" w:eastAsia="宋体"/>
          <w:sz w:val="30"/>
          <w:highlight w:val="none"/>
        </w:rPr>
      </w:pPr>
      <w:r>
        <w:rPr>
          <w:rFonts w:hint="eastAsia" w:ascii="宋体" w:hAnsi="宋体" w:eastAsia="宋体"/>
          <w:sz w:val="30"/>
          <w:highlight w:val="none"/>
        </w:rPr>
        <w:t>第四部分  基金托管人</w:t>
      </w:r>
      <w:bookmarkEnd w:id="32"/>
      <w:bookmarkEnd w:id="33"/>
    </w:p>
    <w:p w14:paraId="11F75A44">
      <w:pPr>
        <w:pStyle w:val="8"/>
        <w:spacing w:before="0" w:beforeAutospacing="0" w:after="0" w:afterAutospacing="0" w:line="360" w:lineRule="auto"/>
        <w:ind w:firstLine="420"/>
        <w:rPr>
          <w:sz w:val="21"/>
          <w:szCs w:val="21"/>
          <w:highlight w:val="none"/>
        </w:rPr>
      </w:pPr>
      <w:bookmarkStart w:id="34" w:name="field_0_trustcompanyinfo_1_start"/>
      <w:bookmarkEnd w:id="34"/>
      <w:bookmarkStart w:id="35" w:name="chapter_level1_6_55_section_1"/>
      <w:bookmarkEnd w:id="35"/>
      <w:r>
        <w:rPr>
          <w:rFonts w:hint="eastAsia"/>
          <w:sz w:val="21"/>
          <w:szCs w:val="21"/>
          <w:highlight w:val="none"/>
        </w:rPr>
        <w:t xml:space="preserve">一、基金托管人基本情况 </w:t>
      </w:r>
    </w:p>
    <w:p w14:paraId="37BB1B6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公司法定中文名称：中国国际金融股份有限公司（简称：中金公司） </w:t>
      </w:r>
    </w:p>
    <w:p w14:paraId="1836E25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公司法定英文名称：China International Capital Corporation Limited（CICC） </w:t>
      </w:r>
    </w:p>
    <w:p w14:paraId="15A9B42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住所：北京市朝阳区建国门外大街1号国贸大厦2座27层及28层 </w:t>
      </w:r>
    </w:p>
    <w:p w14:paraId="760E6B0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法定代表人：陈亮 </w:t>
      </w:r>
    </w:p>
    <w:p w14:paraId="55250A3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办公地址：北京市朝阳区建国门外大街1号国贸大厦2座27层及28层 </w:t>
      </w:r>
    </w:p>
    <w:p w14:paraId="46E2D6E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邮政编码：100004 </w:t>
      </w:r>
    </w:p>
    <w:p w14:paraId="3335057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设立日期：1995年07月31日 </w:t>
      </w:r>
    </w:p>
    <w:p w14:paraId="37AD1A9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组织形式：股份有限公司 </w:t>
      </w:r>
    </w:p>
    <w:p w14:paraId="4AF97E4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注册资本：人民币482,725.686800万元 </w:t>
      </w:r>
    </w:p>
    <w:p w14:paraId="2AAAB5F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存续期间：持续经营 </w:t>
      </w:r>
    </w:p>
    <w:p w14:paraId="6DF9220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联系人：夏天啸 </w:t>
      </w:r>
    </w:p>
    <w:p w14:paraId="526A21F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电话：(86-10) 6505-1166 </w:t>
      </w:r>
    </w:p>
    <w:p w14:paraId="4E091FC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基金托管资格批文及文号：证监许可[2015]1441号 </w:t>
      </w:r>
    </w:p>
    <w:p w14:paraId="0D8DD8D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中国国际金融股份有限公司（中金公司，601995.SH，3908.HK）成立于1995年，凭借率先采用市场最佳实践以及深厚的专业知识，中金公司完成了众多开创先河的交易，并深度参与中国经济改革和发展，与客户共同成长。中金公司的目标是打造成为具有国际竞争力的一流投资银行。 </w:t>
      </w:r>
    </w:p>
    <w:p w14:paraId="7D49DAA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中金公司一直致力于为多元化的客户群体提供高质量金融增值服务，建立了以研究和信息技术为基础，投资银行、股票业务、固定收益、资产管理、私募股权和财富管理全方位发展的均衡业务结构。 </w:t>
      </w:r>
    </w:p>
    <w:p w14:paraId="273A0C0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凭借深厚的经济、行业、法律、法规等领域的专业知识，中金公司优质的服务获得了广泛认可。与此同时，可持续发展始终是中金公司的核心理念之一，中金公司期望为社会创造长期价值，以行业高标准积极践行企业社会责任。 </w:t>
      </w:r>
    </w:p>
    <w:p w14:paraId="335BFBF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2015年，中金公司在香港联交所主板成功挂牌上市。2017年，中金公司与原中国中投证券的战略重组完成，本次交易使中金公司规模显著扩大，实现了对大、中小企业及机构、个人客户更为深度的覆盖，构建了更为均衡的一二级市场业务结构。2020年，中金公司在上海证券交易所主板成功挂牌上市。 </w:t>
      </w:r>
    </w:p>
    <w:p w14:paraId="5BBDFB7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集团总部位于北京，在境内拥有多家子公司，并在上海、深圳、厦门、成都、杭州、济南、重庆、沈阳、南京、苏州设有分公司，集团及下属子公司在中国大陆28个省、自治区、直辖市拥有200多个证券营业部。集团亦积极开拓境外市场，在中国香港、纽约、伦敦、新加坡、法兰克福、东京、越南、迪拜等地设有子公司或分支机构。 </w:t>
      </w:r>
    </w:p>
    <w:p w14:paraId="1AC88C9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秉承“植根中国，融通世界”的理念，通过广泛的业务网络及杰出的跨境能力，中金公司将持续为客户提供一流的金融服务，协助客户实现其战略发展目标。 </w:t>
      </w:r>
    </w:p>
    <w:p w14:paraId="022C591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最近3个会计年度的年末净资本均不低于20亿元人民币。最近三个年度内中金公司净资本等各项风险控制指标均符合监管标准。 </w:t>
      </w:r>
    </w:p>
    <w:p w14:paraId="40C9554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中金公司资产托管部（下文简称“托管部”）于2014年5月正式成立，负责为公募、私募基金、资管计划等客户提供资产托管及基金运营等服务。 </w:t>
      </w:r>
    </w:p>
    <w:p w14:paraId="116F584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中金公司资产托管部为独立部门，托管业务与公司其他有利益冲突的业务相互隔离，人员及岗位设置实现管理条线独立，有独立的办公场所和独立的网络系统、机房、应用系统、多项备份措施，从而保证利益隔离和信息隔离，保证了托管业务的独立。 </w:t>
      </w:r>
    </w:p>
    <w:p w14:paraId="4970662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资产托管部人员具备金融、会计等相关专业学历背景。清算、估值、注册登记、投资监督等主要业务岗位人员来自托管银行、基金管理公司、信托公司，具备丰富的资管产品、基金运作管理经验。 </w:t>
      </w:r>
    </w:p>
    <w:p w14:paraId="0D26A3D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二、主要人员情况 </w:t>
      </w:r>
    </w:p>
    <w:p w14:paraId="4253E11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陈亮先生，党委书记、董事长、管理委员会主席。 </w:t>
      </w:r>
    </w:p>
    <w:p w14:paraId="3EED2A2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陈亮先生，1968年1月出生，自2023年11月起获委任为本公司董事长，自2023年10月起任本公司党委书记、管理委员会主席。陈先生自1994年10月至2001年2月历任新疆宏源信托投资股份有限公司计算机部主任、证券部副总经理兼文艺路证券营业部经理、证券业务总部副总经理，自2001年2月至2009年9月历任宏源证券股份有限公司乌鲁木齐业务总部总经理、总经理助理、新疆营销经纪中心总经理、经纪业务总部总经理，自2009年9月至2015年1月担任宏源证券股份有限公司副总经理、宏源期货有限公司董事长，自2014年12月至2019年5月担任申万宏源集团股份有限公司（一间于深圳证券交易所（股份代号：000166）和香港联交所（股份代号：06806）两地上市的公司）和申万宏源证券有限公司党委委员、申万宏源集团股份有限公司总经理、申万宏源西部证券有限公司执行董事，自2015年8月至2019年5月担任申万宏源西部证券有限公司党委书记，及自2019年6月至2023年10月历任中国银河证券股份有限公司（一间于上海证券交易所（股份代号：601881）和香港联交所（股份代号：06881）两地上市的公司）总裁、副董事长、董事长。陈先生于1989年7月毕业于新疆大学数学专业（本科），于2016年1月自复旦大学取得高级管理人员工商管理硕士学位。 </w:t>
      </w:r>
    </w:p>
    <w:p w14:paraId="524E248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严格先生，董事总经理，资产托管部负责人。 </w:t>
      </w:r>
    </w:p>
    <w:p w14:paraId="4D2C674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严格于2021年加入中金公司资产托管部担任部门负责人。2016年至2020年，任职于中金资本运营有限公司从事私募基金管理工作，主要负责基金募集，投后管理及投资者关系等相关工作。2004年至2016年任职于中金公司财务部，协助部门管理相关工作，拥有丰富的财税，项目管理和风险管控经验。2004年毕业于北京大学主修会计学，辅修电子商务，具备证券从业资格、基金从业资格。 </w:t>
      </w:r>
    </w:p>
    <w:p w14:paraId="6CBCE08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三、基金托管业务经营情况 </w:t>
      </w:r>
    </w:p>
    <w:p w14:paraId="07D5730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中金公司于2015年6月30日获得证监会允许开展证券投资基金托管业务的批复（证监许可【2015】1441号），截至2025年6月30日，托管各类在运作产品793支，其中12支公募基金产品。 </w:t>
      </w:r>
    </w:p>
    <w:p w14:paraId="415CB0A9">
      <w:pPr>
        <w:pStyle w:val="8"/>
        <w:spacing w:before="0" w:beforeAutospacing="0" w:after="0" w:afterAutospacing="0" w:line="360" w:lineRule="auto"/>
        <w:ind w:firstLine="420"/>
        <w:rPr>
          <w:sz w:val="21"/>
          <w:szCs w:val="21"/>
          <w:highlight w:val="none"/>
        </w:rPr>
      </w:pPr>
      <w:r>
        <w:rPr>
          <w:rFonts w:hint="eastAsia"/>
          <w:sz w:val="21"/>
          <w:szCs w:val="21"/>
          <w:highlight w:val="none"/>
        </w:rPr>
        <w:t>中金公司自取得托管资格以来，严格按照《中华人民共和国证券投资基金法》（以下简称《基金法》）、《证券投资基金托管业务管理办法》等相关法律法规，履行法律法规和基</w:t>
      </w:r>
      <w:bookmarkStart w:id="36" w:name="chapter_level1_6_55_section_1_end"/>
      <w:bookmarkEnd w:id="36"/>
      <w:r>
        <w:rPr>
          <w:rFonts w:hint="eastAsia"/>
          <w:sz w:val="21"/>
          <w:szCs w:val="21"/>
          <w:highlight w:val="none"/>
        </w:rPr>
        <w:t xml:space="preserve">金合同赋予托管人的各项权利和义务。 </w:t>
      </w:r>
      <w:bookmarkStart w:id="37" w:name="field_0_trustcompanyinfo_1_end"/>
      <w:bookmarkEnd w:id="37"/>
      <w:r>
        <w:rPr>
          <w:rFonts w:hint="eastAsia"/>
          <w:sz w:val="21"/>
          <w:szCs w:val="21"/>
          <w:highlight w:val="none"/>
        </w:rPr>
        <w:t xml:space="preserve">  </w:t>
      </w:r>
    </w:p>
    <w:p w14:paraId="765DE86B">
      <w:pPr>
        <w:pStyle w:val="8"/>
        <w:spacing w:before="0" w:beforeAutospacing="0" w:after="0" w:afterAutospacing="0" w:line="360" w:lineRule="auto"/>
        <w:ind w:firstLine="420"/>
        <w:rPr>
          <w:sz w:val="21"/>
          <w:szCs w:val="21"/>
          <w:highlight w:val="none"/>
        </w:rPr>
      </w:pPr>
      <w:bookmarkStart w:id="38" w:name="field_0_trustcontrollawinfo_1_start"/>
      <w:bookmarkEnd w:id="38"/>
      <w:bookmarkStart w:id="39" w:name="chapter_level1_6_55_section_2"/>
      <w:bookmarkEnd w:id="39"/>
      <w:r>
        <w:rPr>
          <w:rFonts w:hint="eastAsia"/>
          <w:sz w:val="21"/>
          <w:szCs w:val="21"/>
          <w:highlight w:val="none"/>
        </w:rPr>
        <w:t xml:space="preserve">四、基金托管人的内部控制制度 </w:t>
      </w:r>
    </w:p>
    <w:p w14:paraId="6761AAB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（一）内部控制目标 </w:t>
      </w:r>
    </w:p>
    <w:p w14:paraId="5347DE0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为保证托管业务的规范运营，促进托管业务高效管理、持续稳定和健康发展，内部控制和风险管理必须达到以下目标： </w:t>
      </w:r>
    </w:p>
    <w:p w14:paraId="4A36B03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1、确保托管业务运作遵守国家有关法律法规、行业监管要求，自觉形成守法经营、规范运作的经营理念和经营风格。 </w:t>
      </w:r>
    </w:p>
    <w:p w14:paraId="0D89210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2、确保托管资产的安全完整，维护基金持有人的合法权益，切实履行托管人职责。 </w:t>
      </w:r>
    </w:p>
    <w:p w14:paraId="6410215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3、确保内部控制和风险管理体系的有效性。 </w:t>
      </w:r>
    </w:p>
    <w:p w14:paraId="09D50F0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4、防范和化解运营风险，确保业务的安全、稳健运行。 </w:t>
      </w:r>
    </w:p>
    <w:p w14:paraId="2FE0565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（二）内部控制原则 </w:t>
      </w:r>
    </w:p>
    <w:p w14:paraId="77B18AA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公司按照健全性、有效性、独立性、相互制约等原则，对托管业务的运作进行监督和控制。 </w:t>
      </w:r>
    </w:p>
    <w:p w14:paraId="179743B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1、健全性原则。内部控制和风险管理应涉及到托管业务的各个方面、各个环节，确保托管资产的安全和完整。 </w:t>
      </w:r>
    </w:p>
    <w:p w14:paraId="13E68E6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2、有效性原则。建立对内控制度和风险管理措施的监督、评价、反馈和完善机制，保证制度有效执行。 </w:t>
      </w:r>
    </w:p>
    <w:p w14:paraId="3615914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3、独立性原则。公司配备专门的内控人员，并与其他业务内控相独立。 </w:t>
      </w:r>
    </w:p>
    <w:p w14:paraId="415D80E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4、相互制约原则。资产托管部的岗位设置应当职责明确、相互制约。 </w:t>
      </w:r>
    </w:p>
    <w:p w14:paraId="1ED7CA6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5、审慎性原则。托管业务风险管理应满足合规要求，以审慎经营、防范和化解风险为目标，独立、客观、审慎地进行客户资质审查，原则上“看不清、不展业”。 </w:t>
      </w:r>
    </w:p>
    <w:p w14:paraId="711C2C7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（三）内部控制制度及措施 </w:t>
      </w:r>
    </w:p>
    <w:p w14:paraId="699572A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根据《基金法》、《证券投资基金托管业务管理办法》等法律法规，托管部制定了一整套证券投资基金托管管理规章制度，确保基金托管业务运行的规范、安全、高效，包括《中国国际金融股份有限公司托管业务人员管理实施细则》、《中国国际金融股份有限公司证券投资基金托管业务应急预案实施细则》、《中国国际金融股份有限公司证券投资基金托管业务隔离实施细则》、《中国国际金融股份有限公司托管业务内部审计工作指引》、《中国国际金融股份有限公司证券投资基金托管业务信息系统权限管理工作手册》、《中国国际金融股份有限公司证券投资基金托管业务信息技术规范工作手册》、《中国国际金融股份有限公司资产托管部托管资产保管业务指引》、《中国国际金融股份有限公司托管业务估值核算管理指引》、《中国国际金融股份有限公司托管业务会计核算指引》、《中国国际金融股份有限公司托管产品终止运营操作指引》、《中国国际金融股份有限公司托管资产资金清算业务工作指引》、《中国国际金融股份有限公司托管业务投资监督管理指引》、《中国国际金融股份有限公司托管业务档案管理指引》、《中国国际金融股份有限公司证券投资基金托管业务信息披露管理指引》、《中国国际金融股份有限公司托管业务内部控制和风险管理实施细则》、《中国国际金融股份有限公司托管业务风险准备金管理实施细则》等制度，并根据市场变化和基金业务的发展不断加以完善。做到业务分工合理，技术系统完整独立，业务管理制度化，核心作业区实行封闭管理，有关信息披露由专人负责。 </w:t>
      </w:r>
    </w:p>
    <w:p w14:paraId="6F38FA0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托管部通过对基金托管业务各环节的事前指导、事中风控和事后检查措施实现全流程、全链条的风险控制管理。 </w:t>
      </w:r>
    </w:p>
    <w:p w14:paraId="68556C8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资产托管业务的内部控制包含以下措施： </w:t>
      </w:r>
    </w:p>
    <w:p w14:paraId="17F652C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1、客户选择风险内部控制措施； </w:t>
      </w:r>
    </w:p>
    <w:p w14:paraId="52E2D35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2、基金资金清算与交收风险内部控制措施； </w:t>
      </w:r>
    </w:p>
    <w:p w14:paraId="7BAB4E5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3、基金估值核算风险内部控制措施； </w:t>
      </w:r>
    </w:p>
    <w:p w14:paraId="124411E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4、基金监督风险内部控制措施； </w:t>
      </w:r>
    </w:p>
    <w:p w14:paraId="7AC3BDA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5、操作风险内部控制措施； </w:t>
      </w:r>
    </w:p>
    <w:p w14:paraId="17C3FBE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6、法律合规风险内部控制措施。 </w:t>
      </w:r>
    </w:p>
    <w:p w14:paraId="7AD72BA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五、基金托管人对基金管理人运作基金进行监督的方法和程序 </w:t>
      </w:r>
    </w:p>
    <w:p w14:paraId="61AA0B5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中金公司作为基金托管人，根据《基金法》、《公开募集证券投资基金运作管理办法》和有关证券法规的规定，对基金的投资对象、基金资产的投资组合比例、基金资产的核算、基金资产净值的计算、基金管理人报酬的计提和支付、基金托管人报酬的计提和支付、基金的申购资金的到账与赎回资金的划付、基金收益分配等行为的合法性、合规性进行监督和核查。 </w:t>
      </w:r>
    </w:p>
    <w:p w14:paraId="46ADE59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中金公司作为基金托管人，发现基金管理人有违反《基金法》、《公开募集证券投资基金运作管理办法》等有关证券法规和基金合同的行为，应当及时通知基金管理人予以纠正，基金管理人收到通知后及时核对确认并进行调整。中金公司有权对通知事项进行复查，督促基金管理人改正。基金管理人对中金公司通知的违规事项未能及时纠正的，中金公司有权报告监管机构。 </w:t>
      </w:r>
    </w:p>
    <w:p w14:paraId="62D9D7A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六、其他事项 </w:t>
      </w:r>
    </w:p>
    <w:p w14:paraId="34738147">
      <w:pPr>
        <w:pStyle w:val="8"/>
        <w:spacing w:before="0" w:beforeAutospacing="0" w:after="0" w:afterAutospacing="0" w:line="360" w:lineRule="auto"/>
        <w:ind w:firstLine="420"/>
        <w:rPr>
          <w:sz w:val="21"/>
          <w:szCs w:val="21"/>
          <w:highlight w:val="none"/>
        </w:rPr>
      </w:pPr>
      <w:r>
        <w:rPr>
          <w:rFonts w:hint="eastAsia"/>
          <w:sz w:val="21"/>
          <w:szCs w:val="21"/>
          <w:highlight w:val="none"/>
        </w:rPr>
        <w:t>最近一年内中金公司及其负责资产托管业务的高级管理人员无重大违法违规行为，未因基金托管业务受到中国人民银行、中国证监会、国家金融监督管理总局及其他有关机关的处</w:t>
      </w:r>
      <w:bookmarkStart w:id="40" w:name="chapter_level1_6_55_section_2_end"/>
      <w:bookmarkEnd w:id="40"/>
      <w:r>
        <w:rPr>
          <w:rFonts w:hint="eastAsia"/>
          <w:sz w:val="21"/>
          <w:szCs w:val="21"/>
          <w:highlight w:val="none"/>
        </w:rPr>
        <w:t xml:space="preserve">罚。负责基金托管业务的高级管理人员在基金管理公司无兼职的情况。 </w:t>
      </w:r>
      <w:bookmarkStart w:id="41" w:name="field_0_trustcontrollawinfo_1_end"/>
      <w:bookmarkEnd w:id="41"/>
      <w:r>
        <w:rPr>
          <w:rFonts w:hint="eastAsia"/>
          <w:sz w:val="21"/>
          <w:szCs w:val="21"/>
          <w:highlight w:val="none"/>
        </w:rPr>
        <w:t xml:space="preserve">  </w:t>
      </w:r>
    </w:p>
    <w:p w14:paraId="349D8206">
      <w:pPr>
        <w:widowControl/>
        <w:jc w:val="left"/>
        <w:rPr>
          <w:rFonts w:ascii="宋体" w:hAnsi="宋体" w:eastAsia="宋体"/>
          <w:highlight w:val="none"/>
        </w:rPr>
      </w:pPr>
      <w:r>
        <w:rPr>
          <w:rFonts w:ascii="宋体" w:hAnsi="宋体" w:eastAsia="宋体"/>
          <w:highlight w:val="none"/>
        </w:rPr>
        <w:br w:type="page"/>
      </w:r>
    </w:p>
    <w:p w14:paraId="06A321C5">
      <w:pPr>
        <w:pStyle w:val="2"/>
        <w:jc w:val="center"/>
        <w:rPr>
          <w:rFonts w:ascii="宋体" w:hAnsi="宋体" w:eastAsia="宋体"/>
          <w:sz w:val="30"/>
          <w:highlight w:val="none"/>
        </w:rPr>
      </w:pPr>
      <w:bookmarkStart w:id="42" w:name="chapter_level1_7_56"/>
      <w:bookmarkStart w:id="43" w:name="_Toc207933746"/>
      <w:r>
        <w:rPr>
          <w:rFonts w:hint="eastAsia" w:ascii="宋体" w:hAnsi="宋体" w:eastAsia="宋体"/>
          <w:sz w:val="30"/>
          <w:highlight w:val="none"/>
        </w:rPr>
        <w:t>第五部分  相关服务机构</w:t>
      </w:r>
      <w:bookmarkEnd w:id="42"/>
      <w:bookmarkEnd w:id="43"/>
    </w:p>
    <w:p w14:paraId="46A3D45F">
      <w:pPr>
        <w:pStyle w:val="8"/>
        <w:spacing w:before="0" w:beforeAutospacing="0" w:after="0" w:afterAutospacing="0" w:line="360" w:lineRule="auto"/>
        <w:ind w:firstLine="420"/>
        <w:rPr>
          <w:sz w:val="21"/>
          <w:szCs w:val="21"/>
          <w:highlight w:val="none"/>
        </w:rPr>
      </w:pPr>
      <w:bookmarkStart w:id="44" w:name="chapter_level1_7_56_section_2"/>
      <w:bookmarkEnd w:id="44"/>
      <w:r>
        <w:rPr>
          <w:rStyle w:val="12"/>
          <w:rFonts w:hint="eastAsia"/>
          <w:sz w:val="21"/>
          <w:szCs w:val="21"/>
          <w:highlight w:val="none"/>
        </w:rPr>
        <w:t>一、基金份额销售机构</w:t>
      </w:r>
    </w:p>
    <w:p w14:paraId="41DC0639">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1、申购赎回代理券商（简称“一级交易商”） </w:t>
      </w:r>
    </w:p>
    <w:p w14:paraId="712F8091">
      <w:pPr>
        <w:pStyle w:val="8"/>
        <w:spacing w:before="0" w:beforeAutospacing="0" w:after="0" w:afterAutospacing="0" w:line="360" w:lineRule="auto"/>
        <w:ind w:firstLine="420"/>
        <w:rPr>
          <w:sz w:val="21"/>
          <w:szCs w:val="21"/>
          <w:highlight w:val="none"/>
        </w:rPr>
      </w:pPr>
      <w:bookmarkStart w:id="45" w:name="field_0_allproxysaletables_1_start"/>
      <w:bookmarkEnd w:id="45"/>
      <w:r>
        <w:rPr>
          <w:rFonts w:hint="eastAsia"/>
          <w:b/>
          <w:bCs/>
          <w:sz w:val="21"/>
          <w:szCs w:val="21"/>
          <w:highlight w:val="none"/>
        </w:rPr>
        <w:t>(1)国泰海通证券股份有限公司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76F62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F9E5C">
            <w:pPr>
              <w:pStyle w:val="8"/>
              <w:rPr>
                <w:highlight w:val="none"/>
              </w:rPr>
            </w:pPr>
            <w:r>
              <w:rPr>
                <w:rFonts w:hint="eastAsia"/>
                <w:highlight w:val="none"/>
              </w:rPr>
              <w:t xml:space="preserve">注册地址： </w:t>
            </w:r>
          </w:p>
        </w:tc>
        <w:tc>
          <w:tcPr>
            <w:tcW w:w="7440" w:type="dxa"/>
            <w:shd w:val="clear" w:color="auto" w:fill="auto"/>
          </w:tcPr>
          <w:p w14:paraId="28083B3F">
            <w:pPr>
              <w:pStyle w:val="8"/>
              <w:rPr>
                <w:highlight w:val="none"/>
              </w:rPr>
            </w:pPr>
            <w:r>
              <w:rPr>
                <w:rFonts w:hint="eastAsia"/>
                <w:highlight w:val="none"/>
              </w:rPr>
              <w:t xml:space="preserve">中国（上海）自由贸易试验区商城路618号  </w:t>
            </w:r>
          </w:p>
        </w:tc>
      </w:tr>
      <w:tr w14:paraId="472BD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A7FFA2">
            <w:pPr>
              <w:pStyle w:val="8"/>
              <w:rPr>
                <w:highlight w:val="none"/>
              </w:rPr>
            </w:pPr>
            <w:r>
              <w:rPr>
                <w:rFonts w:hint="eastAsia"/>
                <w:highlight w:val="none"/>
              </w:rPr>
              <w:t xml:space="preserve">办公地址： </w:t>
            </w:r>
          </w:p>
        </w:tc>
        <w:tc>
          <w:tcPr>
            <w:tcW w:w="7440" w:type="dxa"/>
            <w:shd w:val="clear" w:color="auto" w:fill="auto"/>
          </w:tcPr>
          <w:p w14:paraId="62E5B953">
            <w:pPr>
              <w:pStyle w:val="8"/>
              <w:rPr>
                <w:highlight w:val="none"/>
              </w:rPr>
            </w:pPr>
            <w:r>
              <w:rPr>
                <w:rFonts w:hint="eastAsia"/>
                <w:highlight w:val="none"/>
              </w:rPr>
              <w:t xml:space="preserve">上海市静安区南京西路768号国泰君安大厦 </w:t>
            </w:r>
          </w:p>
        </w:tc>
      </w:tr>
      <w:tr w14:paraId="28BBC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AFFFF5">
            <w:pPr>
              <w:pStyle w:val="8"/>
              <w:rPr>
                <w:highlight w:val="none"/>
              </w:rPr>
            </w:pPr>
            <w:r>
              <w:rPr>
                <w:rFonts w:hint="eastAsia"/>
                <w:highlight w:val="none"/>
              </w:rPr>
              <w:t xml:space="preserve">法定代表人： </w:t>
            </w:r>
          </w:p>
        </w:tc>
        <w:tc>
          <w:tcPr>
            <w:tcW w:w="7440" w:type="dxa"/>
            <w:shd w:val="clear" w:color="auto" w:fill="auto"/>
          </w:tcPr>
          <w:p w14:paraId="5B284193">
            <w:pPr>
              <w:pStyle w:val="8"/>
              <w:rPr>
                <w:highlight w:val="none"/>
              </w:rPr>
            </w:pPr>
            <w:r>
              <w:rPr>
                <w:rFonts w:hint="eastAsia"/>
                <w:highlight w:val="none"/>
              </w:rPr>
              <w:t xml:space="preserve">朱健 </w:t>
            </w:r>
          </w:p>
        </w:tc>
      </w:tr>
      <w:tr w14:paraId="7024E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6F1C8B">
            <w:pPr>
              <w:pStyle w:val="8"/>
              <w:rPr>
                <w:highlight w:val="none"/>
              </w:rPr>
            </w:pPr>
            <w:r>
              <w:rPr>
                <w:rFonts w:hint="eastAsia"/>
                <w:highlight w:val="none"/>
              </w:rPr>
              <w:t xml:space="preserve">联系人： </w:t>
            </w:r>
          </w:p>
        </w:tc>
        <w:tc>
          <w:tcPr>
            <w:tcW w:w="7440" w:type="dxa"/>
            <w:shd w:val="clear" w:color="auto" w:fill="auto"/>
          </w:tcPr>
          <w:p w14:paraId="2C7A2B69">
            <w:pPr>
              <w:pStyle w:val="8"/>
              <w:rPr>
                <w:highlight w:val="none"/>
              </w:rPr>
            </w:pPr>
            <w:r>
              <w:rPr>
                <w:rFonts w:hint="eastAsia"/>
                <w:highlight w:val="none"/>
              </w:rPr>
              <w:t xml:space="preserve">钟伟镇  </w:t>
            </w:r>
          </w:p>
        </w:tc>
      </w:tr>
      <w:tr w14:paraId="129B1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6CEBA">
            <w:pPr>
              <w:pStyle w:val="8"/>
              <w:rPr>
                <w:highlight w:val="none"/>
              </w:rPr>
            </w:pPr>
            <w:r>
              <w:rPr>
                <w:rFonts w:hint="eastAsia"/>
                <w:highlight w:val="none"/>
              </w:rPr>
              <w:t xml:space="preserve">电话： </w:t>
            </w:r>
          </w:p>
        </w:tc>
        <w:tc>
          <w:tcPr>
            <w:tcW w:w="7440" w:type="dxa"/>
            <w:shd w:val="clear" w:color="auto" w:fill="auto"/>
          </w:tcPr>
          <w:p w14:paraId="364387B2">
            <w:pPr>
              <w:pStyle w:val="8"/>
              <w:rPr>
                <w:highlight w:val="none"/>
              </w:rPr>
            </w:pPr>
            <w:r>
              <w:rPr>
                <w:rFonts w:hint="eastAsia"/>
                <w:highlight w:val="none"/>
              </w:rPr>
              <w:t xml:space="preserve">021-38676666  </w:t>
            </w:r>
          </w:p>
        </w:tc>
      </w:tr>
      <w:tr w14:paraId="2BB53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FEE77C">
            <w:pPr>
              <w:pStyle w:val="8"/>
              <w:rPr>
                <w:highlight w:val="none"/>
              </w:rPr>
            </w:pPr>
            <w:r>
              <w:rPr>
                <w:rFonts w:hint="eastAsia"/>
                <w:highlight w:val="none"/>
              </w:rPr>
              <w:t xml:space="preserve">传真： </w:t>
            </w:r>
          </w:p>
        </w:tc>
        <w:tc>
          <w:tcPr>
            <w:tcW w:w="7440" w:type="dxa"/>
            <w:shd w:val="clear" w:color="auto" w:fill="auto"/>
          </w:tcPr>
          <w:p w14:paraId="188F5337">
            <w:pPr>
              <w:pStyle w:val="8"/>
              <w:rPr>
                <w:highlight w:val="none"/>
              </w:rPr>
            </w:pPr>
            <w:r>
              <w:rPr>
                <w:rFonts w:hint="eastAsia"/>
                <w:highlight w:val="none"/>
              </w:rPr>
              <w:t xml:space="preserve">021-38670666  </w:t>
            </w:r>
          </w:p>
        </w:tc>
      </w:tr>
      <w:tr w14:paraId="3508A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4A60C6">
            <w:pPr>
              <w:pStyle w:val="8"/>
              <w:rPr>
                <w:highlight w:val="none"/>
              </w:rPr>
            </w:pPr>
            <w:r>
              <w:rPr>
                <w:rFonts w:hint="eastAsia"/>
                <w:highlight w:val="none"/>
              </w:rPr>
              <w:t xml:space="preserve">客户服务电话： </w:t>
            </w:r>
          </w:p>
        </w:tc>
        <w:tc>
          <w:tcPr>
            <w:tcW w:w="7440" w:type="dxa"/>
            <w:shd w:val="clear" w:color="auto" w:fill="auto"/>
          </w:tcPr>
          <w:p w14:paraId="2A819592">
            <w:pPr>
              <w:pStyle w:val="8"/>
              <w:rPr>
                <w:highlight w:val="none"/>
              </w:rPr>
            </w:pPr>
            <w:r>
              <w:rPr>
                <w:rFonts w:hint="eastAsia"/>
                <w:highlight w:val="none"/>
              </w:rPr>
              <w:t xml:space="preserve">95521/4008888666  </w:t>
            </w:r>
          </w:p>
        </w:tc>
      </w:tr>
      <w:tr w14:paraId="36433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CEC8E4">
            <w:pPr>
              <w:pStyle w:val="8"/>
              <w:rPr>
                <w:highlight w:val="none"/>
              </w:rPr>
            </w:pPr>
            <w:r>
              <w:rPr>
                <w:rFonts w:hint="eastAsia"/>
                <w:highlight w:val="none"/>
              </w:rPr>
              <w:t xml:space="preserve">网址： </w:t>
            </w:r>
          </w:p>
        </w:tc>
        <w:tc>
          <w:tcPr>
            <w:tcW w:w="7440" w:type="dxa"/>
            <w:shd w:val="clear" w:color="auto" w:fill="auto"/>
          </w:tcPr>
          <w:p w14:paraId="30C7741B">
            <w:pPr>
              <w:pStyle w:val="8"/>
              <w:rPr>
                <w:highlight w:val="none"/>
              </w:rPr>
            </w:pPr>
            <w:r>
              <w:rPr>
                <w:rFonts w:hint="eastAsia"/>
                <w:highlight w:val="none"/>
              </w:rPr>
              <w:t xml:space="preserve">https://www.gtht.com </w:t>
            </w:r>
          </w:p>
        </w:tc>
      </w:tr>
    </w:tbl>
    <w:p w14:paraId="754A1E54">
      <w:pPr>
        <w:pStyle w:val="8"/>
        <w:spacing w:before="0" w:beforeAutospacing="0" w:after="0" w:afterAutospacing="0" w:line="360" w:lineRule="auto"/>
        <w:ind w:firstLine="420"/>
        <w:rPr>
          <w:sz w:val="21"/>
          <w:szCs w:val="21"/>
          <w:highlight w:val="none"/>
        </w:rPr>
      </w:pPr>
      <w:r>
        <w:rPr>
          <w:rFonts w:hint="eastAsia"/>
          <w:b/>
          <w:bCs/>
          <w:sz w:val="21"/>
          <w:szCs w:val="21"/>
          <w:highlight w:val="none"/>
        </w:rPr>
        <w:t>(2)中信建投证券股份有限公司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111CC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4EA11">
            <w:pPr>
              <w:pStyle w:val="8"/>
              <w:rPr>
                <w:highlight w:val="none"/>
              </w:rPr>
            </w:pPr>
            <w:r>
              <w:rPr>
                <w:rFonts w:hint="eastAsia"/>
                <w:highlight w:val="none"/>
              </w:rPr>
              <w:t xml:space="preserve">注册地址： </w:t>
            </w:r>
          </w:p>
        </w:tc>
        <w:tc>
          <w:tcPr>
            <w:tcW w:w="7440" w:type="dxa"/>
            <w:shd w:val="clear" w:color="auto" w:fill="auto"/>
          </w:tcPr>
          <w:p w14:paraId="64249A22">
            <w:pPr>
              <w:pStyle w:val="8"/>
              <w:rPr>
                <w:highlight w:val="none"/>
              </w:rPr>
            </w:pPr>
            <w:r>
              <w:rPr>
                <w:rFonts w:hint="eastAsia"/>
                <w:highlight w:val="none"/>
              </w:rPr>
              <w:t xml:space="preserve">北京市朝阳区安立路66号4号楼 </w:t>
            </w:r>
          </w:p>
        </w:tc>
      </w:tr>
      <w:tr w14:paraId="09F2C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2466E">
            <w:pPr>
              <w:pStyle w:val="8"/>
              <w:rPr>
                <w:highlight w:val="none"/>
              </w:rPr>
            </w:pPr>
            <w:r>
              <w:rPr>
                <w:rFonts w:hint="eastAsia"/>
                <w:highlight w:val="none"/>
              </w:rPr>
              <w:t xml:space="preserve">办公地址： </w:t>
            </w:r>
          </w:p>
        </w:tc>
        <w:tc>
          <w:tcPr>
            <w:tcW w:w="7440" w:type="dxa"/>
            <w:shd w:val="clear" w:color="auto" w:fill="auto"/>
          </w:tcPr>
          <w:p w14:paraId="214CFE4E">
            <w:pPr>
              <w:pStyle w:val="8"/>
              <w:rPr>
                <w:highlight w:val="none"/>
              </w:rPr>
            </w:pPr>
            <w:r>
              <w:rPr>
                <w:rFonts w:hint="eastAsia"/>
                <w:highlight w:val="none"/>
              </w:rPr>
              <w:t xml:space="preserve">北京市朝阳区光华路10号 </w:t>
            </w:r>
          </w:p>
        </w:tc>
      </w:tr>
      <w:tr w14:paraId="47895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5DE87">
            <w:pPr>
              <w:pStyle w:val="8"/>
              <w:rPr>
                <w:highlight w:val="none"/>
              </w:rPr>
            </w:pPr>
            <w:r>
              <w:rPr>
                <w:rFonts w:hint="eastAsia"/>
                <w:highlight w:val="none"/>
              </w:rPr>
              <w:t xml:space="preserve">法定代表人： </w:t>
            </w:r>
          </w:p>
        </w:tc>
        <w:tc>
          <w:tcPr>
            <w:tcW w:w="7440" w:type="dxa"/>
            <w:shd w:val="clear" w:color="auto" w:fill="auto"/>
          </w:tcPr>
          <w:p w14:paraId="4BB9CD44">
            <w:pPr>
              <w:pStyle w:val="8"/>
              <w:rPr>
                <w:highlight w:val="none"/>
              </w:rPr>
            </w:pPr>
            <w:r>
              <w:rPr>
                <w:rFonts w:hint="eastAsia"/>
                <w:highlight w:val="none"/>
              </w:rPr>
              <w:t xml:space="preserve">刘成 </w:t>
            </w:r>
          </w:p>
        </w:tc>
      </w:tr>
      <w:tr w14:paraId="5B357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23F960">
            <w:pPr>
              <w:pStyle w:val="8"/>
              <w:rPr>
                <w:highlight w:val="none"/>
              </w:rPr>
            </w:pPr>
            <w:r>
              <w:rPr>
                <w:rFonts w:hint="eastAsia"/>
                <w:highlight w:val="none"/>
              </w:rPr>
              <w:t xml:space="preserve">联系人： </w:t>
            </w:r>
          </w:p>
        </w:tc>
        <w:tc>
          <w:tcPr>
            <w:tcW w:w="7440" w:type="dxa"/>
            <w:shd w:val="clear" w:color="auto" w:fill="auto"/>
          </w:tcPr>
          <w:p w14:paraId="24C030EB">
            <w:pPr>
              <w:pStyle w:val="8"/>
              <w:rPr>
                <w:highlight w:val="none"/>
              </w:rPr>
            </w:pPr>
            <w:r>
              <w:rPr>
                <w:rFonts w:hint="eastAsia"/>
                <w:highlight w:val="none"/>
              </w:rPr>
              <w:t xml:space="preserve">陈海静 </w:t>
            </w:r>
          </w:p>
        </w:tc>
      </w:tr>
      <w:tr w14:paraId="4C5F8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810BC4">
            <w:pPr>
              <w:pStyle w:val="8"/>
              <w:rPr>
                <w:highlight w:val="none"/>
              </w:rPr>
            </w:pPr>
            <w:r>
              <w:rPr>
                <w:rFonts w:hint="eastAsia"/>
                <w:highlight w:val="none"/>
              </w:rPr>
              <w:t xml:space="preserve">电话： </w:t>
            </w:r>
          </w:p>
        </w:tc>
        <w:tc>
          <w:tcPr>
            <w:tcW w:w="7440" w:type="dxa"/>
            <w:shd w:val="clear" w:color="auto" w:fill="auto"/>
          </w:tcPr>
          <w:p w14:paraId="5558A012">
            <w:pPr>
              <w:pStyle w:val="8"/>
              <w:rPr>
                <w:highlight w:val="none"/>
              </w:rPr>
            </w:pPr>
            <w:r>
              <w:rPr>
                <w:rFonts w:hint="eastAsia"/>
                <w:highlight w:val="none"/>
              </w:rPr>
              <w:t xml:space="preserve">010-65608231 </w:t>
            </w:r>
          </w:p>
        </w:tc>
      </w:tr>
      <w:tr w14:paraId="009BB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C4489">
            <w:pPr>
              <w:pStyle w:val="8"/>
              <w:rPr>
                <w:highlight w:val="none"/>
              </w:rPr>
            </w:pPr>
            <w:r>
              <w:rPr>
                <w:rFonts w:hint="eastAsia"/>
                <w:highlight w:val="none"/>
              </w:rPr>
              <w:t xml:space="preserve">传真： </w:t>
            </w:r>
          </w:p>
        </w:tc>
        <w:tc>
          <w:tcPr>
            <w:tcW w:w="7440" w:type="dxa"/>
            <w:shd w:val="clear" w:color="auto" w:fill="auto"/>
          </w:tcPr>
          <w:p w14:paraId="6DA74153">
            <w:pPr>
              <w:pStyle w:val="8"/>
              <w:rPr>
                <w:highlight w:val="none"/>
              </w:rPr>
            </w:pPr>
            <w:r>
              <w:rPr>
                <w:rFonts w:hint="eastAsia"/>
                <w:highlight w:val="none"/>
              </w:rPr>
              <w:t xml:space="preserve">010－65182261 </w:t>
            </w:r>
          </w:p>
        </w:tc>
      </w:tr>
      <w:tr w14:paraId="28606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123878">
            <w:pPr>
              <w:pStyle w:val="8"/>
              <w:rPr>
                <w:highlight w:val="none"/>
              </w:rPr>
            </w:pPr>
            <w:r>
              <w:rPr>
                <w:rFonts w:hint="eastAsia"/>
                <w:highlight w:val="none"/>
              </w:rPr>
              <w:t xml:space="preserve">客户服务电话： </w:t>
            </w:r>
          </w:p>
        </w:tc>
        <w:tc>
          <w:tcPr>
            <w:tcW w:w="7440" w:type="dxa"/>
            <w:shd w:val="clear" w:color="auto" w:fill="auto"/>
          </w:tcPr>
          <w:p w14:paraId="551DCA49">
            <w:pPr>
              <w:pStyle w:val="8"/>
              <w:rPr>
                <w:highlight w:val="none"/>
              </w:rPr>
            </w:pPr>
            <w:r>
              <w:rPr>
                <w:rFonts w:hint="eastAsia"/>
                <w:highlight w:val="none"/>
              </w:rPr>
              <w:t xml:space="preserve">4008888108/95587 </w:t>
            </w:r>
          </w:p>
        </w:tc>
      </w:tr>
      <w:tr w14:paraId="2A41F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46F6E">
            <w:pPr>
              <w:pStyle w:val="8"/>
              <w:rPr>
                <w:highlight w:val="none"/>
              </w:rPr>
            </w:pPr>
            <w:r>
              <w:rPr>
                <w:rFonts w:hint="eastAsia"/>
                <w:highlight w:val="none"/>
              </w:rPr>
              <w:t xml:space="preserve">网址： </w:t>
            </w:r>
          </w:p>
        </w:tc>
        <w:tc>
          <w:tcPr>
            <w:tcW w:w="7440" w:type="dxa"/>
            <w:shd w:val="clear" w:color="auto" w:fill="auto"/>
          </w:tcPr>
          <w:p w14:paraId="348F789B">
            <w:pPr>
              <w:pStyle w:val="8"/>
              <w:rPr>
                <w:highlight w:val="none"/>
              </w:rPr>
            </w:pPr>
            <w:r>
              <w:rPr>
                <w:rFonts w:hint="eastAsia"/>
                <w:highlight w:val="none"/>
              </w:rPr>
              <w:t xml:space="preserve">http://www.csc108.com/ </w:t>
            </w:r>
          </w:p>
        </w:tc>
      </w:tr>
    </w:tbl>
    <w:p w14:paraId="26C9F579">
      <w:pPr>
        <w:pStyle w:val="8"/>
        <w:spacing w:before="0" w:beforeAutospacing="0" w:after="0" w:afterAutospacing="0" w:line="360" w:lineRule="auto"/>
        <w:ind w:firstLine="420"/>
        <w:rPr>
          <w:sz w:val="21"/>
          <w:szCs w:val="21"/>
          <w:highlight w:val="none"/>
        </w:rPr>
      </w:pPr>
      <w:r>
        <w:rPr>
          <w:rFonts w:hint="eastAsia"/>
          <w:b/>
          <w:bCs/>
          <w:sz w:val="21"/>
          <w:szCs w:val="21"/>
          <w:highlight w:val="none"/>
        </w:rPr>
        <w:t>(3)国信证券股份有限公司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CFC4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D382D6">
            <w:pPr>
              <w:pStyle w:val="8"/>
              <w:rPr>
                <w:highlight w:val="none"/>
              </w:rPr>
            </w:pPr>
            <w:r>
              <w:rPr>
                <w:rFonts w:hint="eastAsia"/>
                <w:highlight w:val="none"/>
              </w:rPr>
              <w:t xml:space="preserve">注册地址： </w:t>
            </w:r>
          </w:p>
        </w:tc>
        <w:tc>
          <w:tcPr>
            <w:tcW w:w="7440" w:type="dxa"/>
            <w:shd w:val="clear" w:color="auto" w:fill="auto"/>
          </w:tcPr>
          <w:p w14:paraId="765AC944">
            <w:pPr>
              <w:pStyle w:val="8"/>
              <w:rPr>
                <w:highlight w:val="none"/>
              </w:rPr>
            </w:pPr>
            <w:r>
              <w:rPr>
                <w:rFonts w:hint="eastAsia"/>
                <w:highlight w:val="none"/>
              </w:rPr>
              <w:t xml:space="preserve">深圳市罗湖区红岭中路1012号国信证券大厦十六层至二十六层 </w:t>
            </w:r>
          </w:p>
        </w:tc>
      </w:tr>
      <w:tr w14:paraId="41BBA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D49CC">
            <w:pPr>
              <w:pStyle w:val="8"/>
              <w:rPr>
                <w:highlight w:val="none"/>
              </w:rPr>
            </w:pPr>
            <w:r>
              <w:rPr>
                <w:rFonts w:hint="eastAsia"/>
                <w:highlight w:val="none"/>
              </w:rPr>
              <w:t xml:space="preserve">办公地址： </w:t>
            </w:r>
          </w:p>
        </w:tc>
        <w:tc>
          <w:tcPr>
            <w:tcW w:w="7440" w:type="dxa"/>
            <w:shd w:val="clear" w:color="auto" w:fill="auto"/>
          </w:tcPr>
          <w:p w14:paraId="211E6EED">
            <w:pPr>
              <w:pStyle w:val="8"/>
              <w:rPr>
                <w:highlight w:val="none"/>
              </w:rPr>
            </w:pPr>
            <w:r>
              <w:rPr>
                <w:rFonts w:hint="eastAsia"/>
                <w:highlight w:val="none"/>
              </w:rPr>
              <w:t xml:space="preserve">深圳市福田区福华一路125号国信金融大厦37楼  </w:t>
            </w:r>
          </w:p>
        </w:tc>
      </w:tr>
      <w:tr w14:paraId="5E786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8C771">
            <w:pPr>
              <w:pStyle w:val="8"/>
              <w:rPr>
                <w:highlight w:val="none"/>
              </w:rPr>
            </w:pPr>
            <w:r>
              <w:rPr>
                <w:rFonts w:hint="eastAsia"/>
                <w:highlight w:val="none"/>
              </w:rPr>
              <w:t xml:space="preserve">法定代表人： </w:t>
            </w:r>
          </w:p>
        </w:tc>
        <w:tc>
          <w:tcPr>
            <w:tcW w:w="7440" w:type="dxa"/>
            <w:shd w:val="clear" w:color="auto" w:fill="auto"/>
          </w:tcPr>
          <w:p w14:paraId="5649AA19">
            <w:pPr>
              <w:pStyle w:val="8"/>
              <w:rPr>
                <w:highlight w:val="none"/>
              </w:rPr>
            </w:pPr>
            <w:r>
              <w:rPr>
                <w:rFonts w:hint="eastAsia"/>
                <w:highlight w:val="none"/>
              </w:rPr>
              <w:t xml:space="preserve">张纳沙 </w:t>
            </w:r>
          </w:p>
        </w:tc>
      </w:tr>
      <w:tr w14:paraId="56912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A262BC">
            <w:pPr>
              <w:pStyle w:val="8"/>
              <w:rPr>
                <w:highlight w:val="none"/>
              </w:rPr>
            </w:pPr>
            <w:r>
              <w:rPr>
                <w:rFonts w:hint="eastAsia"/>
                <w:highlight w:val="none"/>
              </w:rPr>
              <w:t xml:space="preserve">联系人： </w:t>
            </w:r>
          </w:p>
        </w:tc>
        <w:tc>
          <w:tcPr>
            <w:tcW w:w="7440" w:type="dxa"/>
            <w:shd w:val="clear" w:color="auto" w:fill="auto"/>
          </w:tcPr>
          <w:p w14:paraId="6951A633">
            <w:pPr>
              <w:pStyle w:val="8"/>
              <w:rPr>
                <w:highlight w:val="none"/>
              </w:rPr>
            </w:pPr>
            <w:r>
              <w:rPr>
                <w:rFonts w:hint="eastAsia"/>
                <w:highlight w:val="none"/>
              </w:rPr>
              <w:t xml:space="preserve">于智勇 </w:t>
            </w:r>
          </w:p>
        </w:tc>
      </w:tr>
      <w:tr w14:paraId="63578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576EFB">
            <w:pPr>
              <w:pStyle w:val="8"/>
              <w:rPr>
                <w:highlight w:val="none"/>
              </w:rPr>
            </w:pPr>
            <w:r>
              <w:rPr>
                <w:rFonts w:hint="eastAsia"/>
                <w:highlight w:val="none"/>
              </w:rPr>
              <w:t xml:space="preserve">电话： </w:t>
            </w:r>
          </w:p>
        </w:tc>
        <w:tc>
          <w:tcPr>
            <w:tcW w:w="7440" w:type="dxa"/>
            <w:shd w:val="clear" w:color="auto" w:fill="auto"/>
          </w:tcPr>
          <w:p w14:paraId="2C5EED6D">
            <w:pPr>
              <w:pStyle w:val="8"/>
              <w:rPr>
                <w:highlight w:val="none"/>
              </w:rPr>
            </w:pPr>
            <w:r>
              <w:rPr>
                <w:rFonts w:hint="eastAsia"/>
                <w:highlight w:val="none"/>
              </w:rPr>
              <w:t xml:space="preserve">0755-81981259 </w:t>
            </w:r>
          </w:p>
        </w:tc>
      </w:tr>
      <w:tr w14:paraId="4EE1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51C6B">
            <w:pPr>
              <w:pStyle w:val="8"/>
              <w:rPr>
                <w:highlight w:val="none"/>
              </w:rPr>
            </w:pPr>
            <w:r>
              <w:rPr>
                <w:rFonts w:hint="eastAsia"/>
                <w:highlight w:val="none"/>
              </w:rPr>
              <w:t xml:space="preserve">传真： </w:t>
            </w:r>
          </w:p>
        </w:tc>
        <w:tc>
          <w:tcPr>
            <w:tcW w:w="7440" w:type="dxa"/>
            <w:shd w:val="clear" w:color="auto" w:fill="auto"/>
          </w:tcPr>
          <w:p w14:paraId="2A7C7BE9">
            <w:pPr>
              <w:pStyle w:val="8"/>
              <w:rPr>
                <w:highlight w:val="none"/>
              </w:rPr>
            </w:pPr>
            <w:r>
              <w:rPr>
                <w:rFonts w:hint="eastAsia"/>
                <w:highlight w:val="none"/>
              </w:rPr>
              <w:t xml:space="preserve">0755-82133952 </w:t>
            </w:r>
          </w:p>
        </w:tc>
      </w:tr>
      <w:tr w14:paraId="3FF41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569E7">
            <w:pPr>
              <w:pStyle w:val="8"/>
              <w:rPr>
                <w:highlight w:val="none"/>
              </w:rPr>
            </w:pPr>
            <w:r>
              <w:rPr>
                <w:rFonts w:hint="eastAsia"/>
                <w:highlight w:val="none"/>
              </w:rPr>
              <w:t xml:space="preserve">客户服务电话： </w:t>
            </w:r>
          </w:p>
        </w:tc>
        <w:tc>
          <w:tcPr>
            <w:tcW w:w="7440" w:type="dxa"/>
            <w:shd w:val="clear" w:color="auto" w:fill="auto"/>
          </w:tcPr>
          <w:p w14:paraId="4DF3BFF4">
            <w:pPr>
              <w:pStyle w:val="8"/>
              <w:rPr>
                <w:highlight w:val="none"/>
              </w:rPr>
            </w:pPr>
            <w:r>
              <w:rPr>
                <w:rFonts w:hint="eastAsia"/>
                <w:highlight w:val="none"/>
              </w:rPr>
              <w:t xml:space="preserve">95536 </w:t>
            </w:r>
          </w:p>
        </w:tc>
      </w:tr>
      <w:tr w14:paraId="6498D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A2CC29">
            <w:pPr>
              <w:pStyle w:val="8"/>
              <w:rPr>
                <w:highlight w:val="none"/>
              </w:rPr>
            </w:pPr>
            <w:r>
              <w:rPr>
                <w:rFonts w:hint="eastAsia"/>
                <w:highlight w:val="none"/>
              </w:rPr>
              <w:t xml:space="preserve">网址： </w:t>
            </w:r>
          </w:p>
        </w:tc>
        <w:tc>
          <w:tcPr>
            <w:tcW w:w="7440" w:type="dxa"/>
            <w:shd w:val="clear" w:color="auto" w:fill="auto"/>
          </w:tcPr>
          <w:p w14:paraId="4FA37EAE">
            <w:pPr>
              <w:pStyle w:val="8"/>
              <w:rPr>
                <w:highlight w:val="none"/>
              </w:rPr>
            </w:pPr>
            <w:r>
              <w:rPr>
                <w:rFonts w:hint="eastAsia"/>
                <w:highlight w:val="none"/>
              </w:rPr>
              <w:t xml:space="preserve">http://www.guosen.com.cn/ </w:t>
            </w:r>
          </w:p>
        </w:tc>
      </w:tr>
    </w:tbl>
    <w:p w14:paraId="5AFF2520">
      <w:pPr>
        <w:pStyle w:val="8"/>
        <w:spacing w:before="0" w:beforeAutospacing="0" w:after="0" w:afterAutospacing="0" w:line="360" w:lineRule="auto"/>
        <w:ind w:firstLine="420"/>
        <w:rPr>
          <w:sz w:val="21"/>
          <w:szCs w:val="21"/>
          <w:highlight w:val="none"/>
        </w:rPr>
      </w:pPr>
      <w:r>
        <w:rPr>
          <w:rFonts w:hint="eastAsia"/>
          <w:b/>
          <w:bCs/>
          <w:sz w:val="21"/>
          <w:szCs w:val="21"/>
          <w:highlight w:val="none"/>
        </w:rPr>
        <w:t>(4)招商证券股份有限公司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38E49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65309A">
            <w:pPr>
              <w:pStyle w:val="8"/>
              <w:rPr>
                <w:highlight w:val="none"/>
              </w:rPr>
            </w:pPr>
            <w:r>
              <w:rPr>
                <w:rFonts w:hint="eastAsia"/>
                <w:highlight w:val="none"/>
              </w:rPr>
              <w:t xml:space="preserve">注册地址： </w:t>
            </w:r>
          </w:p>
        </w:tc>
        <w:tc>
          <w:tcPr>
            <w:tcW w:w="7440" w:type="dxa"/>
            <w:shd w:val="clear" w:color="auto" w:fill="auto"/>
          </w:tcPr>
          <w:p w14:paraId="16F62CB2">
            <w:pPr>
              <w:pStyle w:val="8"/>
              <w:rPr>
                <w:highlight w:val="none"/>
              </w:rPr>
            </w:pPr>
            <w:r>
              <w:rPr>
                <w:rFonts w:hint="eastAsia"/>
                <w:highlight w:val="none"/>
              </w:rPr>
              <w:t xml:space="preserve">深圳市福田区福田街道福华一路111号 </w:t>
            </w:r>
          </w:p>
        </w:tc>
      </w:tr>
      <w:tr w14:paraId="04DDC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09846A">
            <w:pPr>
              <w:pStyle w:val="8"/>
              <w:rPr>
                <w:highlight w:val="none"/>
              </w:rPr>
            </w:pPr>
            <w:r>
              <w:rPr>
                <w:rFonts w:hint="eastAsia"/>
                <w:highlight w:val="none"/>
              </w:rPr>
              <w:t xml:space="preserve">办公地址： </w:t>
            </w:r>
          </w:p>
        </w:tc>
        <w:tc>
          <w:tcPr>
            <w:tcW w:w="7440" w:type="dxa"/>
            <w:shd w:val="clear" w:color="auto" w:fill="auto"/>
          </w:tcPr>
          <w:p w14:paraId="3ED77DDF">
            <w:pPr>
              <w:pStyle w:val="8"/>
              <w:rPr>
                <w:highlight w:val="none"/>
              </w:rPr>
            </w:pPr>
            <w:r>
              <w:rPr>
                <w:rFonts w:hint="eastAsia"/>
                <w:highlight w:val="none"/>
              </w:rPr>
              <w:t xml:space="preserve">深圳市福田区福华一路111号招商证券大厦23楼  </w:t>
            </w:r>
          </w:p>
        </w:tc>
      </w:tr>
      <w:tr w14:paraId="3CCD0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31317D">
            <w:pPr>
              <w:pStyle w:val="8"/>
              <w:rPr>
                <w:highlight w:val="none"/>
              </w:rPr>
            </w:pPr>
            <w:r>
              <w:rPr>
                <w:rFonts w:hint="eastAsia"/>
                <w:highlight w:val="none"/>
              </w:rPr>
              <w:t xml:space="preserve">法定代表人： </w:t>
            </w:r>
          </w:p>
        </w:tc>
        <w:tc>
          <w:tcPr>
            <w:tcW w:w="7440" w:type="dxa"/>
            <w:shd w:val="clear" w:color="auto" w:fill="auto"/>
          </w:tcPr>
          <w:p w14:paraId="348651A3">
            <w:pPr>
              <w:pStyle w:val="8"/>
              <w:rPr>
                <w:highlight w:val="none"/>
              </w:rPr>
            </w:pPr>
            <w:r>
              <w:rPr>
                <w:rFonts w:hint="eastAsia"/>
                <w:highlight w:val="none"/>
              </w:rPr>
              <w:t xml:space="preserve">霍达 </w:t>
            </w:r>
          </w:p>
        </w:tc>
      </w:tr>
      <w:tr w14:paraId="6DB0B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EBBF91">
            <w:pPr>
              <w:pStyle w:val="8"/>
              <w:rPr>
                <w:highlight w:val="none"/>
              </w:rPr>
            </w:pPr>
            <w:r>
              <w:rPr>
                <w:rFonts w:hint="eastAsia"/>
                <w:highlight w:val="none"/>
              </w:rPr>
              <w:t xml:space="preserve">联系人： </w:t>
            </w:r>
          </w:p>
        </w:tc>
        <w:tc>
          <w:tcPr>
            <w:tcW w:w="7440" w:type="dxa"/>
            <w:shd w:val="clear" w:color="auto" w:fill="auto"/>
          </w:tcPr>
          <w:p w14:paraId="4FAB9CF1">
            <w:pPr>
              <w:pStyle w:val="8"/>
              <w:rPr>
                <w:highlight w:val="none"/>
              </w:rPr>
            </w:pPr>
            <w:r>
              <w:rPr>
                <w:rFonts w:hint="eastAsia"/>
                <w:highlight w:val="none"/>
              </w:rPr>
              <w:t xml:space="preserve">业清扬 </w:t>
            </w:r>
          </w:p>
        </w:tc>
      </w:tr>
      <w:tr w14:paraId="5EBF4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8239BC">
            <w:pPr>
              <w:pStyle w:val="8"/>
              <w:rPr>
                <w:highlight w:val="none"/>
              </w:rPr>
            </w:pPr>
            <w:r>
              <w:rPr>
                <w:rFonts w:hint="eastAsia"/>
                <w:highlight w:val="none"/>
              </w:rPr>
              <w:t xml:space="preserve">电话： </w:t>
            </w:r>
          </w:p>
        </w:tc>
        <w:tc>
          <w:tcPr>
            <w:tcW w:w="7440" w:type="dxa"/>
            <w:shd w:val="clear" w:color="auto" w:fill="auto"/>
          </w:tcPr>
          <w:p w14:paraId="390274C0">
            <w:pPr>
              <w:pStyle w:val="8"/>
              <w:rPr>
                <w:highlight w:val="none"/>
              </w:rPr>
            </w:pPr>
            <w:r>
              <w:rPr>
                <w:rFonts w:hint="eastAsia"/>
                <w:highlight w:val="none"/>
              </w:rPr>
              <w:t xml:space="preserve">0755-83081954 </w:t>
            </w:r>
          </w:p>
        </w:tc>
      </w:tr>
      <w:tr w14:paraId="74D59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B54FA1">
            <w:pPr>
              <w:pStyle w:val="8"/>
              <w:rPr>
                <w:highlight w:val="none"/>
              </w:rPr>
            </w:pPr>
            <w:r>
              <w:rPr>
                <w:rFonts w:hint="eastAsia"/>
                <w:highlight w:val="none"/>
              </w:rPr>
              <w:t xml:space="preserve">传真： </w:t>
            </w:r>
          </w:p>
        </w:tc>
        <w:tc>
          <w:tcPr>
            <w:tcW w:w="7440" w:type="dxa"/>
            <w:shd w:val="clear" w:color="auto" w:fill="auto"/>
          </w:tcPr>
          <w:p w14:paraId="605D86F8">
            <w:pPr>
              <w:pStyle w:val="8"/>
              <w:rPr>
                <w:highlight w:val="none"/>
              </w:rPr>
            </w:pPr>
            <w:r>
              <w:rPr>
                <w:rFonts w:hint="eastAsia"/>
                <w:highlight w:val="none"/>
              </w:rPr>
              <w:t xml:space="preserve">0755-83734343 </w:t>
            </w:r>
          </w:p>
        </w:tc>
      </w:tr>
      <w:tr w14:paraId="15B1A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BE37D1">
            <w:pPr>
              <w:pStyle w:val="8"/>
              <w:rPr>
                <w:highlight w:val="none"/>
              </w:rPr>
            </w:pPr>
            <w:r>
              <w:rPr>
                <w:rFonts w:hint="eastAsia"/>
                <w:highlight w:val="none"/>
              </w:rPr>
              <w:t xml:space="preserve">客户服务电话： </w:t>
            </w:r>
          </w:p>
        </w:tc>
        <w:tc>
          <w:tcPr>
            <w:tcW w:w="7440" w:type="dxa"/>
            <w:shd w:val="clear" w:color="auto" w:fill="auto"/>
          </w:tcPr>
          <w:p w14:paraId="28BB7415">
            <w:pPr>
              <w:pStyle w:val="8"/>
              <w:rPr>
                <w:highlight w:val="none"/>
              </w:rPr>
            </w:pPr>
            <w:r>
              <w:rPr>
                <w:rFonts w:hint="eastAsia"/>
                <w:highlight w:val="none"/>
              </w:rPr>
              <w:t xml:space="preserve">95565 </w:t>
            </w:r>
          </w:p>
        </w:tc>
      </w:tr>
      <w:tr w14:paraId="3AE8D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07AC7E">
            <w:pPr>
              <w:pStyle w:val="8"/>
              <w:rPr>
                <w:highlight w:val="none"/>
              </w:rPr>
            </w:pPr>
            <w:r>
              <w:rPr>
                <w:rFonts w:hint="eastAsia"/>
                <w:highlight w:val="none"/>
              </w:rPr>
              <w:t xml:space="preserve">网址： </w:t>
            </w:r>
          </w:p>
        </w:tc>
        <w:tc>
          <w:tcPr>
            <w:tcW w:w="7440" w:type="dxa"/>
            <w:shd w:val="clear" w:color="auto" w:fill="auto"/>
          </w:tcPr>
          <w:p w14:paraId="511F1500">
            <w:pPr>
              <w:pStyle w:val="8"/>
              <w:rPr>
                <w:highlight w:val="none"/>
              </w:rPr>
            </w:pPr>
            <w:r>
              <w:rPr>
                <w:rFonts w:hint="eastAsia"/>
                <w:highlight w:val="none"/>
              </w:rPr>
              <w:t xml:space="preserve">http://www.cmschina.com/ </w:t>
            </w:r>
          </w:p>
        </w:tc>
      </w:tr>
    </w:tbl>
    <w:p w14:paraId="44A1A387">
      <w:pPr>
        <w:pStyle w:val="8"/>
        <w:spacing w:before="0" w:beforeAutospacing="0" w:after="0" w:afterAutospacing="0" w:line="360" w:lineRule="auto"/>
        <w:ind w:firstLine="420"/>
        <w:rPr>
          <w:sz w:val="21"/>
          <w:szCs w:val="21"/>
          <w:highlight w:val="none"/>
        </w:rPr>
      </w:pPr>
      <w:r>
        <w:rPr>
          <w:rFonts w:hint="eastAsia"/>
          <w:b/>
          <w:bCs/>
          <w:sz w:val="21"/>
          <w:szCs w:val="21"/>
          <w:highlight w:val="none"/>
        </w:rPr>
        <w:t>(5)广发证券股份有限公司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31877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EE6679">
            <w:pPr>
              <w:pStyle w:val="8"/>
              <w:rPr>
                <w:highlight w:val="none"/>
              </w:rPr>
            </w:pPr>
            <w:r>
              <w:rPr>
                <w:rFonts w:hint="eastAsia"/>
                <w:highlight w:val="none"/>
              </w:rPr>
              <w:t xml:space="preserve">注册地址： </w:t>
            </w:r>
          </w:p>
        </w:tc>
        <w:tc>
          <w:tcPr>
            <w:tcW w:w="7440" w:type="dxa"/>
            <w:shd w:val="clear" w:color="auto" w:fill="auto"/>
          </w:tcPr>
          <w:p w14:paraId="721F48A3">
            <w:pPr>
              <w:pStyle w:val="8"/>
              <w:rPr>
                <w:highlight w:val="none"/>
              </w:rPr>
            </w:pPr>
            <w:r>
              <w:rPr>
                <w:rFonts w:hint="eastAsia"/>
                <w:highlight w:val="none"/>
              </w:rPr>
              <w:t xml:space="preserve">广州市黄埔区中新广州知识城腾飞一街2号618室 </w:t>
            </w:r>
          </w:p>
        </w:tc>
      </w:tr>
      <w:tr w14:paraId="1E96E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5DF027">
            <w:pPr>
              <w:pStyle w:val="8"/>
              <w:rPr>
                <w:highlight w:val="none"/>
              </w:rPr>
            </w:pPr>
            <w:r>
              <w:rPr>
                <w:rFonts w:hint="eastAsia"/>
                <w:highlight w:val="none"/>
              </w:rPr>
              <w:t xml:space="preserve">办公地址： </w:t>
            </w:r>
          </w:p>
        </w:tc>
        <w:tc>
          <w:tcPr>
            <w:tcW w:w="7440" w:type="dxa"/>
            <w:shd w:val="clear" w:color="auto" w:fill="auto"/>
          </w:tcPr>
          <w:p w14:paraId="34B6A141">
            <w:pPr>
              <w:pStyle w:val="8"/>
              <w:rPr>
                <w:highlight w:val="none"/>
              </w:rPr>
            </w:pPr>
            <w:r>
              <w:rPr>
                <w:rFonts w:hint="eastAsia"/>
                <w:highlight w:val="none"/>
              </w:rPr>
              <w:t xml:space="preserve">广州市天河区马场路26号广发证券大厦 </w:t>
            </w:r>
          </w:p>
        </w:tc>
      </w:tr>
      <w:tr w14:paraId="2BE5D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CEAF27">
            <w:pPr>
              <w:pStyle w:val="8"/>
              <w:rPr>
                <w:highlight w:val="none"/>
              </w:rPr>
            </w:pPr>
            <w:r>
              <w:rPr>
                <w:rFonts w:hint="eastAsia"/>
                <w:highlight w:val="none"/>
              </w:rPr>
              <w:t xml:space="preserve">法定代表人： </w:t>
            </w:r>
          </w:p>
        </w:tc>
        <w:tc>
          <w:tcPr>
            <w:tcW w:w="7440" w:type="dxa"/>
            <w:shd w:val="clear" w:color="auto" w:fill="auto"/>
          </w:tcPr>
          <w:p w14:paraId="7FE632C6">
            <w:pPr>
              <w:pStyle w:val="8"/>
              <w:rPr>
                <w:highlight w:val="none"/>
              </w:rPr>
            </w:pPr>
            <w:r>
              <w:rPr>
                <w:rFonts w:hint="eastAsia"/>
                <w:highlight w:val="none"/>
              </w:rPr>
              <w:t xml:space="preserve">林传辉 </w:t>
            </w:r>
          </w:p>
        </w:tc>
      </w:tr>
      <w:tr w14:paraId="6EA6D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097A43">
            <w:pPr>
              <w:pStyle w:val="8"/>
              <w:rPr>
                <w:highlight w:val="none"/>
              </w:rPr>
            </w:pPr>
            <w:r>
              <w:rPr>
                <w:rFonts w:hint="eastAsia"/>
                <w:highlight w:val="none"/>
              </w:rPr>
              <w:t xml:space="preserve">联系人： </w:t>
            </w:r>
          </w:p>
        </w:tc>
        <w:tc>
          <w:tcPr>
            <w:tcW w:w="7440" w:type="dxa"/>
            <w:shd w:val="clear" w:color="auto" w:fill="auto"/>
          </w:tcPr>
          <w:p w14:paraId="60000078">
            <w:pPr>
              <w:pStyle w:val="8"/>
              <w:rPr>
                <w:highlight w:val="none"/>
              </w:rPr>
            </w:pPr>
            <w:r>
              <w:rPr>
                <w:rFonts w:hint="eastAsia"/>
                <w:highlight w:val="none"/>
              </w:rPr>
              <w:t xml:space="preserve">黄岚 </w:t>
            </w:r>
          </w:p>
        </w:tc>
      </w:tr>
      <w:tr w14:paraId="4DA68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4794A6">
            <w:pPr>
              <w:pStyle w:val="8"/>
              <w:rPr>
                <w:highlight w:val="none"/>
              </w:rPr>
            </w:pPr>
            <w:r>
              <w:rPr>
                <w:rFonts w:hint="eastAsia"/>
                <w:highlight w:val="none"/>
              </w:rPr>
              <w:t xml:space="preserve">电话： </w:t>
            </w:r>
          </w:p>
        </w:tc>
        <w:tc>
          <w:tcPr>
            <w:tcW w:w="7440" w:type="dxa"/>
            <w:shd w:val="clear" w:color="auto" w:fill="auto"/>
          </w:tcPr>
          <w:p w14:paraId="151185AE">
            <w:pPr>
              <w:pStyle w:val="8"/>
              <w:rPr>
                <w:highlight w:val="none"/>
              </w:rPr>
            </w:pPr>
            <w:r>
              <w:rPr>
                <w:rFonts w:hint="eastAsia"/>
                <w:highlight w:val="none"/>
              </w:rPr>
              <w:t xml:space="preserve">020－87555888 </w:t>
            </w:r>
          </w:p>
        </w:tc>
      </w:tr>
      <w:tr w14:paraId="41FBA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5225A">
            <w:pPr>
              <w:pStyle w:val="8"/>
              <w:rPr>
                <w:highlight w:val="none"/>
              </w:rPr>
            </w:pPr>
            <w:r>
              <w:rPr>
                <w:rFonts w:hint="eastAsia"/>
                <w:highlight w:val="none"/>
              </w:rPr>
              <w:t xml:space="preserve">传真： </w:t>
            </w:r>
          </w:p>
        </w:tc>
        <w:tc>
          <w:tcPr>
            <w:tcW w:w="7440" w:type="dxa"/>
            <w:shd w:val="clear" w:color="auto" w:fill="auto"/>
          </w:tcPr>
          <w:p w14:paraId="74331D68">
            <w:pPr>
              <w:pStyle w:val="8"/>
              <w:rPr>
                <w:highlight w:val="none"/>
              </w:rPr>
            </w:pPr>
            <w:r>
              <w:rPr>
                <w:rFonts w:hint="eastAsia"/>
                <w:highlight w:val="none"/>
              </w:rPr>
              <w:t xml:space="preserve">020－87555305 </w:t>
            </w:r>
          </w:p>
        </w:tc>
      </w:tr>
      <w:tr w14:paraId="0B633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2C6F2">
            <w:pPr>
              <w:pStyle w:val="8"/>
              <w:rPr>
                <w:highlight w:val="none"/>
              </w:rPr>
            </w:pPr>
            <w:r>
              <w:rPr>
                <w:rFonts w:hint="eastAsia"/>
                <w:highlight w:val="none"/>
              </w:rPr>
              <w:t xml:space="preserve">客户服务电话： </w:t>
            </w:r>
          </w:p>
        </w:tc>
        <w:tc>
          <w:tcPr>
            <w:tcW w:w="7440" w:type="dxa"/>
            <w:shd w:val="clear" w:color="auto" w:fill="auto"/>
          </w:tcPr>
          <w:p w14:paraId="71D0ED44">
            <w:pPr>
              <w:pStyle w:val="8"/>
              <w:rPr>
                <w:highlight w:val="none"/>
              </w:rPr>
            </w:pPr>
            <w:r>
              <w:rPr>
                <w:rFonts w:hint="eastAsia"/>
                <w:highlight w:val="none"/>
              </w:rPr>
              <w:t xml:space="preserve">95575、020-95575或致电各地营业网点  </w:t>
            </w:r>
          </w:p>
        </w:tc>
      </w:tr>
      <w:tr w14:paraId="127DB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DACDA6">
            <w:pPr>
              <w:pStyle w:val="8"/>
              <w:rPr>
                <w:highlight w:val="none"/>
              </w:rPr>
            </w:pPr>
            <w:r>
              <w:rPr>
                <w:rFonts w:hint="eastAsia"/>
                <w:highlight w:val="none"/>
              </w:rPr>
              <w:t xml:space="preserve">网址： </w:t>
            </w:r>
          </w:p>
        </w:tc>
        <w:tc>
          <w:tcPr>
            <w:tcW w:w="7440" w:type="dxa"/>
            <w:shd w:val="clear" w:color="auto" w:fill="auto"/>
          </w:tcPr>
          <w:p w14:paraId="2CE428E2">
            <w:pPr>
              <w:pStyle w:val="8"/>
              <w:rPr>
                <w:highlight w:val="none"/>
              </w:rPr>
            </w:pPr>
            <w:r>
              <w:rPr>
                <w:rFonts w:hint="eastAsia"/>
                <w:highlight w:val="none"/>
              </w:rPr>
              <w:t xml:space="preserve">http://www.gf.com.cn/ </w:t>
            </w:r>
          </w:p>
        </w:tc>
      </w:tr>
    </w:tbl>
    <w:p w14:paraId="41542011">
      <w:pPr>
        <w:pStyle w:val="8"/>
        <w:spacing w:before="0" w:beforeAutospacing="0" w:after="0" w:afterAutospacing="0" w:line="360" w:lineRule="auto"/>
        <w:ind w:firstLine="420"/>
        <w:rPr>
          <w:sz w:val="21"/>
          <w:szCs w:val="21"/>
          <w:highlight w:val="none"/>
        </w:rPr>
      </w:pPr>
      <w:r>
        <w:rPr>
          <w:rFonts w:hint="eastAsia"/>
          <w:b/>
          <w:bCs/>
          <w:sz w:val="21"/>
          <w:szCs w:val="21"/>
          <w:highlight w:val="none"/>
        </w:rPr>
        <w:t>(6)中信证券股份有限公司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6ECE8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A4B802">
            <w:pPr>
              <w:pStyle w:val="8"/>
              <w:rPr>
                <w:highlight w:val="none"/>
              </w:rPr>
            </w:pPr>
            <w:r>
              <w:rPr>
                <w:rFonts w:hint="eastAsia"/>
                <w:highlight w:val="none"/>
              </w:rPr>
              <w:t xml:space="preserve">注册地址： </w:t>
            </w:r>
          </w:p>
        </w:tc>
        <w:tc>
          <w:tcPr>
            <w:tcW w:w="7440" w:type="dxa"/>
            <w:shd w:val="clear" w:color="auto" w:fill="auto"/>
          </w:tcPr>
          <w:p w14:paraId="0F010CAE">
            <w:pPr>
              <w:pStyle w:val="8"/>
              <w:rPr>
                <w:highlight w:val="none"/>
              </w:rPr>
            </w:pPr>
            <w:r>
              <w:rPr>
                <w:rFonts w:hint="eastAsia"/>
                <w:highlight w:val="none"/>
              </w:rPr>
              <w:t xml:space="preserve">广东省深圳市福田区中心三路8号卓越时代广场（二期）北座 </w:t>
            </w:r>
          </w:p>
        </w:tc>
      </w:tr>
      <w:tr w14:paraId="10392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8106E3">
            <w:pPr>
              <w:pStyle w:val="8"/>
              <w:rPr>
                <w:highlight w:val="none"/>
              </w:rPr>
            </w:pPr>
            <w:r>
              <w:rPr>
                <w:rFonts w:hint="eastAsia"/>
                <w:highlight w:val="none"/>
              </w:rPr>
              <w:t xml:space="preserve">办公地址： </w:t>
            </w:r>
          </w:p>
        </w:tc>
        <w:tc>
          <w:tcPr>
            <w:tcW w:w="7440" w:type="dxa"/>
            <w:shd w:val="clear" w:color="auto" w:fill="auto"/>
          </w:tcPr>
          <w:p w14:paraId="11B72D80">
            <w:pPr>
              <w:pStyle w:val="8"/>
              <w:rPr>
                <w:highlight w:val="none"/>
              </w:rPr>
            </w:pPr>
            <w:r>
              <w:rPr>
                <w:rFonts w:hint="eastAsia"/>
                <w:highlight w:val="none"/>
              </w:rPr>
              <w:t xml:space="preserve">北京朝阳区新源南路6号京城大厦 </w:t>
            </w:r>
          </w:p>
        </w:tc>
      </w:tr>
      <w:tr w14:paraId="6B88D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787194">
            <w:pPr>
              <w:pStyle w:val="8"/>
              <w:rPr>
                <w:highlight w:val="none"/>
              </w:rPr>
            </w:pPr>
            <w:r>
              <w:rPr>
                <w:rFonts w:hint="eastAsia"/>
                <w:highlight w:val="none"/>
              </w:rPr>
              <w:t xml:space="preserve">法定代表人： </w:t>
            </w:r>
          </w:p>
        </w:tc>
        <w:tc>
          <w:tcPr>
            <w:tcW w:w="7440" w:type="dxa"/>
            <w:shd w:val="clear" w:color="auto" w:fill="auto"/>
          </w:tcPr>
          <w:p w14:paraId="06D79A3F">
            <w:pPr>
              <w:pStyle w:val="8"/>
              <w:rPr>
                <w:highlight w:val="none"/>
              </w:rPr>
            </w:pPr>
            <w:r>
              <w:rPr>
                <w:rFonts w:hint="eastAsia"/>
                <w:highlight w:val="none"/>
              </w:rPr>
              <w:t xml:space="preserve">张佑君 </w:t>
            </w:r>
          </w:p>
        </w:tc>
      </w:tr>
      <w:tr w14:paraId="28885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5CDEF">
            <w:pPr>
              <w:pStyle w:val="8"/>
              <w:rPr>
                <w:highlight w:val="none"/>
              </w:rPr>
            </w:pPr>
            <w:r>
              <w:rPr>
                <w:rFonts w:hint="eastAsia"/>
                <w:highlight w:val="none"/>
              </w:rPr>
              <w:t xml:space="preserve">联系人： </w:t>
            </w:r>
          </w:p>
        </w:tc>
        <w:tc>
          <w:tcPr>
            <w:tcW w:w="7440" w:type="dxa"/>
            <w:shd w:val="clear" w:color="auto" w:fill="auto"/>
          </w:tcPr>
          <w:p w14:paraId="2E76D5D5">
            <w:pPr>
              <w:pStyle w:val="8"/>
              <w:rPr>
                <w:highlight w:val="none"/>
              </w:rPr>
            </w:pPr>
            <w:r>
              <w:rPr>
                <w:rFonts w:hint="eastAsia"/>
                <w:highlight w:val="none"/>
              </w:rPr>
              <w:t xml:space="preserve">杜杰 </w:t>
            </w:r>
          </w:p>
        </w:tc>
      </w:tr>
      <w:tr w14:paraId="3935A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6DC04">
            <w:pPr>
              <w:pStyle w:val="8"/>
              <w:rPr>
                <w:highlight w:val="none"/>
              </w:rPr>
            </w:pPr>
            <w:r>
              <w:rPr>
                <w:rFonts w:hint="eastAsia"/>
                <w:highlight w:val="none"/>
              </w:rPr>
              <w:t xml:space="preserve">电话： </w:t>
            </w:r>
          </w:p>
        </w:tc>
        <w:tc>
          <w:tcPr>
            <w:tcW w:w="7440" w:type="dxa"/>
            <w:shd w:val="clear" w:color="auto" w:fill="auto"/>
          </w:tcPr>
          <w:p w14:paraId="55E50CA4">
            <w:pPr>
              <w:pStyle w:val="8"/>
              <w:rPr>
                <w:highlight w:val="none"/>
              </w:rPr>
            </w:pPr>
            <w:r>
              <w:rPr>
                <w:rFonts w:hint="eastAsia"/>
                <w:highlight w:val="none"/>
              </w:rPr>
              <w:t xml:space="preserve">010-60833889  </w:t>
            </w:r>
          </w:p>
        </w:tc>
      </w:tr>
      <w:tr w14:paraId="7D649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2A243">
            <w:pPr>
              <w:pStyle w:val="8"/>
              <w:rPr>
                <w:highlight w:val="none"/>
              </w:rPr>
            </w:pPr>
            <w:r>
              <w:rPr>
                <w:rFonts w:hint="eastAsia"/>
                <w:highlight w:val="none"/>
              </w:rPr>
              <w:t xml:space="preserve">传真： </w:t>
            </w:r>
          </w:p>
        </w:tc>
        <w:tc>
          <w:tcPr>
            <w:tcW w:w="7440" w:type="dxa"/>
            <w:shd w:val="clear" w:color="auto" w:fill="auto"/>
          </w:tcPr>
          <w:p w14:paraId="36985CE8">
            <w:pPr>
              <w:pStyle w:val="8"/>
              <w:rPr>
                <w:highlight w:val="none"/>
              </w:rPr>
            </w:pPr>
            <w:r>
              <w:rPr>
                <w:rFonts w:hint="eastAsia"/>
                <w:highlight w:val="none"/>
              </w:rPr>
              <w:t xml:space="preserve">010－84865560 </w:t>
            </w:r>
          </w:p>
        </w:tc>
      </w:tr>
      <w:tr w14:paraId="2A431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D0266">
            <w:pPr>
              <w:pStyle w:val="8"/>
              <w:rPr>
                <w:highlight w:val="none"/>
              </w:rPr>
            </w:pPr>
            <w:r>
              <w:rPr>
                <w:rFonts w:hint="eastAsia"/>
                <w:highlight w:val="none"/>
              </w:rPr>
              <w:t xml:space="preserve">客户服务电话： </w:t>
            </w:r>
          </w:p>
        </w:tc>
        <w:tc>
          <w:tcPr>
            <w:tcW w:w="7440" w:type="dxa"/>
            <w:shd w:val="clear" w:color="auto" w:fill="auto"/>
          </w:tcPr>
          <w:p w14:paraId="555F7D8B">
            <w:pPr>
              <w:pStyle w:val="8"/>
              <w:rPr>
                <w:highlight w:val="none"/>
              </w:rPr>
            </w:pPr>
            <w:r>
              <w:rPr>
                <w:rFonts w:hint="eastAsia"/>
                <w:highlight w:val="none"/>
              </w:rPr>
              <w:t xml:space="preserve">95548 </w:t>
            </w:r>
          </w:p>
        </w:tc>
      </w:tr>
      <w:tr w14:paraId="00006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A4D7A">
            <w:pPr>
              <w:pStyle w:val="8"/>
              <w:rPr>
                <w:highlight w:val="none"/>
              </w:rPr>
            </w:pPr>
            <w:r>
              <w:rPr>
                <w:rFonts w:hint="eastAsia"/>
                <w:highlight w:val="none"/>
              </w:rPr>
              <w:t xml:space="preserve">网址： </w:t>
            </w:r>
          </w:p>
        </w:tc>
        <w:tc>
          <w:tcPr>
            <w:tcW w:w="7440" w:type="dxa"/>
            <w:shd w:val="clear" w:color="auto" w:fill="auto"/>
          </w:tcPr>
          <w:p w14:paraId="47D9AA66">
            <w:pPr>
              <w:pStyle w:val="8"/>
              <w:rPr>
                <w:highlight w:val="none"/>
              </w:rPr>
            </w:pPr>
            <w:r>
              <w:rPr>
                <w:rFonts w:hint="eastAsia"/>
                <w:highlight w:val="none"/>
              </w:rPr>
              <w:t xml:space="preserve">http://www.cs.ecitic.com/ </w:t>
            </w:r>
          </w:p>
        </w:tc>
      </w:tr>
    </w:tbl>
    <w:p w14:paraId="10F0DC00">
      <w:pPr>
        <w:pStyle w:val="8"/>
        <w:spacing w:before="0" w:beforeAutospacing="0" w:after="0" w:afterAutospacing="0" w:line="360" w:lineRule="auto"/>
        <w:ind w:firstLine="420"/>
        <w:rPr>
          <w:sz w:val="21"/>
          <w:szCs w:val="21"/>
          <w:highlight w:val="none"/>
        </w:rPr>
      </w:pPr>
      <w:r>
        <w:rPr>
          <w:rFonts w:hint="eastAsia"/>
          <w:b/>
          <w:bCs/>
          <w:sz w:val="21"/>
          <w:szCs w:val="21"/>
          <w:highlight w:val="none"/>
        </w:rPr>
        <w:t>(7)中国银河证券股份有限公司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550F9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DC4261">
            <w:pPr>
              <w:pStyle w:val="8"/>
              <w:rPr>
                <w:highlight w:val="none"/>
              </w:rPr>
            </w:pPr>
            <w:r>
              <w:rPr>
                <w:rFonts w:hint="eastAsia"/>
                <w:highlight w:val="none"/>
              </w:rPr>
              <w:t xml:space="preserve">注册地址： </w:t>
            </w:r>
          </w:p>
        </w:tc>
        <w:tc>
          <w:tcPr>
            <w:tcW w:w="7440" w:type="dxa"/>
            <w:shd w:val="clear" w:color="auto" w:fill="auto"/>
          </w:tcPr>
          <w:p w14:paraId="26397FB2">
            <w:pPr>
              <w:pStyle w:val="8"/>
              <w:rPr>
                <w:highlight w:val="none"/>
              </w:rPr>
            </w:pPr>
            <w:r>
              <w:rPr>
                <w:rFonts w:hint="eastAsia"/>
                <w:highlight w:val="none"/>
              </w:rPr>
              <w:t xml:space="preserve">北京市丰台区西营街8号院1号楼7至18层101 </w:t>
            </w:r>
          </w:p>
        </w:tc>
      </w:tr>
      <w:tr w14:paraId="5FF65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BD445A">
            <w:pPr>
              <w:pStyle w:val="8"/>
              <w:rPr>
                <w:highlight w:val="none"/>
              </w:rPr>
            </w:pPr>
            <w:r>
              <w:rPr>
                <w:rFonts w:hint="eastAsia"/>
                <w:highlight w:val="none"/>
              </w:rPr>
              <w:t xml:space="preserve">办公地址： </w:t>
            </w:r>
          </w:p>
        </w:tc>
        <w:tc>
          <w:tcPr>
            <w:tcW w:w="7440" w:type="dxa"/>
            <w:shd w:val="clear" w:color="auto" w:fill="auto"/>
          </w:tcPr>
          <w:p w14:paraId="1CE15E83">
            <w:pPr>
              <w:pStyle w:val="8"/>
              <w:rPr>
                <w:highlight w:val="none"/>
              </w:rPr>
            </w:pPr>
            <w:r>
              <w:rPr>
                <w:rFonts w:hint="eastAsia"/>
                <w:highlight w:val="none"/>
              </w:rPr>
              <w:t xml:space="preserve">北京市丰台区西营街8号院1号楼青海金融大厦 </w:t>
            </w:r>
          </w:p>
        </w:tc>
      </w:tr>
      <w:tr w14:paraId="71299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457E02">
            <w:pPr>
              <w:pStyle w:val="8"/>
              <w:rPr>
                <w:highlight w:val="none"/>
              </w:rPr>
            </w:pPr>
            <w:r>
              <w:rPr>
                <w:rFonts w:hint="eastAsia"/>
                <w:highlight w:val="none"/>
              </w:rPr>
              <w:t xml:space="preserve">法定代表人： </w:t>
            </w:r>
          </w:p>
        </w:tc>
        <w:tc>
          <w:tcPr>
            <w:tcW w:w="7440" w:type="dxa"/>
            <w:shd w:val="clear" w:color="auto" w:fill="auto"/>
          </w:tcPr>
          <w:p w14:paraId="6DDC1E26">
            <w:pPr>
              <w:pStyle w:val="8"/>
              <w:rPr>
                <w:highlight w:val="none"/>
              </w:rPr>
            </w:pPr>
            <w:r>
              <w:rPr>
                <w:rFonts w:hint="eastAsia"/>
                <w:highlight w:val="none"/>
              </w:rPr>
              <w:t xml:space="preserve">王晟 </w:t>
            </w:r>
          </w:p>
        </w:tc>
      </w:tr>
      <w:tr w14:paraId="314BB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EC333F">
            <w:pPr>
              <w:pStyle w:val="8"/>
              <w:rPr>
                <w:highlight w:val="none"/>
              </w:rPr>
            </w:pPr>
            <w:r>
              <w:rPr>
                <w:rFonts w:hint="eastAsia"/>
                <w:highlight w:val="none"/>
              </w:rPr>
              <w:t xml:space="preserve">电话： </w:t>
            </w:r>
          </w:p>
        </w:tc>
        <w:tc>
          <w:tcPr>
            <w:tcW w:w="7440" w:type="dxa"/>
            <w:shd w:val="clear" w:color="auto" w:fill="auto"/>
          </w:tcPr>
          <w:p w14:paraId="6136ED71">
            <w:pPr>
              <w:pStyle w:val="8"/>
              <w:rPr>
                <w:highlight w:val="none"/>
              </w:rPr>
            </w:pPr>
            <w:r>
              <w:rPr>
                <w:rFonts w:hint="eastAsia"/>
                <w:highlight w:val="none"/>
              </w:rPr>
              <w:t xml:space="preserve">010-80928123 </w:t>
            </w:r>
          </w:p>
        </w:tc>
      </w:tr>
      <w:tr w14:paraId="45213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8E257">
            <w:pPr>
              <w:pStyle w:val="8"/>
              <w:rPr>
                <w:highlight w:val="none"/>
              </w:rPr>
            </w:pPr>
            <w:r>
              <w:rPr>
                <w:rFonts w:hint="eastAsia"/>
                <w:highlight w:val="none"/>
              </w:rPr>
              <w:t xml:space="preserve">客户服务电话： </w:t>
            </w:r>
          </w:p>
        </w:tc>
        <w:tc>
          <w:tcPr>
            <w:tcW w:w="7440" w:type="dxa"/>
            <w:shd w:val="clear" w:color="auto" w:fill="auto"/>
          </w:tcPr>
          <w:p w14:paraId="46922E05">
            <w:pPr>
              <w:pStyle w:val="8"/>
              <w:rPr>
                <w:highlight w:val="none"/>
              </w:rPr>
            </w:pPr>
            <w:r>
              <w:rPr>
                <w:rFonts w:hint="eastAsia"/>
                <w:highlight w:val="none"/>
              </w:rPr>
              <w:t xml:space="preserve">4008-888-888或95551 </w:t>
            </w:r>
          </w:p>
        </w:tc>
      </w:tr>
      <w:tr w14:paraId="7FDC5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CE2E87">
            <w:pPr>
              <w:pStyle w:val="8"/>
              <w:rPr>
                <w:highlight w:val="none"/>
              </w:rPr>
            </w:pPr>
            <w:r>
              <w:rPr>
                <w:rFonts w:hint="eastAsia"/>
                <w:highlight w:val="none"/>
              </w:rPr>
              <w:t xml:space="preserve">网址： </w:t>
            </w:r>
          </w:p>
        </w:tc>
        <w:tc>
          <w:tcPr>
            <w:tcW w:w="7440" w:type="dxa"/>
            <w:shd w:val="clear" w:color="auto" w:fill="auto"/>
          </w:tcPr>
          <w:p w14:paraId="3DC9CBF6">
            <w:pPr>
              <w:pStyle w:val="8"/>
              <w:rPr>
                <w:highlight w:val="none"/>
              </w:rPr>
            </w:pPr>
            <w:r>
              <w:rPr>
                <w:rFonts w:hint="eastAsia"/>
                <w:highlight w:val="none"/>
              </w:rPr>
              <w:t xml:space="preserve">http:// www.chinastock.com.cn/ </w:t>
            </w:r>
          </w:p>
        </w:tc>
      </w:tr>
    </w:tbl>
    <w:p w14:paraId="2ED6F63A">
      <w:pPr>
        <w:pStyle w:val="8"/>
        <w:spacing w:before="0" w:beforeAutospacing="0" w:after="0" w:afterAutospacing="0" w:line="360" w:lineRule="auto"/>
        <w:ind w:firstLine="420"/>
        <w:rPr>
          <w:sz w:val="21"/>
          <w:szCs w:val="21"/>
          <w:highlight w:val="none"/>
        </w:rPr>
      </w:pPr>
      <w:r>
        <w:rPr>
          <w:rFonts w:hint="eastAsia"/>
          <w:b/>
          <w:bCs/>
          <w:sz w:val="21"/>
          <w:szCs w:val="21"/>
          <w:highlight w:val="none"/>
        </w:rPr>
        <w:t>(8)海通证券股份有限公司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F08F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E1DB2E">
            <w:pPr>
              <w:pStyle w:val="8"/>
              <w:rPr>
                <w:highlight w:val="none"/>
              </w:rPr>
            </w:pPr>
            <w:r>
              <w:rPr>
                <w:rFonts w:hint="eastAsia"/>
                <w:highlight w:val="none"/>
              </w:rPr>
              <w:t xml:space="preserve">注册地址： </w:t>
            </w:r>
          </w:p>
        </w:tc>
        <w:tc>
          <w:tcPr>
            <w:tcW w:w="7440" w:type="dxa"/>
            <w:shd w:val="clear" w:color="auto" w:fill="auto"/>
          </w:tcPr>
          <w:p w14:paraId="6CCE9D9E">
            <w:pPr>
              <w:pStyle w:val="8"/>
              <w:rPr>
                <w:highlight w:val="none"/>
              </w:rPr>
            </w:pPr>
            <w:r>
              <w:rPr>
                <w:rFonts w:hint="eastAsia"/>
                <w:highlight w:val="none"/>
              </w:rPr>
              <w:t xml:space="preserve">上海市淮海中路98号 </w:t>
            </w:r>
          </w:p>
        </w:tc>
      </w:tr>
      <w:tr w14:paraId="0188E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CF3C23">
            <w:pPr>
              <w:pStyle w:val="8"/>
              <w:rPr>
                <w:highlight w:val="none"/>
              </w:rPr>
            </w:pPr>
            <w:r>
              <w:rPr>
                <w:rFonts w:hint="eastAsia"/>
                <w:highlight w:val="none"/>
              </w:rPr>
              <w:t xml:space="preserve">办公地址： </w:t>
            </w:r>
          </w:p>
        </w:tc>
        <w:tc>
          <w:tcPr>
            <w:tcW w:w="7440" w:type="dxa"/>
            <w:shd w:val="clear" w:color="auto" w:fill="auto"/>
          </w:tcPr>
          <w:p w14:paraId="0CF8DAC1">
            <w:pPr>
              <w:pStyle w:val="8"/>
              <w:rPr>
                <w:highlight w:val="none"/>
              </w:rPr>
            </w:pPr>
            <w:r>
              <w:rPr>
                <w:rFonts w:hint="eastAsia"/>
                <w:highlight w:val="none"/>
              </w:rPr>
              <w:t xml:space="preserve">上海市广东路689号海通证券大厦 </w:t>
            </w:r>
          </w:p>
        </w:tc>
      </w:tr>
      <w:tr w14:paraId="3F7D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C0AFA3">
            <w:pPr>
              <w:pStyle w:val="8"/>
              <w:rPr>
                <w:highlight w:val="none"/>
              </w:rPr>
            </w:pPr>
            <w:r>
              <w:rPr>
                <w:rFonts w:hint="eastAsia"/>
                <w:highlight w:val="none"/>
              </w:rPr>
              <w:t xml:space="preserve">法定代表人： </w:t>
            </w:r>
          </w:p>
        </w:tc>
        <w:tc>
          <w:tcPr>
            <w:tcW w:w="7440" w:type="dxa"/>
            <w:shd w:val="clear" w:color="auto" w:fill="auto"/>
          </w:tcPr>
          <w:p w14:paraId="4B34D11E">
            <w:pPr>
              <w:pStyle w:val="8"/>
              <w:rPr>
                <w:highlight w:val="none"/>
              </w:rPr>
            </w:pPr>
            <w:r>
              <w:rPr>
                <w:rFonts w:hint="eastAsia"/>
                <w:highlight w:val="none"/>
              </w:rPr>
              <w:t xml:space="preserve">周杰 </w:t>
            </w:r>
          </w:p>
        </w:tc>
      </w:tr>
      <w:tr w14:paraId="493D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8684C9">
            <w:pPr>
              <w:pStyle w:val="8"/>
              <w:rPr>
                <w:highlight w:val="none"/>
              </w:rPr>
            </w:pPr>
            <w:r>
              <w:rPr>
                <w:rFonts w:hint="eastAsia"/>
                <w:highlight w:val="none"/>
              </w:rPr>
              <w:t xml:space="preserve">联系人： </w:t>
            </w:r>
          </w:p>
        </w:tc>
        <w:tc>
          <w:tcPr>
            <w:tcW w:w="7440" w:type="dxa"/>
            <w:shd w:val="clear" w:color="auto" w:fill="auto"/>
          </w:tcPr>
          <w:p w14:paraId="1C8CBA74">
            <w:pPr>
              <w:pStyle w:val="8"/>
              <w:rPr>
                <w:highlight w:val="none"/>
              </w:rPr>
            </w:pPr>
            <w:r>
              <w:rPr>
                <w:rFonts w:hint="eastAsia"/>
                <w:highlight w:val="none"/>
              </w:rPr>
              <w:t xml:space="preserve">李笑鸣 </w:t>
            </w:r>
          </w:p>
        </w:tc>
      </w:tr>
      <w:tr w14:paraId="43D27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E2CB29">
            <w:pPr>
              <w:pStyle w:val="8"/>
              <w:rPr>
                <w:highlight w:val="none"/>
              </w:rPr>
            </w:pPr>
            <w:r>
              <w:rPr>
                <w:rFonts w:hint="eastAsia"/>
                <w:highlight w:val="none"/>
              </w:rPr>
              <w:t xml:space="preserve">电话： </w:t>
            </w:r>
          </w:p>
        </w:tc>
        <w:tc>
          <w:tcPr>
            <w:tcW w:w="7440" w:type="dxa"/>
            <w:shd w:val="clear" w:color="auto" w:fill="auto"/>
          </w:tcPr>
          <w:p w14:paraId="714905A0">
            <w:pPr>
              <w:pStyle w:val="8"/>
              <w:rPr>
                <w:highlight w:val="none"/>
              </w:rPr>
            </w:pPr>
            <w:r>
              <w:rPr>
                <w:rFonts w:hint="eastAsia"/>
                <w:highlight w:val="none"/>
              </w:rPr>
              <w:t xml:space="preserve">021-23219275 </w:t>
            </w:r>
          </w:p>
        </w:tc>
      </w:tr>
      <w:tr w14:paraId="1A8B7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D6B860">
            <w:pPr>
              <w:pStyle w:val="8"/>
              <w:rPr>
                <w:highlight w:val="none"/>
              </w:rPr>
            </w:pPr>
            <w:r>
              <w:rPr>
                <w:rFonts w:hint="eastAsia"/>
                <w:highlight w:val="none"/>
              </w:rPr>
              <w:t xml:space="preserve">传真： </w:t>
            </w:r>
          </w:p>
        </w:tc>
        <w:tc>
          <w:tcPr>
            <w:tcW w:w="7440" w:type="dxa"/>
            <w:shd w:val="clear" w:color="auto" w:fill="auto"/>
          </w:tcPr>
          <w:p w14:paraId="2548DA2D">
            <w:pPr>
              <w:pStyle w:val="8"/>
              <w:rPr>
                <w:highlight w:val="none"/>
              </w:rPr>
            </w:pPr>
            <w:r>
              <w:rPr>
                <w:rFonts w:hint="eastAsia"/>
                <w:highlight w:val="none"/>
              </w:rPr>
              <w:t xml:space="preserve">021－63602722 </w:t>
            </w:r>
          </w:p>
        </w:tc>
      </w:tr>
      <w:tr w14:paraId="248A9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173F3">
            <w:pPr>
              <w:pStyle w:val="8"/>
              <w:rPr>
                <w:highlight w:val="none"/>
              </w:rPr>
            </w:pPr>
            <w:r>
              <w:rPr>
                <w:rFonts w:hint="eastAsia"/>
                <w:highlight w:val="none"/>
              </w:rPr>
              <w:t xml:space="preserve">客户服务电话： </w:t>
            </w:r>
          </w:p>
        </w:tc>
        <w:tc>
          <w:tcPr>
            <w:tcW w:w="7440" w:type="dxa"/>
            <w:shd w:val="clear" w:color="auto" w:fill="auto"/>
          </w:tcPr>
          <w:p w14:paraId="24256CB4">
            <w:pPr>
              <w:pStyle w:val="8"/>
              <w:rPr>
                <w:highlight w:val="none"/>
              </w:rPr>
            </w:pPr>
            <w:r>
              <w:rPr>
                <w:rFonts w:hint="eastAsia"/>
                <w:highlight w:val="none"/>
              </w:rPr>
              <w:t xml:space="preserve">95553 </w:t>
            </w:r>
          </w:p>
        </w:tc>
      </w:tr>
      <w:tr w14:paraId="2F06E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F7E9F">
            <w:pPr>
              <w:pStyle w:val="8"/>
              <w:rPr>
                <w:highlight w:val="none"/>
              </w:rPr>
            </w:pPr>
            <w:r>
              <w:rPr>
                <w:rFonts w:hint="eastAsia"/>
                <w:highlight w:val="none"/>
              </w:rPr>
              <w:t xml:space="preserve">网址： </w:t>
            </w:r>
          </w:p>
        </w:tc>
        <w:tc>
          <w:tcPr>
            <w:tcW w:w="7440" w:type="dxa"/>
            <w:shd w:val="clear" w:color="auto" w:fill="auto"/>
          </w:tcPr>
          <w:p w14:paraId="346E83C3">
            <w:pPr>
              <w:pStyle w:val="8"/>
              <w:rPr>
                <w:highlight w:val="none"/>
              </w:rPr>
            </w:pPr>
            <w:r>
              <w:rPr>
                <w:rFonts w:hint="eastAsia"/>
                <w:highlight w:val="none"/>
              </w:rPr>
              <w:t xml:space="preserve">http://www.htsec.com/ </w:t>
            </w:r>
          </w:p>
        </w:tc>
      </w:tr>
    </w:tbl>
    <w:p w14:paraId="2BC35691">
      <w:pPr>
        <w:pStyle w:val="8"/>
        <w:spacing w:before="0" w:beforeAutospacing="0" w:after="0" w:afterAutospacing="0" w:line="360" w:lineRule="auto"/>
        <w:ind w:firstLine="420"/>
        <w:rPr>
          <w:sz w:val="21"/>
          <w:szCs w:val="21"/>
          <w:highlight w:val="none"/>
        </w:rPr>
      </w:pPr>
      <w:r>
        <w:rPr>
          <w:rFonts w:hint="eastAsia"/>
          <w:b/>
          <w:bCs/>
          <w:sz w:val="21"/>
          <w:szCs w:val="21"/>
          <w:highlight w:val="none"/>
        </w:rPr>
        <w:t>(9)申万宏源证券有限公司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0B2EC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DC7654">
            <w:pPr>
              <w:pStyle w:val="8"/>
              <w:rPr>
                <w:highlight w:val="none"/>
              </w:rPr>
            </w:pPr>
            <w:r>
              <w:rPr>
                <w:rFonts w:hint="eastAsia"/>
                <w:highlight w:val="none"/>
              </w:rPr>
              <w:t xml:space="preserve">注册地址： </w:t>
            </w:r>
          </w:p>
        </w:tc>
        <w:tc>
          <w:tcPr>
            <w:tcW w:w="7440" w:type="dxa"/>
            <w:shd w:val="clear" w:color="auto" w:fill="auto"/>
          </w:tcPr>
          <w:p w14:paraId="01E5F555">
            <w:pPr>
              <w:pStyle w:val="8"/>
              <w:rPr>
                <w:highlight w:val="none"/>
              </w:rPr>
            </w:pPr>
            <w:r>
              <w:rPr>
                <w:rFonts w:hint="eastAsia"/>
                <w:highlight w:val="none"/>
              </w:rPr>
              <w:t xml:space="preserve">上海市徐汇区长乐路989号45层 </w:t>
            </w:r>
          </w:p>
        </w:tc>
      </w:tr>
      <w:tr w14:paraId="38D9C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8EA19E">
            <w:pPr>
              <w:pStyle w:val="8"/>
              <w:rPr>
                <w:highlight w:val="none"/>
              </w:rPr>
            </w:pPr>
            <w:r>
              <w:rPr>
                <w:rFonts w:hint="eastAsia"/>
                <w:highlight w:val="none"/>
              </w:rPr>
              <w:t xml:space="preserve">办公地址： </w:t>
            </w:r>
          </w:p>
        </w:tc>
        <w:tc>
          <w:tcPr>
            <w:tcW w:w="7440" w:type="dxa"/>
            <w:shd w:val="clear" w:color="auto" w:fill="auto"/>
          </w:tcPr>
          <w:p w14:paraId="740C3A47">
            <w:pPr>
              <w:pStyle w:val="8"/>
              <w:rPr>
                <w:highlight w:val="none"/>
              </w:rPr>
            </w:pPr>
            <w:r>
              <w:rPr>
                <w:rFonts w:hint="eastAsia"/>
                <w:highlight w:val="none"/>
              </w:rPr>
              <w:t xml:space="preserve">上海市徐汇区长乐路989号世纪商贸广场45层 </w:t>
            </w:r>
          </w:p>
        </w:tc>
      </w:tr>
      <w:tr w14:paraId="121312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C6303E">
            <w:pPr>
              <w:pStyle w:val="8"/>
              <w:rPr>
                <w:highlight w:val="none"/>
              </w:rPr>
            </w:pPr>
            <w:r>
              <w:rPr>
                <w:rFonts w:hint="eastAsia"/>
                <w:highlight w:val="none"/>
              </w:rPr>
              <w:t xml:space="preserve">法定代表人： </w:t>
            </w:r>
          </w:p>
        </w:tc>
        <w:tc>
          <w:tcPr>
            <w:tcW w:w="7440" w:type="dxa"/>
            <w:shd w:val="clear" w:color="auto" w:fill="auto"/>
          </w:tcPr>
          <w:p w14:paraId="04606AED">
            <w:pPr>
              <w:pStyle w:val="8"/>
              <w:rPr>
                <w:highlight w:val="none"/>
              </w:rPr>
            </w:pPr>
            <w:r>
              <w:rPr>
                <w:rFonts w:hint="eastAsia"/>
                <w:highlight w:val="none"/>
              </w:rPr>
              <w:t xml:space="preserve">张剑 </w:t>
            </w:r>
          </w:p>
        </w:tc>
      </w:tr>
      <w:tr w14:paraId="7A38D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3EEFB">
            <w:pPr>
              <w:pStyle w:val="8"/>
              <w:rPr>
                <w:highlight w:val="none"/>
              </w:rPr>
            </w:pPr>
            <w:r>
              <w:rPr>
                <w:rFonts w:hint="eastAsia"/>
                <w:highlight w:val="none"/>
              </w:rPr>
              <w:t xml:space="preserve">电话： </w:t>
            </w:r>
          </w:p>
        </w:tc>
        <w:tc>
          <w:tcPr>
            <w:tcW w:w="7440" w:type="dxa"/>
            <w:shd w:val="clear" w:color="auto" w:fill="auto"/>
          </w:tcPr>
          <w:p w14:paraId="78E41AFE">
            <w:pPr>
              <w:pStyle w:val="8"/>
              <w:rPr>
                <w:highlight w:val="none"/>
              </w:rPr>
            </w:pPr>
            <w:r>
              <w:rPr>
                <w:rFonts w:hint="eastAsia"/>
                <w:highlight w:val="none"/>
              </w:rPr>
              <w:t xml:space="preserve">021-33388999 </w:t>
            </w:r>
          </w:p>
        </w:tc>
      </w:tr>
      <w:tr w14:paraId="6D3D1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D8FAB">
            <w:pPr>
              <w:pStyle w:val="8"/>
              <w:rPr>
                <w:highlight w:val="none"/>
              </w:rPr>
            </w:pPr>
            <w:r>
              <w:rPr>
                <w:rFonts w:hint="eastAsia"/>
                <w:highlight w:val="none"/>
              </w:rPr>
              <w:t xml:space="preserve">传真： </w:t>
            </w:r>
          </w:p>
        </w:tc>
        <w:tc>
          <w:tcPr>
            <w:tcW w:w="7440" w:type="dxa"/>
            <w:shd w:val="clear" w:color="auto" w:fill="auto"/>
          </w:tcPr>
          <w:p w14:paraId="5AFEBAE2">
            <w:pPr>
              <w:pStyle w:val="8"/>
              <w:rPr>
                <w:highlight w:val="none"/>
              </w:rPr>
            </w:pPr>
            <w:r>
              <w:rPr>
                <w:rFonts w:hint="eastAsia"/>
                <w:highlight w:val="none"/>
              </w:rPr>
              <w:t xml:space="preserve">021-33388224 </w:t>
            </w:r>
          </w:p>
        </w:tc>
      </w:tr>
      <w:tr w14:paraId="48E4A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A10EB">
            <w:pPr>
              <w:pStyle w:val="8"/>
              <w:rPr>
                <w:highlight w:val="none"/>
              </w:rPr>
            </w:pPr>
            <w:r>
              <w:rPr>
                <w:rFonts w:hint="eastAsia"/>
                <w:highlight w:val="none"/>
              </w:rPr>
              <w:t xml:space="preserve">客户服务电话： </w:t>
            </w:r>
          </w:p>
        </w:tc>
        <w:tc>
          <w:tcPr>
            <w:tcW w:w="7440" w:type="dxa"/>
            <w:shd w:val="clear" w:color="auto" w:fill="auto"/>
          </w:tcPr>
          <w:p w14:paraId="4603F05A">
            <w:pPr>
              <w:pStyle w:val="8"/>
              <w:rPr>
                <w:highlight w:val="none"/>
              </w:rPr>
            </w:pPr>
            <w:r>
              <w:rPr>
                <w:rFonts w:hint="eastAsia"/>
                <w:highlight w:val="none"/>
              </w:rPr>
              <w:t xml:space="preserve">95523 </w:t>
            </w:r>
          </w:p>
        </w:tc>
      </w:tr>
      <w:tr w14:paraId="300DB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A483E">
            <w:pPr>
              <w:pStyle w:val="8"/>
              <w:rPr>
                <w:highlight w:val="none"/>
              </w:rPr>
            </w:pPr>
            <w:r>
              <w:rPr>
                <w:rFonts w:hint="eastAsia"/>
                <w:highlight w:val="none"/>
              </w:rPr>
              <w:t xml:space="preserve">网址： </w:t>
            </w:r>
          </w:p>
        </w:tc>
        <w:tc>
          <w:tcPr>
            <w:tcW w:w="7440" w:type="dxa"/>
            <w:shd w:val="clear" w:color="auto" w:fill="auto"/>
          </w:tcPr>
          <w:p w14:paraId="08CD4251">
            <w:pPr>
              <w:pStyle w:val="8"/>
              <w:rPr>
                <w:highlight w:val="none"/>
              </w:rPr>
            </w:pPr>
            <w:r>
              <w:rPr>
                <w:rFonts w:hint="eastAsia"/>
                <w:highlight w:val="none"/>
              </w:rPr>
              <w:t xml:space="preserve">www.swhysc.com </w:t>
            </w:r>
          </w:p>
        </w:tc>
      </w:tr>
    </w:tbl>
    <w:p w14:paraId="5DDF8289">
      <w:pPr>
        <w:pStyle w:val="8"/>
        <w:spacing w:before="0" w:beforeAutospacing="0" w:after="0" w:afterAutospacing="0" w:line="360" w:lineRule="auto"/>
        <w:ind w:firstLine="420"/>
        <w:rPr>
          <w:sz w:val="21"/>
          <w:szCs w:val="21"/>
          <w:highlight w:val="none"/>
        </w:rPr>
      </w:pPr>
      <w:r>
        <w:rPr>
          <w:rFonts w:hint="eastAsia"/>
          <w:b/>
          <w:bCs/>
          <w:sz w:val="21"/>
          <w:szCs w:val="21"/>
          <w:highlight w:val="none"/>
        </w:rPr>
        <w:t>(10)兴业证券股份有限公司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40AC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1978A">
            <w:pPr>
              <w:pStyle w:val="8"/>
              <w:rPr>
                <w:highlight w:val="none"/>
              </w:rPr>
            </w:pPr>
            <w:r>
              <w:rPr>
                <w:rFonts w:hint="eastAsia"/>
                <w:highlight w:val="none"/>
              </w:rPr>
              <w:t xml:space="preserve">注册地址： </w:t>
            </w:r>
          </w:p>
        </w:tc>
        <w:tc>
          <w:tcPr>
            <w:tcW w:w="7440" w:type="dxa"/>
            <w:shd w:val="clear" w:color="auto" w:fill="auto"/>
          </w:tcPr>
          <w:p w14:paraId="34AB4CFF">
            <w:pPr>
              <w:pStyle w:val="8"/>
              <w:rPr>
                <w:highlight w:val="none"/>
              </w:rPr>
            </w:pPr>
            <w:r>
              <w:rPr>
                <w:rFonts w:hint="eastAsia"/>
                <w:highlight w:val="none"/>
              </w:rPr>
              <w:t xml:space="preserve">福州市湖东路268号 </w:t>
            </w:r>
          </w:p>
        </w:tc>
      </w:tr>
      <w:tr w14:paraId="0F719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EAD42">
            <w:pPr>
              <w:pStyle w:val="8"/>
              <w:rPr>
                <w:highlight w:val="none"/>
              </w:rPr>
            </w:pPr>
            <w:r>
              <w:rPr>
                <w:rFonts w:hint="eastAsia"/>
                <w:highlight w:val="none"/>
              </w:rPr>
              <w:t xml:space="preserve">办公地址： </w:t>
            </w:r>
          </w:p>
        </w:tc>
        <w:tc>
          <w:tcPr>
            <w:tcW w:w="7440" w:type="dxa"/>
            <w:shd w:val="clear" w:color="auto" w:fill="auto"/>
          </w:tcPr>
          <w:p w14:paraId="05B22BD4">
            <w:pPr>
              <w:pStyle w:val="8"/>
              <w:rPr>
                <w:highlight w:val="none"/>
              </w:rPr>
            </w:pPr>
            <w:r>
              <w:rPr>
                <w:rFonts w:hint="eastAsia"/>
                <w:highlight w:val="none"/>
              </w:rPr>
              <w:t xml:space="preserve">上海市浦东民生路1199弄五道口广场1号楼21层 </w:t>
            </w:r>
          </w:p>
        </w:tc>
      </w:tr>
      <w:tr w14:paraId="0B0EA8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059FC">
            <w:pPr>
              <w:pStyle w:val="8"/>
              <w:rPr>
                <w:highlight w:val="none"/>
              </w:rPr>
            </w:pPr>
            <w:r>
              <w:rPr>
                <w:rFonts w:hint="eastAsia"/>
                <w:highlight w:val="none"/>
              </w:rPr>
              <w:t xml:space="preserve">法定代表人： </w:t>
            </w:r>
          </w:p>
        </w:tc>
        <w:tc>
          <w:tcPr>
            <w:tcW w:w="7440" w:type="dxa"/>
            <w:shd w:val="clear" w:color="auto" w:fill="auto"/>
          </w:tcPr>
          <w:p w14:paraId="0AF881E8">
            <w:pPr>
              <w:pStyle w:val="8"/>
              <w:rPr>
                <w:highlight w:val="none"/>
              </w:rPr>
            </w:pPr>
            <w:r>
              <w:rPr>
                <w:rFonts w:hint="eastAsia"/>
                <w:highlight w:val="none"/>
              </w:rPr>
              <w:t xml:space="preserve">杨华辉 </w:t>
            </w:r>
          </w:p>
        </w:tc>
      </w:tr>
      <w:tr w14:paraId="635FC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445C67">
            <w:pPr>
              <w:pStyle w:val="8"/>
              <w:rPr>
                <w:highlight w:val="none"/>
              </w:rPr>
            </w:pPr>
            <w:r>
              <w:rPr>
                <w:rFonts w:hint="eastAsia"/>
                <w:highlight w:val="none"/>
              </w:rPr>
              <w:t xml:space="preserve">电话： </w:t>
            </w:r>
          </w:p>
        </w:tc>
        <w:tc>
          <w:tcPr>
            <w:tcW w:w="7440" w:type="dxa"/>
            <w:shd w:val="clear" w:color="auto" w:fill="auto"/>
          </w:tcPr>
          <w:p w14:paraId="6F96C513">
            <w:pPr>
              <w:pStyle w:val="8"/>
              <w:rPr>
                <w:highlight w:val="none"/>
              </w:rPr>
            </w:pPr>
            <w:r>
              <w:rPr>
                <w:rFonts w:hint="eastAsia"/>
                <w:highlight w:val="none"/>
              </w:rPr>
              <w:t xml:space="preserve">021-38565547 </w:t>
            </w:r>
          </w:p>
        </w:tc>
      </w:tr>
      <w:tr w14:paraId="26128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BD3181D">
            <w:pPr>
              <w:pStyle w:val="8"/>
              <w:rPr>
                <w:highlight w:val="none"/>
              </w:rPr>
            </w:pPr>
            <w:r>
              <w:rPr>
                <w:rFonts w:hint="eastAsia"/>
                <w:highlight w:val="none"/>
              </w:rPr>
              <w:t xml:space="preserve">传真： </w:t>
            </w:r>
          </w:p>
        </w:tc>
        <w:tc>
          <w:tcPr>
            <w:tcW w:w="7440" w:type="dxa"/>
            <w:shd w:val="clear" w:color="auto" w:fill="auto"/>
          </w:tcPr>
          <w:p w14:paraId="681B1B4A">
            <w:pPr>
              <w:pStyle w:val="8"/>
              <w:rPr>
                <w:highlight w:val="none"/>
              </w:rPr>
            </w:pPr>
            <w:r>
              <w:rPr>
                <w:rFonts w:hint="eastAsia"/>
                <w:highlight w:val="none"/>
              </w:rPr>
              <w:t xml:space="preserve">021－38565783 </w:t>
            </w:r>
          </w:p>
        </w:tc>
      </w:tr>
      <w:tr w14:paraId="7C20B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762D5">
            <w:pPr>
              <w:pStyle w:val="8"/>
              <w:rPr>
                <w:highlight w:val="none"/>
              </w:rPr>
            </w:pPr>
            <w:r>
              <w:rPr>
                <w:rFonts w:hint="eastAsia"/>
                <w:highlight w:val="none"/>
              </w:rPr>
              <w:t xml:space="preserve">客户服务电话： </w:t>
            </w:r>
          </w:p>
        </w:tc>
        <w:tc>
          <w:tcPr>
            <w:tcW w:w="7440" w:type="dxa"/>
            <w:shd w:val="clear" w:color="auto" w:fill="auto"/>
          </w:tcPr>
          <w:p w14:paraId="6C402434">
            <w:pPr>
              <w:pStyle w:val="8"/>
              <w:rPr>
                <w:highlight w:val="none"/>
              </w:rPr>
            </w:pPr>
            <w:r>
              <w:rPr>
                <w:rFonts w:hint="eastAsia"/>
                <w:highlight w:val="none"/>
              </w:rPr>
              <w:t xml:space="preserve">95562 </w:t>
            </w:r>
          </w:p>
        </w:tc>
      </w:tr>
      <w:tr w14:paraId="145F0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0F154">
            <w:pPr>
              <w:pStyle w:val="8"/>
              <w:rPr>
                <w:highlight w:val="none"/>
              </w:rPr>
            </w:pPr>
            <w:r>
              <w:rPr>
                <w:rFonts w:hint="eastAsia"/>
                <w:highlight w:val="none"/>
              </w:rPr>
              <w:t xml:space="preserve">网址： </w:t>
            </w:r>
          </w:p>
        </w:tc>
        <w:tc>
          <w:tcPr>
            <w:tcW w:w="7440" w:type="dxa"/>
            <w:shd w:val="clear" w:color="auto" w:fill="auto"/>
          </w:tcPr>
          <w:p w14:paraId="6479F913">
            <w:pPr>
              <w:pStyle w:val="8"/>
              <w:rPr>
                <w:highlight w:val="none"/>
              </w:rPr>
            </w:pPr>
            <w:r>
              <w:rPr>
                <w:rFonts w:hint="eastAsia"/>
                <w:highlight w:val="none"/>
              </w:rPr>
              <w:t xml:space="preserve">http://www.xyzq.com.cn/ </w:t>
            </w:r>
          </w:p>
        </w:tc>
      </w:tr>
    </w:tbl>
    <w:p w14:paraId="42AB3761">
      <w:pPr>
        <w:pStyle w:val="8"/>
        <w:spacing w:before="0" w:beforeAutospacing="0" w:after="0" w:afterAutospacing="0" w:line="360" w:lineRule="auto"/>
        <w:ind w:firstLine="420"/>
        <w:rPr>
          <w:sz w:val="21"/>
          <w:szCs w:val="21"/>
          <w:highlight w:val="none"/>
        </w:rPr>
      </w:pPr>
      <w:r>
        <w:rPr>
          <w:rFonts w:hint="eastAsia"/>
          <w:b/>
          <w:bCs/>
          <w:sz w:val="21"/>
          <w:szCs w:val="21"/>
          <w:highlight w:val="none"/>
        </w:rPr>
        <w:t>(11)长江证券股份有限公司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6415F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497418">
            <w:pPr>
              <w:pStyle w:val="8"/>
              <w:rPr>
                <w:highlight w:val="none"/>
              </w:rPr>
            </w:pPr>
            <w:r>
              <w:rPr>
                <w:rFonts w:hint="eastAsia"/>
                <w:highlight w:val="none"/>
              </w:rPr>
              <w:t xml:space="preserve">注册地址： </w:t>
            </w:r>
          </w:p>
        </w:tc>
        <w:tc>
          <w:tcPr>
            <w:tcW w:w="7440" w:type="dxa"/>
            <w:shd w:val="clear" w:color="auto" w:fill="auto"/>
          </w:tcPr>
          <w:p w14:paraId="21DBC710">
            <w:pPr>
              <w:pStyle w:val="8"/>
              <w:rPr>
                <w:highlight w:val="none"/>
              </w:rPr>
            </w:pPr>
            <w:r>
              <w:rPr>
                <w:rFonts w:hint="eastAsia"/>
                <w:highlight w:val="none"/>
              </w:rPr>
              <w:t xml:space="preserve">湖北省武汉市江汉区淮海路88号 </w:t>
            </w:r>
          </w:p>
        </w:tc>
      </w:tr>
      <w:tr w14:paraId="3A494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8EED0A">
            <w:pPr>
              <w:pStyle w:val="8"/>
              <w:rPr>
                <w:highlight w:val="none"/>
              </w:rPr>
            </w:pPr>
            <w:r>
              <w:rPr>
                <w:rFonts w:hint="eastAsia"/>
                <w:highlight w:val="none"/>
              </w:rPr>
              <w:t xml:space="preserve">办公地址： </w:t>
            </w:r>
          </w:p>
        </w:tc>
        <w:tc>
          <w:tcPr>
            <w:tcW w:w="7440" w:type="dxa"/>
            <w:shd w:val="clear" w:color="auto" w:fill="auto"/>
          </w:tcPr>
          <w:p w14:paraId="43E3CB90">
            <w:pPr>
              <w:pStyle w:val="8"/>
              <w:rPr>
                <w:highlight w:val="none"/>
              </w:rPr>
            </w:pPr>
            <w:r>
              <w:rPr>
                <w:rFonts w:hint="eastAsia"/>
                <w:highlight w:val="none"/>
              </w:rPr>
              <w:t xml:space="preserve">湖北省武汉市江汉区淮海路88号 </w:t>
            </w:r>
          </w:p>
        </w:tc>
      </w:tr>
      <w:tr w14:paraId="33078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FB246">
            <w:pPr>
              <w:pStyle w:val="8"/>
              <w:rPr>
                <w:highlight w:val="none"/>
              </w:rPr>
            </w:pPr>
            <w:r>
              <w:rPr>
                <w:rFonts w:hint="eastAsia"/>
                <w:highlight w:val="none"/>
              </w:rPr>
              <w:t xml:space="preserve">法定代表人： </w:t>
            </w:r>
          </w:p>
        </w:tc>
        <w:tc>
          <w:tcPr>
            <w:tcW w:w="7440" w:type="dxa"/>
            <w:shd w:val="clear" w:color="auto" w:fill="auto"/>
          </w:tcPr>
          <w:p w14:paraId="0FE15574">
            <w:pPr>
              <w:pStyle w:val="8"/>
              <w:rPr>
                <w:highlight w:val="none"/>
              </w:rPr>
            </w:pPr>
            <w:r>
              <w:rPr>
                <w:rFonts w:hint="eastAsia"/>
                <w:highlight w:val="none"/>
              </w:rPr>
              <w:t xml:space="preserve">刘正斌 </w:t>
            </w:r>
          </w:p>
        </w:tc>
      </w:tr>
      <w:tr w14:paraId="6BBB8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E17CA1">
            <w:pPr>
              <w:pStyle w:val="8"/>
              <w:rPr>
                <w:highlight w:val="none"/>
              </w:rPr>
            </w:pPr>
            <w:r>
              <w:rPr>
                <w:rFonts w:hint="eastAsia"/>
                <w:highlight w:val="none"/>
              </w:rPr>
              <w:t xml:space="preserve">联系人： </w:t>
            </w:r>
          </w:p>
        </w:tc>
        <w:tc>
          <w:tcPr>
            <w:tcW w:w="7440" w:type="dxa"/>
            <w:shd w:val="clear" w:color="auto" w:fill="auto"/>
          </w:tcPr>
          <w:p w14:paraId="1CD4B870">
            <w:pPr>
              <w:pStyle w:val="8"/>
              <w:rPr>
                <w:highlight w:val="none"/>
              </w:rPr>
            </w:pPr>
            <w:r>
              <w:rPr>
                <w:rFonts w:hint="eastAsia"/>
                <w:highlight w:val="none"/>
              </w:rPr>
              <w:t xml:space="preserve">奚博宇 </w:t>
            </w:r>
          </w:p>
        </w:tc>
      </w:tr>
      <w:tr w14:paraId="464F0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86BF8">
            <w:pPr>
              <w:pStyle w:val="8"/>
              <w:rPr>
                <w:highlight w:val="none"/>
              </w:rPr>
            </w:pPr>
            <w:r>
              <w:rPr>
                <w:rFonts w:hint="eastAsia"/>
                <w:highlight w:val="none"/>
              </w:rPr>
              <w:t xml:space="preserve">电话： </w:t>
            </w:r>
          </w:p>
        </w:tc>
        <w:tc>
          <w:tcPr>
            <w:tcW w:w="7440" w:type="dxa"/>
            <w:shd w:val="clear" w:color="auto" w:fill="auto"/>
          </w:tcPr>
          <w:p w14:paraId="0407E4A6">
            <w:pPr>
              <w:pStyle w:val="8"/>
              <w:rPr>
                <w:highlight w:val="none"/>
              </w:rPr>
            </w:pPr>
            <w:r>
              <w:rPr>
                <w:rFonts w:hint="eastAsia"/>
                <w:highlight w:val="none"/>
              </w:rPr>
              <w:t xml:space="preserve">027-65799999 </w:t>
            </w:r>
          </w:p>
        </w:tc>
      </w:tr>
      <w:tr w14:paraId="310DB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7C8F8">
            <w:pPr>
              <w:pStyle w:val="8"/>
              <w:rPr>
                <w:highlight w:val="none"/>
              </w:rPr>
            </w:pPr>
            <w:r>
              <w:rPr>
                <w:rFonts w:hint="eastAsia"/>
                <w:highlight w:val="none"/>
              </w:rPr>
              <w:t xml:space="preserve">传真： </w:t>
            </w:r>
          </w:p>
        </w:tc>
        <w:tc>
          <w:tcPr>
            <w:tcW w:w="7440" w:type="dxa"/>
            <w:shd w:val="clear" w:color="auto" w:fill="auto"/>
          </w:tcPr>
          <w:p w14:paraId="15B182B8">
            <w:pPr>
              <w:pStyle w:val="8"/>
              <w:rPr>
                <w:highlight w:val="none"/>
              </w:rPr>
            </w:pPr>
            <w:r>
              <w:rPr>
                <w:rFonts w:hint="eastAsia"/>
                <w:highlight w:val="none"/>
              </w:rPr>
              <w:t xml:space="preserve">027-85481900 </w:t>
            </w:r>
          </w:p>
        </w:tc>
      </w:tr>
      <w:tr w14:paraId="51C4D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21293A">
            <w:pPr>
              <w:pStyle w:val="8"/>
              <w:rPr>
                <w:highlight w:val="none"/>
              </w:rPr>
            </w:pPr>
            <w:r>
              <w:rPr>
                <w:rFonts w:hint="eastAsia"/>
                <w:highlight w:val="none"/>
              </w:rPr>
              <w:t xml:space="preserve">客户服务电话： </w:t>
            </w:r>
          </w:p>
        </w:tc>
        <w:tc>
          <w:tcPr>
            <w:tcW w:w="7440" w:type="dxa"/>
            <w:shd w:val="clear" w:color="auto" w:fill="auto"/>
          </w:tcPr>
          <w:p w14:paraId="62A689A1">
            <w:pPr>
              <w:pStyle w:val="8"/>
              <w:rPr>
                <w:highlight w:val="none"/>
              </w:rPr>
            </w:pPr>
            <w:r>
              <w:rPr>
                <w:rFonts w:hint="eastAsia"/>
                <w:highlight w:val="none"/>
              </w:rPr>
              <w:t xml:space="preserve">95579 </w:t>
            </w:r>
          </w:p>
        </w:tc>
      </w:tr>
      <w:tr w14:paraId="0CC32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04471D">
            <w:pPr>
              <w:pStyle w:val="8"/>
              <w:rPr>
                <w:highlight w:val="none"/>
              </w:rPr>
            </w:pPr>
            <w:r>
              <w:rPr>
                <w:rFonts w:hint="eastAsia"/>
                <w:highlight w:val="none"/>
              </w:rPr>
              <w:t xml:space="preserve">网址： </w:t>
            </w:r>
          </w:p>
        </w:tc>
        <w:tc>
          <w:tcPr>
            <w:tcW w:w="7440" w:type="dxa"/>
            <w:shd w:val="clear" w:color="auto" w:fill="auto"/>
          </w:tcPr>
          <w:p w14:paraId="53474792">
            <w:pPr>
              <w:pStyle w:val="8"/>
              <w:rPr>
                <w:highlight w:val="none"/>
              </w:rPr>
            </w:pPr>
            <w:r>
              <w:rPr>
                <w:rFonts w:hint="eastAsia"/>
                <w:highlight w:val="none"/>
              </w:rPr>
              <w:t xml:space="preserve">http://www.95579.com/ </w:t>
            </w:r>
          </w:p>
        </w:tc>
      </w:tr>
    </w:tbl>
    <w:p w14:paraId="3FCC7102">
      <w:pPr>
        <w:pStyle w:val="8"/>
        <w:spacing w:before="0" w:beforeAutospacing="0" w:after="0" w:afterAutospacing="0" w:line="360" w:lineRule="auto"/>
        <w:ind w:firstLine="420"/>
        <w:rPr>
          <w:sz w:val="21"/>
          <w:szCs w:val="21"/>
          <w:highlight w:val="none"/>
        </w:rPr>
      </w:pPr>
      <w:r>
        <w:rPr>
          <w:rFonts w:hint="eastAsia"/>
          <w:b/>
          <w:bCs/>
          <w:sz w:val="21"/>
          <w:szCs w:val="21"/>
          <w:highlight w:val="none"/>
        </w:rPr>
        <w:t>(12)国投证券股份有限公司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2CCEED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9AC37">
            <w:pPr>
              <w:pStyle w:val="8"/>
              <w:rPr>
                <w:highlight w:val="none"/>
              </w:rPr>
            </w:pPr>
            <w:r>
              <w:rPr>
                <w:rFonts w:hint="eastAsia"/>
                <w:highlight w:val="none"/>
              </w:rPr>
              <w:t xml:space="preserve">注册地址： </w:t>
            </w:r>
          </w:p>
        </w:tc>
        <w:tc>
          <w:tcPr>
            <w:tcW w:w="7440" w:type="dxa"/>
            <w:shd w:val="clear" w:color="auto" w:fill="auto"/>
          </w:tcPr>
          <w:p w14:paraId="246F6A6A">
            <w:pPr>
              <w:pStyle w:val="8"/>
              <w:rPr>
                <w:highlight w:val="none"/>
              </w:rPr>
            </w:pPr>
            <w:r>
              <w:rPr>
                <w:rFonts w:hint="eastAsia"/>
                <w:highlight w:val="none"/>
              </w:rPr>
              <w:t xml:space="preserve">深圳市福田区福田街道福华一路119号安信金融大厦 </w:t>
            </w:r>
          </w:p>
        </w:tc>
      </w:tr>
      <w:tr w14:paraId="0EBAC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CAE4F">
            <w:pPr>
              <w:pStyle w:val="8"/>
              <w:rPr>
                <w:highlight w:val="none"/>
              </w:rPr>
            </w:pPr>
            <w:r>
              <w:rPr>
                <w:rFonts w:hint="eastAsia"/>
                <w:highlight w:val="none"/>
              </w:rPr>
              <w:t xml:space="preserve">办公地址： </w:t>
            </w:r>
          </w:p>
        </w:tc>
        <w:tc>
          <w:tcPr>
            <w:tcW w:w="7440" w:type="dxa"/>
            <w:shd w:val="clear" w:color="auto" w:fill="auto"/>
          </w:tcPr>
          <w:p w14:paraId="2266D069">
            <w:pPr>
              <w:pStyle w:val="8"/>
              <w:rPr>
                <w:highlight w:val="none"/>
              </w:rPr>
            </w:pPr>
            <w:r>
              <w:rPr>
                <w:rFonts w:hint="eastAsia"/>
                <w:highlight w:val="none"/>
              </w:rPr>
              <w:t xml:space="preserve">深圳市福田区福田街道福华一路119号安信金融大厦 </w:t>
            </w:r>
          </w:p>
        </w:tc>
      </w:tr>
      <w:tr w14:paraId="6FFF9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9CB41">
            <w:pPr>
              <w:pStyle w:val="8"/>
              <w:rPr>
                <w:highlight w:val="none"/>
              </w:rPr>
            </w:pPr>
            <w:r>
              <w:rPr>
                <w:rFonts w:hint="eastAsia"/>
                <w:highlight w:val="none"/>
              </w:rPr>
              <w:t xml:space="preserve">法定代表人： </w:t>
            </w:r>
          </w:p>
        </w:tc>
        <w:tc>
          <w:tcPr>
            <w:tcW w:w="7440" w:type="dxa"/>
            <w:shd w:val="clear" w:color="auto" w:fill="auto"/>
          </w:tcPr>
          <w:p w14:paraId="0E40EA9E">
            <w:pPr>
              <w:pStyle w:val="8"/>
              <w:rPr>
                <w:highlight w:val="none"/>
              </w:rPr>
            </w:pPr>
            <w:r>
              <w:rPr>
                <w:rFonts w:hint="eastAsia"/>
                <w:highlight w:val="none"/>
              </w:rPr>
              <w:t xml:space="preserve">王苏望 </w:t>
            </w:r>
          </w:p>
        </w:tc>
      </w:tr>
      <w:tr w14:paraId="035B1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8D9FA">
            <w:pPr>
              <w:pStyle w:val="8"/>
              <w:rPr>
                <w:highlight w:val="none"/>
              </w:rPr>
            </w:pPr>
            <w:r>
              <w:rPr>
                <w:rFonts w:hint="eastAsia"/>
                <w:highlight w:val="none"/>
              </w:rPr>
              <w:t xml:space="preserve">电话： </w:t>
            </w:r>
          </w:p>
        </w:tc>
        <w:tc>
          <w:tcPr>
            <w:tcW w:w="7440" w:type="dxa"/>
            <w:shd w:val="clear" w:color="auto" w:fill="auto"/>
          </w:tcPr>
          <w:p w14:paraId="15DDF8B3">
            <w:pPr>
              <w:pStyle w:val="8"/>
              <w:rPr>
                <w:highlight w:val="none"/>
              </w:rPr>
            </w:pPr>
            <w:r>
              <w:rPr>
                <w:rFonts w:hint="eastAsia"/>
                <w:highlight w:val="none"/>
              </w:rPr>
              <w:t xml:space="preserve">0755-82558266 </w:t>
            </w:r>
          </w:p>
        </w:tc>
      </w:tr>
      <w:tr w14:paraId="57F4B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27D384">
            <w:pPr>
              <w:pStyle w:val="8"/>
              <w:rPr>
                <w:highlight w:val="none"/>
              </w:rPr>
            </w:pPr>
            <w:r>
              <w:rPr>
                <w:rFonts w:hint="eastAsia"/>
                <w:highlight w:val="none"/>
              </w:rPr>
              <w:t xml:space="preserve">客户服务电话： </w:t>
            </w:r>
          </w:p>
        </w:tc>
        <w:tc>
          <w:tcPr>
            <w:tcW w:w="7440" w:type="dxa"/>
            <w:shd w:val="clear" w:color="auto" w:fill="auto"/>
          </w:tcPr>
          <w:p w14:paraId="2CE85AA9">
            <w:pPr>
              <w:pStyle w:val="8"/>
              <w:rPr>
                <w:highlight w:val="none"/>
              </w:rPr>
            </w:pPr>
            <w:r>
              <w:rPr>
                <w:rFonts w:hint="eastAsia"/>
                <w:highlight w:val="none"/>
              </w:rPr>
              <w:t xml:space="preserve">95517 </w:t>
            </w:r>
          </w:p>
        </w:tc>
      </w:tr>
      <w:tr w14:paraId="4AC5D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C99022">
            <w:pPr>
              <w:pStyle w:val="8"/>
              <w:rPr>
                <w:highlight w:val="none"/>
              </w:rPr>
            </w:pPr>
            <w:r>
              <w:rPr>
                <w:rFonts w:hint="eastAsia"/>
                <w:highlight w:val="none"/>
              </w:rPr>
              <w:t xml:space="preserve">网址： </w:t>
            </w:r>
          </w:p>
        </w:tc>
        <w:tc>
          <w:tcPr>
            <w:tcW w:w="7440" w:type="dxa"/>
            <w:shd w:val="clear" w:color="auto" w:fill="auto"/>
          </w:tcPr>
          <w:p w14:paraId="0970D037">
            <w:pPr>
              <w:pStyle w:val="8"/>
              <w:rPr>
                <w:highlight w:val="none"/>
              </w:rPr>
            </w:pPr>
            <w:r>
              <w:rPr>
                <w:rFonts w:hint="eastAsia"/>
                <w:highlight w:val="none"/>
              </w:rPr>
              <w:t xml:space="preserve">http://www.sdicsc.com.cn </w:t>
            </w:r>
          </w:p>
        </w:tc>
      </w:tr>
    </w:tbl>
    <w:p w14:paraId="46F8A7E7">
      <w:pPr>
        <w:pStyle w:val="8"/>
        <w:spacing w:before="0" w:beforeAutospacing="0" w:after="0" w:afterAutospacing="0" w:line="360" w:lineRule="auto"/>
        <w:ind w:firstLine="420"/>
        <w:rPr>
          <w:sz w:val="21"/>
          <w:szCs w:val="21"/>
          <w:highlight w:val="none"/>
        </w:rPr>
      </w:pPr>
      <w:r>
        <w:rPr>
          <w:rFonts w:hint="eastAsia"/>
          <w:b/>
          <w:bCs/>
          <w:sz w:val="21"/>
          <w:szCs w:val="21"/>
          <w:highlight w:val="none"/>
        </w:rPr>
        <w:t>(13)湘财证券股份有限公司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D962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A5748">
            <w:pPr>
              <w:pStyle w:val="8"/>
              <w:rPr>
                <w:highlight w:val="none"/>
              </w:rPr>
            </w:pPr>
            <w:r>
              <w:rPr>
                <w:rFonts w:hint="eastAsia"/>
                <w:highlight w:val="none"/>
              </w:rPr>
              <w:t xml:space="preserve">注册地址： </w:t>
            </w:r>
          </w:p>
        </w:tc>
        <w:tc>
          <w:tcPr>
            <w:tcW w:w="7440" w:type="dxa"/>
            <w:shd w:val="clear" w:color="auto" w:fill="auto"/>
          </w:tcPr>
          <w:p w14:paraId="4522F24E">
            <w:pPr>
              <w:pStyle w:val="8"/>
              <w:rPr>
                <w:highlight w:val="none"/>
              </w:rPr>
            </w:pPr>
            <w:r>
              <w:rPr>
                <w:rFonts w:hint="eastAsia"/>
                <w:highlight w:val="none"/>
              </w:rPr>
              <w:t xml:space="preserve">湖南省长沙市天心区湘府中路198号新南城商务中心A栋11楼 </w:t>
            </w:r>
          </w:p>
        </w:tc>
      </w:tr>
      <w:tr w14:paraId="12448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E350CE">
            <w:pPr>
              <w:pStyle w:val="8"/>
              <w:rPr>
                <w:highlight w:val="none"/>
              </w:rPr>
            </w:pPr>
            <w:r>
              <w:rPr>
                <w:rFonts w:hint="eastAsia"/>
                <w:highlight w:val="none"/>
              </w:rPr>
              <w:t xml:space="preserve">办公地址： </w:t>
            </w:r>
          </w:p>
        </w:tc>
        <w:tc>
          <w:tcPr>
            <w:tcW w:w="7440" w:type="dxa"/>
            <w:shd w:val="clear" w:color="auto" w:fill="auto"/>
          </w:tcPr>
          <w:p w14:paraId="6A43EBE0">
            <w:pPr>
              <w:pStyle w:val="8"/>
              <w:rPr>
                <w:highlight w:val="none"/>
              </w:rPr>
            </w:pPr>
            <w:r>
              <w:rPr>
                <w:rFonts w:hint="eastAsia"/>
                <w:highlight w:val="none"/>
              </w:rPr>
              <w:t xml:space="preserve">湖南省长沙市天心区湘府中路198号新南城商务中心A栋11楼 </w:t>
            </w:r>
          </w:p>
        </w:tc>
      </w:tr>
      <w:tr w14:paraId="0F490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837AA5">
            <w:pPr>
              <w:pStyle w:val="8"/>
              <w:rPr>
                <w:highlight w:val="none"/>
              </w:rPr>
            </w:pPr>
            <w:r>
              <w:rPr>
                <w:rFonts w:hint="eastAsia"/>
                <w:highlight w:val="none"/>
              </w:rPr>
              <w:t xml:space="preserve">法定代表人： </w:t>
            </w:r>
          </w:p>
        </w:tc>
        <w:tc>
          <w:tcPr>
            <w:tcW w:w="7440" w:type="dxa"/>
            <w:shd w:val="clear" w:color="auto" w:fill="auto"/>
          </w:tcPr>
          <w:p w14:paraId="49EE7E0A">
            <w:pPr>
              <w:pStyle w:val="8"/>
              <w:rPr>
                <w:highlight w:val="none"/>
              </w:rPr>
            </w:pPr>
            <w:r>
              <w:rPr>
                <w:rFonts w:hint="eastAsia"/>
                <w:highlight w:val="none"/>
              </w:rPr>
              <w:t xml:space="preserve">林俊波 </w:t>
            </w:r>
          </w:p>
        </w:tc>
      </w:tr>
      <w:tr w14:paraId="3745A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10AE4">
            <w:pPr>
              <w:pStyle w:val="8"/>
              <w:rPr>
                <w:highlight w:val="none"/>
              </w:rPr>
            </w:pPr>
            <w:r>
              <w:rPr>
                <w:rFonts w:hint="eastAsia"/>
                <w:highlight w:val="none"/>
              </w:rPr>
              <w:t xml:space="preserve">联系人： </w:t>
            </w:r>
          </w:p>
        </w:tc>
        <w:tc>
          <w:tcPr>
            <w:tcW w:w="7440" w:type="dxa"/>
            <w:shd w:val="clear" w:color="auto" w:fill="auto"/>
          </w:tcPr>
          <w:p w14:paraId="67EA695B">
            <w:pPr>
              <w:pStyle w:val="8"/>
              <w:rPr>
                <w:highlight w:val="none"/>
              </w:rPr>
            </w:pPr>
            <w:r>
              <w:rPr>
                <w:rFonts w:hint="eastAsia"/>
                <w:highlight w:val="none"/>
              </w:rPr>
              <w:t xml:space="preserve">孙越 </w:t>
            </w:r>
          </w:p>
        </w:tc>
      </w:tr>
      <w:tr w14:paraId="5ED24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A3F1F1">
            <w:pPr>
              <w:pStyle w:val="8"/>
              <w:rPr>
                <w:highlight w:val="none"/>
              </w:rPr>
            </w:pPr>
            <w:r>
              <w:rPr>
                <w:rFonts w:hint="eastAsia"/>
                <w:highlight w:val="none"/>
              </w:rPr>
              <w:t xml:space="preserve">电话： </w:t>
            </w:r>
          </w:p>
        </w:tc>
        <w:tc>
          <w:tcPr>
            <w:tcW w:w="7440" w:type="dxa"/>
            <w:shd w:val="clear" w:color="auto" w:fill="auto"/>
          </w:tcPr>
          <w:p w14:paraId="01ABFEC6">
            <w:pPr>
              <w:pStyle w:val="8"/>
              <w:rPr>
                <w:highlight w:val="none"/>
              </w:rPr>
            </w:pPr>
            <w:r>
              <w:rPr>
                <w:rFonts w:hint="eastAsia"/>
                <w:highlight w:val="none"/>
              </w:rPr>
              <w:t xml:space="preserve">021-38784580-8920 </w:t>
            </w:r>
          </w:p>
        </w:tc>
      </w:tr>
      <w:tr w14:paraId="5A27A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1EC703">
            <w:pPr>
              <w:pStyle w:val="8"/>
              <w:rPr>
                <w:highlight w:val="none"/>
              </w:rPr>
            </w:pPr>
            <w:r>
              <w:rPr>
                <w:rFonts w:hint="eastAsia"/>
                <w:highlight w:val="none"/>
              </w:rPr>
              <w:t xml:space="preserve">客户服务电话： </w:t>
            </w:r>
          </w:p>
        </w:tc>
        <w:tc>
          <w:tcPr>
            <w:tcW w:w="7440" w:type="dxa"/>
            <w:shd w:val="clear" w:color="auto" w:fill="auto"/>
          </w:tcPr>
          <w:p w14:paraId="3B628DBB">
            <w:pPr>
              <w:pStyle w:val="8"/>
              <w:rPr>
                <w:highlight w:val="none"/>
              </w:rPr>
            </w:pPr>
            <w:r>
              <w:rPr>
                <w:rFonts w:hint="eastAsia"/>
                <w:highlight w:val="none"/>
              </w:rPr>
              <w:t xml:space="preserve">95351 </w:t>
            </w:r>
          </w:p>
        </w:tc>
      </w:tr>
      <w:tr w14:paraId="3B02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82C91F">
            <w:pPr>
              <w:pStyle w:val="8"/>
              <w:rPr>
                <w:highlight w:val="none"/>
              </w:rPr>
            </w:pPr>
            <w:r>
              <w:rPr>
                <w:rFonts w:hint="eastAsia"/>
                <w:highlight w:val="none"/>
              </w:rPr>
              <w:t xml:space="preserve">网址： </w:t>
            </w:r>
          </w:p>
        </w:tc>
        <w:tc>
          <w:tcPr>
            <w:tcW w:w="7440" w:type="dxa"/>
            <w:shd w:val="clear" w:color="auto" w:fill="auto"/>
          </w:tcPr>
          <w:p w14:paraId="2D20F4FC">
            <w:pPr>
              <w:pStyle w:val="8"/>
              <w:rPr>
                <w:highlight w:val="none"/>
              </w:rPr>
            </w:pPr>
            <w:r>
              <w:rPr>
                <w:rFonts w:hint="eastAsia"/>
                <w:highlight w:val="none"/>
              </w:rPr>
              <w:t xml:space="preserve">http://www.xcsc.com </w:t>
            </w:r>
          </w:p>
        </w:tc>
      </w:tr>
    </w:tbl>
    <w:p w14:paraId="3B480F4E">
      <w:pPr>
        <w:pStyle w:val="8"/>
        <w:spacing w:before="0" w:beforeAutospacing="0" w:after="0" w:afterAutospacing="0" w:line="360" w:lineRule="auto"/>
        <w:ind w:firstLine="420"/>
        <w:rPr>
          <w:sz w:val="21"/>
          <w:szCs w:val="21"/>
          <w:highlight w:val="none"/>
        </w:rPr>
      </w:pPr>
      <w:r>
        <w:rPr>
          <w:rFonts w:hint="eastAsia"/>
          <w:b/>
          <w:bCs/>
          <w:sz w:val="21"/>
          <w:szCs w:val="21"/>
          <w:highlight w:val="none"/>
        </w:rPr>
        <w:t>(14)民生证券股份有限公司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5"/>
        <w:gridCol w:w="5948"/>
      </w:tblGrid>
      <w:tr w14:paraId="765BE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D1B95A">
            <w:pPr>
              <w:pStyle w:val="8"/>
              <w:rPr>
                <w:highlight w:val="none"/>
              </w:rPr>
            </w:pPr>
            <w:r>
              <w:rPr>
                <w:rFonts w:hint="eastAsia"/>
                <w:highlight w:val="none"/>
              </w:rPr>
              <w:t xml:space="preserve">注册地址： </w:t>
            </w:r>
          </w:p>
        </w:tc>
        <w:tc>
          <w:tcPr>
            <w:tcW w:w="7440" w:type="dxa"/>
            <w:shd w:val="clear" w:color="auto" w:fill="auto"/>
          </w:tcPr>
          <w:p w14:paraId="7B3ADFA6">
            <w:pPr>
              <w:pStyle w:val="8"/>
              <w:rPr>
                <w:highlight w:val="none"/>
              </w:rPr>
            </w:pPr>
            <w:r>
              <w:rPr>
                <w:rFonts w:hint="eastAsia"/>
                <w:highlight w:val="none"/>
              </w:rPr>
              <w:t xml:space="preserve">北京市东城区建国门内大街28号民生金融中心A座16-18层 </w:t>
            </w:r>
          </w:p>
        </w:tc>
      </w:tr>
      <w:tr w14:paraId="533E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86AA5B">
            <w:pPr>
              <w:pStyle w:val="8"/>
              <w:rPr>
                <w:highlight w:val="none"/>
              </w:rPr>
            </w:pPr>
            <w:r>
              <w:rPr>
                <w:rFonts w:hint="eastAsia"/>
                <w:highlight w:val="none"/>
              </w:rPr>
              <w:t xml:space="preserve">办公地址： </w:t>
            </w:r>
          </w:p>
        </w:tc>
        <w:tc>
          <w:tcPr>
            <w:tcW w:w="7440" w:type="dxa"/>
            <w:shd w:val="clear" w:color="auto" w:fill="auto"/>
          </w:tcPr>
          <w:p w14:paraId="0A1ED45A">
            <w:pPr>
              <w:pStyle w:val="8"/>
              <w:rPr>
                <w:highlight w:val="none"/>
              </w:rPr>
            </w:pPr>
            <w:r>
              <w:rPr>
                <w:rFonts w:hint="eastAsia"/>
                <w:highlight w:val="none"/>
              </w:rPr>
              <w:t xml:space="preserve">北京市东城区建国门内大街28号民生金融中心A座16-20层 </w:t>
            </w:r>
          </w:p>
        </w:tc>
      </w:tr>
      <w:tr w14:paraId="74BDA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66F45B">
            <w:pPr>
              <w:pStyle w:val="8"/>
              <w:rPr>
                <w:highlight w:val="none"/>
              </w:rPr>
            </w:pPr>
            <w:r>
              <w:rPr>
                <w:rFonts w:hint="eastAsia"/>
                <w:highlight w:val="none"/>
              </w:rPr>
              <w:t xml:space="preserve">法定代表人： </w:t>
            </w:r>
          </w:p>
        </w:tc>
        <w:tc>
          <w:tcPr>
            <w:tcW w:w="7440" w:type="dxa"/>
            <w:shd w:val="clear" w:color="auto" w:fill="auto"/>
          </w:tcPr>
          <w:p w14:paraId="5FC3FF30">
            <w:pPr>
              <w:pStyle w:val="8"/>
              <w:rPr>
                <w:highlight w:val="none"/>
              </w:rPr>
            </w:pPr>
            <w:r>
              <w:rPr>
                <w:rFonts w:hint="eastAsia"/>
                <w:highlight w:val="none"/>
              </w:rPr>
              <w:t xml:space="preserve">余政 </w:t>
            </w:r>
          </w:p>
        </w:tc>
      </w:tr>
      <w:tr w14:paraId="582E0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38F6B">
            <w:pPr>
              <w:pStyle w:val="8"/>
              <w:rPr>
                <w:highlight w:val="none"/>
              </w:rPr>
            </w:pPr>
            <w:r>
              <w:rPr>
                <w:rFonts w:hint="eastAsia"/>
                <w:highlight w:val="none"/>
              </w:rPr>
              <w:t xml:space="preserve">联系人： </w:t>
            </w:r>
          </w:p>
        </w:tc>
        <w:tc>
          <w:tcPr>
            <w:tcW w:w="7440" w:type="dxa"/>
            <w:shd w:val="clear" w:color="auto" w:fill="auto"/>
          </w:tcPr>
          <w:p w14:paraId="251670AA">
            <w:pPr>
              <w:pStyle w:val="8"/>
              <w:rPr>
                <w:highlight w:val="none"/>
              </w:rPr>
            </w:pPr>
            <w:r>
              <w:rPr>
                <w:rFonts w:hint="eastAsia"/>
                <w:highlight w:val="none"/>
              </w:rPr>
              <w:t xml:space="preserve">赵明 </w:t>
            </w:r>
          </w:p>
        </w:tc>
      </w:tr>
      <w:tr w14:paraId="4F903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AFD3C0">
            <w:pPr>
              <w:pStyle w:val="8"/>
              <w:rPr>
                <w:highlight w:val="none"/>
              </w:rPr>
            </w:pPr>
            <w:r>
              <w:rPr>
                <w:rFonts w:hint="eastAsia"/>
                <w:highlight w:val="none"/>
              </w:rPr>
              <w:t xml:space="preserve">电话： </w:t>
            </w:r>
          </w:p>
        </w:tc>
        <w:tc>
          <w:tcPr>
            <w:tcW w:w="7440" w:type="dxa"/>
            <w:shd w:val="clear" w:color="auto" w:fill="auto"/>
          </w:tcPr>
          <w:p w14:paraId="1A445ADB">
            <w:pPr>
              <w:pStyle w:val="8"/>
              <w:rPr>
                <w:highlight w:val="none"/>
              </w:rPr>
            </w:pPr>
            <w:r>
              <w:rPr>
                <w:rFonts w:hint="eastAsia"/>
                <w:highlight w:val="none"/>
              </w:rPr>
              <w:t xml:space="preserve">010-85127622 </w:t>
            </w:r>
          </w:p>
        </w:tc>
      </w:tr>
      <w:tr w14:paraId="29D96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29F20">
            <w:pPr>
              <w:pStyle w:val="8"/>
              <w:rPr>
                <w:highlight w:val="none"/>
              </w:rPr>
            </w:pPr>
            <w:r>
              <w:rPr>
                <w:rFonts w:hint="eastAsia"/>
                <w:highlight w:val="none"/>
              </w:rPr>
              <w:t xml:space="preserve">传真： </w:t>
            </w:r>
          </w:p>
        </w:tc>
        <w:tc>
          <w:tcPr>
            <w:tcW w:w="7440" w:type="dxa"/>
            <w:shd w:val="clear" w:color="auto" w:fill="auto"/>
          </w:tcPr>
          <w:p w14:paraId="1B6C67CE">
            <w:pPr>
              <w:pStyle w:val="8"/>
              <w:rPr>
                <w:highlight w:val="none"/>
              </w:rPr>
            </w:pPr>
            <w:r>
              <w:rPr>
                <w:rFonts w:hint="eastAsia"/>
                <w:highlight w:val="none"/>
              </w:rPr>
              <w:t xml:space="preserve">010-85127917 </w:t>
            </w:r>
          </w:p>
        </w:tc>
      </w:tr>
      <w:tr w14:paraId="25668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46D87">
            <w:pPr>
              <w:pStyle w:val="8"/>
              <w:rPr>
                <w:highlight w:val="none"/>
              </w:rPr>
            </w:pPr>
            <w:r>
              <w:rPr>
                <w:rFonts w:hint="eastAsia"/>
                <w:highlight w:val="none"/>
              </w:rPr>
              <w:t xml:space="preserve">客户服务电话： </w:t>
            </w:r>
          </w:p>
        </w:tc>
        <w:tc>
          <w:tcPr>
            <w:tcW w:w="7440" w:type="dxa"/>
            <w:shd w:val="clear" w:color="auto" w:fill="auto"/>
          </w:tcPr>
          <w:p w14:paraId="258DF6D5">
            <w:pPr>
              <w:pStyle w:val="8"/>
              <w:rPr>
                <w:highlight w:val="none"/>
              </w:rPr>
            </w:pPr>
            <w:r>
              <w:rPr>
                <w:rFonts w:hint="eastAsia"/>
                <w:highlight w:val="none"/>
              </w:rPr>
              <w:t xml:space="preserve">4006198888 </w:t>
            </w:r>
          </w:p>
        </w:tc>
      </w:tr>
      <w:tr w14:paraId="08DFB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2AB585">
            <w:pPr>
              <w:pStyle w:val="8"/>
              <w:rPr>
                <w:highlight w:val="none"/>
              </w:rPr>
            </w:pPr>
            <w:r>
              <w:rPr>
                <w:rFonts w:hint="eastAsia"/>
                <w:highlight w:val="none"/>
              </w:rPr>
              <w:t xml:space="preserve">网址： </w:t>
            </w:r>
          </w:p>
        </w:tc>
        <w:tc>
          <w:tcPr>
            <w:tcW w:w="7440" w:type="dxa"/>
            <w:shd w:val="clear" w:color="auto" w:fill="auto"/>
          </w:tcPr>
          <w:p w14:paraId="059ABD3F">
            <w:pPr>
              <w:pStyle w:val="8"/>
              <w:rPr>
                <w:highlight w:val="none"/>
              </w:rPr>
            </w:pPr>
            <w:r>
              <w:rPr>
                <w:rFonts w:hint="eastAsia"/>
                <w:highlight w:val="none"/>
              </w:rPr>
              <w:t xml:space="preserve">www.mszq.com </w:t>
            </w:r>
          </w:p>
        </w:tc>
      </w:tr>
    </w:tbl>
    <w:p w14:paraId="37DF3823">
      <w:pPr>
        <w:pStyle w:val="8"/>
        <w:spacing w:before="0" w:beforeAutospacing="0" w:after="0" w:afterAutospacing="0" w:line="360" w:lineRule="auto"/>
        <w:ind w:firstLine="420"/>
        <w:rPr>
          <w:sz w:val="21"/>
          <w:szCs w:val="21"/>
          <w:highlight w:val="none"/>
        </w:rPr>
      </w:pPr>
      <w:r>
        <w:rPr>
          <w:rFonts w:hint="eastAsia"/>
          <w:b/>
          <w:bCs/>
          <w:sz w:val="21"/>
          <w:szCs w:val="21"/>
          <w:highlight w:val="none"/>
        </w:rPr>
        <w:t>(15)华泰证券股份有限公司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2E53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9A2E9">
            <w:pPr>
              <w:pStyle w:val="8"/>
              <w:rPr>
                <w:highlight w:val="none"/>
              </w:rPr>
            </w:pPr>
            <w:r>
              <w:rPr>
                <w:rFonts w:hint="eastAsia"/>
                <w:highlight w:val="none"/>
              </w:rPr>
              <w:t xml:space="preserve">注册地址： </w:t>
            </w:r>
          </w:p>
        </w:tc>
        <w:tc>
          <w:tcPr>
            <w:tcW w:w="7440" w:type="dxa"/>
            <w:shd w:val="clear" w:color="auto" w:fill="auto"/>
          </w:tcPr>
          <w:p w14:paraId="0F05C1AF">
            <w:pPr>
              <w:pStyle w:val="8"/>
              <w:rPr>
                <w:highlight w:val="none"/>
              </w:rPr>
            </w:pPr>
            <w:r>
              <w:rPr>
                <w:rFonts w:hint="eastAsia"/>
                <w:highlight w:val="none"/>
              </w:rPr>
              <w:t xml:space="preserve">南京市江东中路228号 </w:t>
            </w:r>
          </w:p>
        </w:tc>
      </w:tr>
      <w:tr w14:paraId="5A12E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65E003">
            <w:pPr>
              <w:pStyle w:val="8"/>
              <w:rPr>
                <w:highlight w:val="none"/>
              </w:rPr>
            </w:pPr>
            <w:r>
              <w:rPr>
                <w:rFonts w:hint="eastAsia"/>
                <w:highlight w:val="none"/>
              </w:rPr>
              <w:t xml:space="preserve">办公地址： </w:t>
            </w:r>
          </w:p>
        </w:tc>
        <w:tc>
          <w:tcPr>
            <w:tcW w:w="7440" w:type="dxa"/>
            <w:shd w:val="clear" w:color="auto" w:fill="auto"/>
          </w:tcPr>
          <w:p w14:paraId="5A2AA5CD">
            <w:pPr>
              <w:pStyle w:val="8"/>
              <w:rPr>
                <w:highlight w:val="none"/>
              </w:rPr>
            </w:pPr>
            <w:r>
              <w:rPr>
                <w:rFonts w:hint="eastAsia"/>
                <w:highlight w:val="none"/>
              </w:rPr>
              <w:t xml:space="preserve">南京市建邺区江东中路228号华泰证券广场、深圳市福田区益田路5999号基金大厦 </w:t>
            </w:r>
          </w:p>
        </w:tc>
      </w:tr>
      <w:tr w14:paraId="4EEC9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5511F">
            <w:pPr>
              <w:pStyle w:val="8"/>
              <w:rPr>
                <w:highlight w:val="none"/>
              </w:rPr>
            </w:pPr>
            <w:r>
              <w:rPr>
                <w:rFonts w:hint="eastAsia"/>
                <w:highlight w:val="none"/>
              </w:rPr>
              <w:t xml:space="preserve">法定代表人： </w:t>
            </w:r>
          </w:p>
        </w:tc>
        <w:tc>
          <w:tcPr>
            <w:tcW w:w="7440" w:type="dxa"/>
            <w:shd w:val="clear" w:color="auto" w:fill="auto"/>
          </w:tcPr>
          <w:p w14:paraId="36424BEB">
            <w:pPr>
              <w:pStyle w:val="8"/>
              <w:rPr>
                <w:highlight w:val="none"/>
              </w:rPr>
            </w:pPr>
            <w:r>
              <w:rPr>
                <w:rFonts w:hint="eastAsia"/>
                <w:highlight w:val="none"/>
              </w:rPr>
              <w:t xml:space="preserve">张伟 </w:t>
            </w:r>
          </w:p>
        </w:tc>
      </w:tr>
      <w:tr w14:paraId="737A4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D7B4F1">
            <w:pPr>
              <w:pStyle w:val="8"/>
              <w:rPr>
                <w:highlight w:val="none"/>
              </w:rPr>
            </w:pPr>
            <w:r>
              <w:rPr>
                <w:rFonts w:hint="eastAsia"/>
                <w:highlight w:val="none"/>
              </w:rPr>
              <w:t xml:space="preserve">电话： </w:t>
            </w:r>
          </w:p>
        </w:tc>
        <w:tc>
          <w:tcPr>
            <w:tcW w:w="7440" w:type="dxa"/>
            <w:shd w:val="clear" w:color="auto" w:fill="auto"/>
          </w:tcPr>
          <w:p w14:paraId="223FD9F1">
            <w:pPr>
              <w:pStyle w:val="8"/>
              <w:rPr>
                <w:highlight w:val="none"/>
              </w:rPr>
            </w:pPr>
            <w:r>
              <w:rPr>
                <w:rFonts w:hint="eastAsia"/>
                <w:highlight w:val="none"/>
              </w:rPr>
              <w:t xml:space="preserve">0755-22660831 </w:t>
            </w:r>
          </w:p>
        </w:tc>
      </w:tr>
      <w:tr w14:paraId="20A3F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6C14E2">
            <w:pPr>
              <w:pStyle w:val="8"/>
              <w:rPr>
                <w:highlight w:val="none"/>
              </w:rPr>
            </w:pPr>
            <w:r>
              <w:rPr>
                <w:rFonts w:hint="eastAsia"/>
                <w:highlight w:val="none"/>
              </w:rPr>
              <w:t xml:space="preserve">客户服务电话： </w:t>
            </w:r>
          </w:p>
        </w:tc>
        <w:tc>
          <w:tcPr>
            <w:tcW w:w="7440" w:type="dxa"/>
            <w:shd w:val="clear" w:color="auto" w:fill="auto"/>
          </w:tcPr>
          <w:p w14:paraId="54A103B5">
            <w:pPr>
              <w:pStyle w:val="8"/>
              <w:rPr>
                <w:highlight w:val="none"/>
              </w:rPr>
            </w:pPr>
            <w:r>
              <w:rPr>
                <w:rFonts w:hint="eastAsia"/>
                <w:highlight w:val="none"/>
              </w:rPr>
              <w:t xml:space="preserve">95597 </w:t>
            </w:r>
          </w:p>
        </w:tc>
      </w:tr>
      <w:tr w14:paraId="0B678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0D7A0">
            <w:pPr>
              <w:pStyle w:val="8"/>
              <w:rPr>
                <w:highlight w:val="none"/>
              </w:rPr>
            </w:pPr>
            <w:r>
              <w:rPr>
                <w:rFonts w:hint="eastAsia"/>
                <w:highlight w:val="none"/>
              </w:rPr>
              <w:t xml:space="preserve">网址： </w:t>
            </w:r>
          </w:p>
        </w:tc>
        <w:tc>
          <w:tcPr>
            <w:tcW w:w="7440" w:type="dxa"/>
            <w:shd w:val="clear" w:color="auto" w:fill="auto"/>
          </w:tcPr>
          <w:p w14:paraId="12CCF0BC">
            <w:pPr>
              <w:pStyle w:val="8"/>
              <w:rPr>
                <w:highlight w:val="none"/>
              </w:rPr>
            </w:pPr>
            <w:r>
              <w:rPr>
                <w:rFonts w:hint="eastAsia"/>
                <w:highlight w:val="none"/>
              </w:rPr>
              <w:t xml:space="preserve">http://www.htsc.com.cn/ </w:t>
            </w:r>
          </w:p>
        </w:tc>
      </w:tr>
    </w:tbl>
    <w:p w14:paraId="23FF15E7">
      <w:pPr>
        <w:pStyle w:val="8"/>
        <w:spacing w:before="0" w:beforeAutospacing="0" w:after="0" w:afterAutospacing="0" w:line="360" w:lineRule="auto"/>
        <w:ind w:firstLine="420"/>
        <w:rPr>
          <w:sz w:val="21"/>
          <w:szCs w:val="21"/>
          <w:highlight w:val="none"/>
        </w:rPr>
      </w:pPr>
      <w:r>
        <w:rPr>
          <w:rFonts w:hint="eastAsia"/>
          <w:b/>
          <w:bCs/>
          <w:sz w:val="21"/>
          <w:szCs w:val="21"/>
          <w:highlight w:val="none"/>
        </w:rPr>
        <w:t>(16)山西证券股份有限公司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E47B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7BAE0">
            <w:pPr>
              <w:pStyle w:val="8"/>
              <w:rPr>
                <w:highlight w:val="none"/>
              </w:rPr>
            </w:pPr>
            <w:r>
              <w:rPr>
                <w:rFonts w:hint="eastAsia"/>
                <w:highlight w:val="none"/>
              </w:rPr>
              <w:t xml:space="preserve">注册地址： </w:t>
            </w:r>
          </w:p>
        </w:tc>
        <w:tc>
          <w:tcPr>
            <w:tcW w:w="7440" w:type="dxa"/>
            <w:shd w:val="clear" w:color="auto" w:fill="auto"/>
          </w:tcPr>
          <w:p w14:paraId="78182AD4">
            <w:pPr>
              <w:pStyle w:val="8"/>
              <w:rPr>
                <w:highlight w:val="none"/>
              </w:rPr>
            </w:pPr>
            <w:r>
              <w:rPr>
                <w:rFonts w:hint="eastAsia"/>
                <w:highlight w:val="none"/>
              </w:rPr>
              <w:t xml:space="preserve">太原市府西街69号山西国际贸易中心东塔楼 </w:t>
            </w:r>
          </w:p>
        </w:tc>
      </w:tr>
      <w:tr w14:paraId="7F55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90564">
            <w:pPr>
              <w:pStyle w:val="8"/>
              <w:rPr>
                <w:highlight w:val="none"/>
              </w:rPr>
            </w:pPr>
            <w:r>
              <w:rPr>
                <w:rFonts w:hint="eastAsia"/>
                <w:highlight w:val="none"/>
              </w:rPr>
              <w:t xml:space="preserve">办公地址： </w:t>
            </w:r>
          </w:p>
        </w:tc>
        <w:tc>
          <w:tcPr>
            <w:tcW w:w="7440" w:type="dxa"/>
            <w:shd w:val="clear" w:color="auto" w:fill="auto"/>
          </w:tcPr>
          <w:p w14:paraId="36C7F234">
            <w:pPr>
              <w:pStyle w:val="8"/>
              <w:rPr>
                <w:highlight w:val="none"/>
              </w:rPr>
            </w:pPr>
            <w:r>
              <w:rPr>
                <w:rFonts w:hint="eastAsia"/>
                <w:highlight w:val="none"/>
              </w:rPr>
              <w:t xml:space="preserve">太原市府西街69号山西国际贸易中心东塔楼 </w:t>
            </w:r>
          </w:p>
        </w:tc>
      </w:tr>
      <w:tr w14:paraId="33DFA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8DF56">
            <w:pPr>
              <w:pStyle w:val="8"/>
              <w:rPr>
                <w:highlight w:val="none"/>
              </w:rPr>
            </w:pPr>
            <w:r>
              <w:rPr>
                <w:rFonts w:hint="eastAsia"/>
                <w:highlight w:val="none"/>
              </w:rPr>
              <w:t xml:space="preserve">法定代表人： </w:t>
            </w:r>
          </w:p>
        </w:tc>
        <w:tc>
          <w:tcPr>
            <w:tcW w:w="7440" w:type="dxa"/>
            <w:shd w:val="clear" w:color="auto" w:fill="auto"/>
          </w:tcPr>
          <w:p w14:paraId="4F8A48B2">
            <w:pPr>
              <w:pStyle w:val="8"/>
              <w:rPr>
                <w:highlight w:val="none"/>
              </w:rPr>
            </w:pPr>
            <w:r>
              <w:rPr>
                <w:rFonts w:hint="eastAsia"/>
                <w:highlight w:val="none"/>
              </w:rPr>
              <w:t xml:space="preserve">王怡里 </w:t>
            </w:r>
          </w:p>
        </w:tc>
      </w:tr>
      <w:tr w14:paraId="55409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9EFF2B">
            <w:pPr>
              <w:pStyle w:val="8"/>
              <w:rPr>
                <w:highlight w:val="none"/>
              </w:rPr>
            </w:pPr>
            <w:r>
              <w:rPr>
                <w:rFonts w:hint="eastAsia"/>
                <w:highlight w:val="none"/>
              </w:rPr>
              <w:t xml:space="preserve">电话： </w:t>
            </w:r>
          </w:p>
        </w:tc>
        <w:tc>
          <w:tcPr>
            <w:tcW w:w="7440" w:type="dxa"/>
            <w:shd w:val="clear" w:color="auto" w:fill="auto"/>
          </w:tcPr>
          <w:p w14:paraId="676A695D">
            <w:pPr>
              <w:pStyle w:val="8"/>
              <w:rPr>
                <w:highlight w:val="none"/>
              </w:rPr>
            </w:pPr>
            <w:r>
              <w:rPr>
                <w:rFonts w:hint="eastAsia"/>
                <w:highlight w:val="none"/>
              </w:rPr>
              <w:t xml:space="preserve">0351－8686659 </w:t>
            </w:r>
          </w:p>
        </w:tc>
      </w:tr>
      <w:tr w14:paraId="4D2ED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3BBFF">
            <w:pPr>
              <w:pStyle w:val="8"/>
              <w:rPr>
                <w:highlight w:val="none"/>
              </w:rPr>
            </w:pPr>
            <w:r>
              <w:rPr>
                <w:rFonts w:hint="eastAsia"/>
                <w:highlight w:val="none"/>
              </w:rPr>
              <w:t xml:space="preserve">传真： </w:t>
            </w:r>
          </w:p>
        </w:tc>
        <w:tc>
          <w:tcPr>
            <w:tcW w:w="7440" w:type="dxa"/>
            <w:shd w:val="clear" w:color="auto" w:fill="auto"/>
          </w:tcPr>
          <w:p w14:paraId="78F2234F">
            <w:pPr>
              <w:pStyle w:val="8"/>
              <w:rPr>
                <w:highlight w:val="none"/>
              </w:rPr>
            </w:pPr>
            <w:r>
              <w:rPr>
                <w:rFonts w:hint="eastAsia"/>
                <w:highlight w:val="none"/>
              </w:rPr>
              <w:t xml:space="preserve">0351－8686619 </w:t>
            </w:r>
          </w:p>
        </w:tc>
      </w:tr>
      <w:tr w14:paraId="4B677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BE40E">
            <w:pPr>
              <w:pStyle w:val="8"/>
              <w:rPr>
                <w:highlight w:val="none"/>
              </w:rPr>
            </w:pPr>
            <w:r>
              <w:rPr>
                <w:rFonts w:hint="eastAsia"/>
                <w:highlight w:val="none"/>
              </w:rPr>
              <w:t xml:space="preserve">客户服务电话： </w:t>
            </w:r>
          </w:p>
        </w:tc>
        <w:tc>
          <w:tcPr>
            <w:tcW w:w="7440" w:type="dxa"/>
            <w:shd w:val="clear" w:color="auto" w:fill="auto"/>
          </w:tcPr>
          <w:p w14:paraId="4E7FCA92">
            <w:pPr>
              <w:pStyle w:val="8"/>
              <w:rPr>
                <w:highlight w:val="none"/>
              </w:rPr>
            </w:pPr>
            <w:r>
              <w:rPr>
                <w:rFonts w:hint="eastAsia"/>
                <w:highlight w:val="none"/>
              </w:rPr>
              <w:t xml:space="preserve">4006661618 </w:t>
            </w:r>
          </w:p>
        </w:tc>
      </w:tr>
      <w:tr w14:paraId="1AD63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52D855">
            <w:pPr>
              <w:pStyle w:val="8"/>
              <w:rPr>
                <w:highlight w:val="none"/>
              </w:rPr>
            </w:pPr>
            <w:r>
              <w:rPr>
                <w:rFonts w:hint="eastAsia"/>
                <w:highlight w:val="none"/>
              </w:rPr>
              <w:t xml:space="preserve">网址： </w:t>
            </w:r>
          </w:p>
        </w:tc>
        <w:tc>
          <w:tcPr>
            <w:tcW w:w="7440" w:type="dxa"/>
            <w:shd w:val="clear" w:color="auto" w:fill="auto"/>
          </w:tcPr>
          <w:p w14:paraId="5B3EEF23">
            <w:pPr>
              <w:pStyle w:val="8"/>
              <w:rPr>
                <w:highlight w:val="none"/>
              </w:rPr>
            </w:pPr>
            <w:r>
              <w:rPr>
                <w:rFonts w:hint="eastAsia"/>
                <w:highlight w:val="none"/>
              </w:rPr>
              <w:t xml:space="preserve">http://www.i618.com.cn/ </w:t>
            </w:r>
          </w:p>
        </w:tc>
      </w:tr>
    </w:tbl>
    <w:p w14:paraId="64055770">
      <w:pPr>
        <w:pStyle w:val="8"/>
        <w:spacing w:before="0" w:beforeAutospacing="0" w:after="0" w:afterAutospacing="0" w:line="360" w:lineRule="auto"/>
        <w:ind w:firstLine="420"/>
        <w:rPr>
          <w:sz w:val="21"/>
          <w:szCs w:val="21"/>
          <w:highlight w:val="none"/>
        </w:rPr>
      </w:pPr>
      <w:r>
        <w:rPr>
          <w:rFonts w:hint="eastAsia"/>
          <w:b/>
          <w:bCs/>
          <w:sz w:val="21"/>
          <w:szCs w:val="21"/>
          <w:highlight w:val="none"/>
        </w:rPr>
        <w:t>(17)中信证券（山东）有限责任公司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7"/>
        <w:gridCol w:w="5956"/>
      </w:tblGrid>
      <w:tr w14:paraId="2E9D0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43D4E2">
            <w:pPr>
              <w:pStyle w:val="8"/>
              <w:rPr>
                <w:highlight w:val="none"/>
              </w:rPr>
            </w:pPr>
            <w:r>
              <w:rPr>
                <w:rFonts w:hint="eastAsia"/>
                <w:highlight w:val="none"/>
              </w:rPr>
              <w:t xml:space="preserve">注册地址： </w:t>
            </w:r>
          </w:p>
        </w:tc>
        <w:tc>
          <w:tcPr>
            <w:tcW w:w="7440" w:type="dxa"/>
            <w:shd w:val="clear" w:color="auto" w:fill="auto"/>
          </w:tcPr>
          <w:p w14:paraId="53F26A24">
            <w:pPr>
              <w:pStyle w:val="8"/>
              <w:rPr>
                <w:highlight w:val="none"/>
              </w:rPr>
            </w:pPr>
            <w:r>
              <w:rPr>
                <w:rFonts w:hint="eastAsia"/>
                <w:highlight w:val="none"/>
              </w:rPr>
              <w:t xml:space="preserve">青岛市崂山区深圳路222号1号楼2001 </w:t>
            </w:r>
          </w:p>
        </w:tc>
      </w:tr>
      <w:tr w14:paraId="04492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4013E">
            <w:pPr>
              <w:pStyle w:val="8"/>
              <w:rPr>
                <w:highlight w:val="none"/>
              </w:rPr>
            </w:pPr>
            <w:r>
              <w:rPr>
                <w:rFonts w:hint="eastAsia"/>
                <w:highlight w:val="none"/>
              </w:rPr>
              <w:t xml:space="preserve">办公地址： </w:t>
            </w:r>
          </w:p>
        </w:tc>
        <w:tc>
          <w:tcPr>
            <w:tcW w:w="7440" w:type="dxa"/>
            <w:shd w:val="clear" w:color="auto" w:fill="auto"/>
          </w:tcPr>
          <w:p w14:paraId="69FADC8B">
            <w:pPr>
              <w:pStyle w:val="8"/>
              <w:rPr>
                <w:highlight w:val="none"/>
              </w:rPr>
            </w:pPr>
            <w:r>
              <w:rPr>
                <w:rFonts w:hint="eastAsia"/>
                <w:highlight w:val="none"/>
              </w:rPr>
              <w:t xml:space="preserve">青岛市市南区东海西路28号龙翔广场东座5层 </w:t>
            </w:r>
          </w:p>
        </w:tc>
      </w:tr>
      <w:tr w14:paraId="0236B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9BCDCA">
            <w:pPr>
              <w:pStyle w:val="8"/>
              <w:rPr>
                <w:highlight w:val="none"/>
              </w:rPr>
            </w:pPr>
            <w:r>
              <w:rPr>
                <w:rFonts w:hint="eastAsia"/>
                <w:highlight w:val="none"/>
              </w:rPr>
              <w:t xml:space="preserve">法定代表人： </w:t>
            </w:r>
          </w:p>
        </w:tc>
        <w:tc>
          <w:tcPr>
            <w:tcW w:w="7440" w:type="dxa"/>
            <w:shd w:val="clear" w:color="auto" w:fill="auto"/>
          </w:tcPr>
          <w:p w14:paraId="233BBBDB">
            <w:pPr>
              <w:pStyle w:val="8"/>
              <w:rPr>
                <w:highlight w:val="none"/>
              </w:rPr>
            </w:pPr>
            <w:r>
              <w:rPr>
                <w:rFonts w:hint="eastAsia"/>
                <w:highlight w:val="none"/>
              </w:rPr>
              <w:t xml:space="preserve">肖海峰 </w:t>
            </w:r>
          </w:p>
        </w:tc>
      </w:tr>
      <w:tr w14:paraId="0C01A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989D8">
            <w:pPr>
              <w:pStyle w:val="8"/>
              <w:rPr>
                <w:highlight w:val="none"/>
              </w:rPr>
            </w:pPr>
            <w:r>
              <w:rPr>
                <w:rFonts w:hint="eastAsia"/>
                <w:highlight w:val="none"/>
              </w:rPr>
              <w:t xml:space="preserve">联系人： </w:t>
            </w:r>
          </w:p>
        </w:tc>
        <w:tc>
          <w:tcPr>
            <w:tcW w:w="7440" w:type="dxa"/>
            <w:shd w:val="clear" w:color="auto" w:fill="auto"/>
          </w:tcPr>
          <w:p w14:paraId="6A4F9DB5">
            <w:pPr>
              <w:pStyle w:val="8"/>
              <w:rPr>
                <w:highlight w:val="none"/>
              </w:rPr>
            </w:pPr>
            <w:r>
              <w:rPr>
                <w:rFonts w:hint="eastAsia"/>
                <w:highlight w:val="none"/>
              </w:rPr>
              <w:t xml:space="preserve">赵如意 </w:t>
            </w:r>
          </w:p>
        </w:tc>
      </w:tr>
      <w:tr w14:paraId="28BA0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89F331">
            <w:pPr>
              <w:pStyle w:val="8"/>
              <w:rPr>
                <w:highlight w:val="none"/>
              </w:rPr>
            </w:pPr>
            <w:r>
              <w:rPr>
                <w:rFonts w:hint="eastAsia"/>
                <w:highlight w:val="none"/>
              </w:rPr>
              <w:t xml:space="preserve">电话： </w:t>
            </w:r>
          </w:p>
        </w:tc>
        <w:tc>
          <w:tcPr>
            <w:tcW w:w="7440" w:type="dxa"/>
            <w:shd w:val="clear" w:color="auto" w:fill="auto"/>
          </w:tcPr>
          <w:p w14:paraId="380CC1A3">
            <w:pPr>
              <w:pStyle w:val="8"/>
              <w:rPr>
                <w:highlight w:val="none"/>
              </w:rPr>
            </w:pPr>
            <w:r>
              <w:rPr>
                <w:rFonts w:hint="eastAsia"/>
                <w:highlight w:val="none"/>
              </w:rPr>
              <w:t xml:space="preserve">0532-85725062 </w:t>
            </w:r>
          </w:p>
        </w:tc>
      </w:tr>
      <w:tr w14:paraId="2E8F0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38948">
            <w:pPr>
              <w:pStyle w:val="8"/>
              <w:rPr>
                <w:highlight w:val="none"/>
              </w:rPr>
            </w:pPr>
            <w:r>
              <w:rPr>
                <w:rFonts w:hint="eastAsia"/>
                <w:highlight w:val="none"/>
              </w:rPr>
              <w:t xml:space="preserve">客户服务电话： </w:t>
            </w:r>
          </w:p>
        </w:tc>
        <w:tc>
          <w:tcPr>
            <w:tcW w:w="7440" w:type="dxa"/>
            <w:shd w:val="clear" w:color="auto" w:fill="auto"/>
          </w:tcPr>
          <w:p w14:paraId="4EB1C000">
            <w:pPr>
              <w:pStyle w:val="8"/>
              <w:rPr>
                <w:highlight w:val="none"/>
              </w:rPr>
            </w:pPr>
            <w:r>
              <w:rPr>
                <w:rFonts w:hint="eastAsia"/>
                <w:highlight w:val="none"/>
              </w:rPr>
              <w:t xml:space="preserve">95548 </w:t>
            </w:r>
          </w:p>
        </w:tc>
      </w:tr>
      <w:tr w14:paraId="3BB7B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C41DD">
            <w:pPr>
              <w:pStyle w:val="8"/>
              <w:rPr>
                <w:highlight w:val="none"/>
              </w:rPr>
            </w:pPr>
            <w:r>
              <w:rPr>
                <w:rFonts w:hint="eastAsia"/>
                <w:highlight w:val="none"/>
              </w:rPr>
              <w:t xml:space="preserve">网址： </w:t>
            </w:r>
          </w:p>
        </w:tc>
        <w:tc>
          <w:tcPr>
            <w:tcW w:w="7440" w:type="dxa"/>
            <w:shd w:val="clear" w:color="auto" w:fill="auto"/>
          </w:tcPr>
          <w:p w14:paraId="4D9BCBA5">
            <w:pPr>
              <w:pStyle w:val="8"/>
              <w:rPr>
                <w:highlight w:val="none"/>
              </w:rPr>
            </w:pPr>
            <w:r>
              <w:rPr>
                <w:rFonts w:hint="eastAsia"/>
                <w:highlight w:val="none"/>
              </w:rPr>
              <w:t xml:space="preserve">sd.citics.com </w:t>
            </w:r>
          </w:p>
        </w:tc>
      </w:tr>
    </w:tbl>
    <w:p w14:paraId="6ED36FE3">
      <w:pPr>
        <w:pStyle w:val="8"/>
        <w:spacing w:before="0" w:beforeAutospacing="0" w:after="0" w:afterAutospacing="0" w:line="360" w:lineRule="auto"/>
        <w:ind w:firstLine="420"/>
        <w:rPr>
          <w:sz w:val="21"/>
          <w:szCs w:val="21"/>
          <w:highlight w:val="none"/>
        </w:rPr>
      </w:pPr>
      <w:r>
        <w:rPr>
          <w:rFonts w:hint="eastAsia"/>
          <w:b/>
          <w:bCs/>
          <w:sz w:val="21"/>
          <w:szCs w:val="21"/>
          <w:highlight w:val="none"/>
        </w:rPr>
        <w:t>(18)东兴证券股份有限公司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2411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CADF4D">
            <w:pPr>
              <w:pStyle w:val="8"/>
              <w:rPr>
                <w:highlight w:val="none"/>
              </w:rPr>
            </w:pPr>
            <w:r>
              <w:rPr>
                <w:rFonts w:hint="eastAsia"/>
                <w:highlight w:val="none"/>
              </w:rPr>
              <w:t xml:space="preserve">注册地址： </w:t>
            </w:r>
          </w:p>
        </w:tc>
        <w:tc>
          <w:tcPr>
            <w:tcW w:w="7440" w:type="dxa"/>
            <w:shd w:val="clear" w:color="auto" w:fill="auto"/>
          </w:tcPr>
          <w:p w14:paraId="44B686E2">
            <w:pPr>
              <w:pStyle w:val="8"/>
              <w:rPr>
                <w:highlight w:val="none"/>
              </w:rPr>
            </w:pPr>
            <w:r>
              <w:rPr>
                <w:rFonts w:hint="eastAsia"/>
                <w:highlight w:val="none"/>
              </w:rPr>
              <w:t xml:space="preserve">北京市西城区金融大街5号（新盛大厦）12、15层 </w:t>
            </w:r>
          </w:p>
        </w:tc>
      </w:tr>
      <w:tr w14:paraId="42CB0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371AD">
            <w:pPr>
              <w:pStyle w:val="8"/>
              <w:rPr>
                <w:highlight w:val="none"/>
              </w:rPr>
            </w:pPr>
            <w:r>
              <w:rPr>
                <w:rFonts w:hint="eastAsia"/>
                <w:highlight w:val="none"/>
              </w:rPr>
              <w:t xml:space="preserve">办公地址： </w:t>
            </w:r>
          </w:p>
        </w:tc>
        <w:tc>
          <w:tcPr>
            <w:tcW w:w="7440" w:type="dxa"/>
            <w:shd w:val="clear" w:color="auto" w:fill="auto"/>
          </w:tcPr>
          <w:p w14:paraId="36D1EA3B">
            <w:pPr>
              <w:pStyle w:val="8"/>
              <w:rPr>
                <w:highlight w:val="none"/>
              </w:rPr>
            </w:pPr>
            <w:r>
              <w:rPr>
                <w:rFonts w:hint="eastAsia"/>
                <w:highlight w:val="none"/>
              </w:rPr>
              <w:t xml:space="preserve">北京市西城区金融大街5号新盛大厦B座12-15层 </w:t>
            </w:r>
          </w:p>
        </w:tc>
      </w:tr>
      <w:tr w14:paraId="70524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5529F3">
            <w:pPr>
              <w:pStyle w:val="8"/>
              <w:rPr>
                <w:highlight w:val="none"/>
              </w:rPr>
            </w:pPr>
            <w:r>
              <w:rPr>
                <w:rFonts w:hint="eastAsia"/>
                <w:highlight w:val="none"/>
              </w:rPr>
              <w:t xml:space="preserve">法定代表人： </w:t>
            </w:r>
          </w:p>
        </w:tc>
        <w:tc>
          <w:tcPr>
            <w:tcW w:w="7440" w:type="dxa"/>
            <w:shd w:val="clear" w:color="auto" w:fill="auto"/>
          </w:tcPr>
          <w:p w14:paraId="5BA01298">
            <w:pPr>
              <w:pStyle w:val="8"/>
              <w:rPr>
                <w:highlight w:val="none"/>
              </w:rPr>
            </w:pPr>
            <w:r>
              <w:rPr>
                <w:rFonts w:hint="eastAsia"/>
                <w:highlight w:val="none"/>
              </w:rPr>
              <w:t xml:space="preserve">魏庆华 </w:t>
            </w:r>
          </w:p>
        </w:tc>
      </w:tr>
      <w:tr w14:paraId="469A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DFDA1">
            <w:pPr>
              <w:pStyle w:val="8"/>
              <w:rPr>
                <w:highlight w:val="none"/>
              </w:rPr>
            </w:pPr>
            <w:r>
              <w:rPr>
                <w:rFonts w:hint="eastAsia"/>
                <w:highlight w:val="none"/>
              </w:rPr>
              <w:t xml:space="preserve">联系人： </w:t>
            </w:r>
          </w:p>
        </w:tc>
        <w:tc>
          <w:tcPr>
            <w:tcW w:w="7440" w:type="dxa"/>
            <w:shd w:val="clear" w:color="auto" w:fill="auto"/>
          </w:tcPr>
          <w:p w14:paraId="23A49392">
            <w:pPr>
              <w:pStyle w:val="8"/>
              <w:rPr>
                <w:highlight w:val="none"/>
              </w:rPr>
            </w:pPr>
            <w:r>
              <w:rPr>
                <w:rFonts w:hint="eastAsia"/>
                <w:highlight w:val="none"/>
              </w:rPr>
              <w:t xml:space="preserve">郑旷怡 </w:t>
            </w:r>
          </w:p>
        </w:tc>
      </w:tr>
      <w:tr w14:paraId="703E8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0B59EC">
            <w:pPr>
              <w:pStyle w:val="8"/>
              <w:rPr>
                <w:highlight w:val="none"/>
              </w:rPr>
            </w:pPr>
            <w:r>
              <w:rPr>
                <w:rFonts w:hint="eastAsia"/>
                <w:highlight w:val="none"/>
              </w:rPr>
              <w:t xml:space="preserve">电话： </w:t>
            </w:r>
          </w:p>
        </w:tc>
        <w:tc>
          <w:tcPr>
            <w:tcW w:w="7440" w:type="dxa"/>
            <w:shd w:val="clear" w:color="auto" w:fill="auto"/>
          </w:tcPr>
          <w:p w14:paraId="07054B1F">
            <w:pPr>
              <w:pStyle w:val="8"/>
              <w:rPr>
                <w:highlight w:val="none"/>
              </w:rPr>
            </w:pPr>
            <w:r>
              <w:rPr>
                <w:rFonts w:hint="eastAsia"/>
                <w:highlight w:val="none"/>
              </w:rPr>
              <w:t xml:space="preserve">010-66559039 </w:t>
            </w:r>
          </w:p>
        </w:tc>
      </w:tr>
      <w:tr w14:paraId="30E0A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A4F78">
            <w:pPr>
              <w:pStyle w:val="8"/>
              <w:rPr>
                <w:highlight w:val="none"/>
              </w:rPr>
            </w:pPr>
            <w:r>
              <w:rPr>
                <w:rFonts w:hint="eastAsia"/>
                <w:highlight w:val="none"/>
              </w:rPr>
              <w:t xml:space="preserve">传真： </w:t>
            </w:r>
          </w:p>
        </w:tc>
        <w:tc>
          <w:tcPr>
            <w:tcW w:w="7440" w:type="dxa"/>
            <w:shd w:val="clear" w:color="auto" w:fill="auto"/>
          </w:tcPr>
          <w:p w14:paraId="69E442BF">
            <w:pPr>
              <w:pStyle w:val="8"/>
              <w:rPr>
                <w:highlight w:val="none"/>
              </w:rPr>
            </w:pPr>
            <w:r>
              <w:rPr>
                <w:rFonts w:hint="eastAsia"/>
                <w:highlight w:val="none"/>
              </w:rPr>
              <w:t xml:space="preserve">010-66555133 </w:t>
            </w:r>
          </w:p>
        </w:tc>
      </w:tr>
      <w:tr w14:paraId="7CDBF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32764A">
            <w:pPr>
              <w:pStyle w:val="8"/>
              <w:rPr>
                <w:highlight w:val="none"/>
              </w:rPr>
            </w:pPr>
            <w:r>
              <w:rPr>
                <w:rFonts w:hint="eastAsia"/>
                <w:highlight w:val="none"/>
              </w:rPr>
              <w:t xml:space="preserve">客户服务电话： </w:t>
            </w:r>
          </w:p>
        </w:tc>
        <w:tc>
          <w:tcPr>
            <w:tcW w:w="7440" w:type="dxa"/>
            <w:shd w:val="clear" w:color="auto" w:fill="auto"/>
          </w:tcPr>
          <w:p w14:paraId="5C5749E4">
            <w:pPr>
              <w:pStyle w:val="8"/>
              <w:rPr>
                <w:highlight w:val="none"/>
              </w:rPr>
            </w:pPr>
            <w:r>
              <w:rPr>
                <w:rFonts w:hint="eastAsia"/>
                <w:highlight w:val="none"/>
              </w:rPr>
              <w:t xml:space="preserve">95309 </w:t>
            </w:r>
          </w:p>
        </w:tc>
      </w:tr>
      <w:tr w14:paraId="45ABF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DDA96F">
            <w:pPr>
              <w:pStyle w:val="8"/>
              <w:rPr>
                <w:highlight w:val="none"/>
              </w:rPr>
            </w:pPr>
            <w:r>
              <w:rPr>
                <w:rFonts w:hint="eastAsia"/>
                <w:highlight w:val="none"/>
              </w:rPr>
              <w:t xml:space="preserve">网址： </w:t>
            </w:r>
          </w:p>
        </w:tc>
        <w:tc>
          <w:tcPr>
            <w:tcW w:w="7440" w:type="dxa"/>
            <w:shd w:val="clear" w:color="auto" w:fill="auto"/>
          </w:tcPr>
          <w:p w14:paraId="3A1D1704">
            <w:pPr>
              <w:pStyle w:val="8"/>
              <w:rPr>
                <w:highlight w:val="none"/>
              </w:rPr>
            </w:pPr>
            <w:r>
              <w:rPr>
                <w:rFonts w:hint="eastAsia"/>
                <w:highlight w:val="none"/>
              </w:rPr>
              <w:t xml:space="preserve">http://www.dxzq.net </w:t>
            </w:r>
          </w:p>
        </w:tc>
      </w:tr>
    </w:tbl>
    <w:p w14:paraId="2D859CA1">
      <w:pPr>
        <w:pStyle w:val="8"/>
        <w:spacing w:before="0" w:beforeAutospacing="0" w:after="0" w:afterAutospacing="0" w:line="360" w:lineRule="auto"/>
        <w:ind w:firstLine="420"/>
        <w:rPr>
          <w:sz w:val="21"/>
          <w:szCs w:val="21"/>
          <w:highlight w:val="none"/>
        </w:rPr>
      </w:pPr>
      <w:r>
        <w:rPr>
          <w:rFonts w:hint="eastAsia"/>
          <w:b/>
          <w:bCs/>
          <w:sz w:val="21"/>
          <w:szCs w:val="21"/>
          <w:highlight w:val="none"/>
        </w:rPr>
        <w:t>(19)东吴证券股份有限公司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6B209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AEDD00">
            <w:pPr>
              <w:pStyle w:val="8"/>
              <w:rPr>
                <w:highlight w:val="none"/>
              </w:rPr>
            </w:pPr>
            <w:r>
              <w:rPr>
                <w:rFonts w:hint="eastAsia"/>
                <w:highlight w:val="none"/>
              </w:rPr>
              <w:t xml:space="preserve">注册地址： </w:t>
            </w:r>
          </w:p>
        </w:tc>
        <w:tc>
          <w:tcPr>
            <w:tcW w:w="7440" w:type="dxa"/>
            <w:shd w:val="clear" w:color="auto" w:fill="auto"/>
          </w:tcPr>
          <w:p w14:paraId="0AAA6514">
            <w:pPr>
              <w:pStyle w:val="8"/>
              <w:rPr>
                <w:highlight w:val="none"/>
              </w:rPr>
            </w:pPr>
            <w:r>
              <w:rPr>
                <w:rFonts w:hint="eastAsia"/>
                <w:highlight w:val="none"/>
              </w:rPr>
              <w:t xml:space="preserve">江苏省苏州市翠园路181号 </w:t>
            </w:r>
          </w:p>
        </w:tc>
      </w:tr>
      <w:tr w14:paraId="256B0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093BE6">
            <w:pPr>
              <w:pStyle w:val="8"/>
              <w:rPr>
                <w:highlight w:val="none"/>
              </w:rPr>
            </w:pPr>
            <w:r>
              <w:rPr>
                <w:rFonts w:hint="eastAsia"/>
                <w:highlight w:val="none"/>
              </w:rPr>
              <w:t xml:space="preserve">办公地址： </w:t>
            </w:r>
          </w:p>
        </w:tc>
        <w:tc>
          <w:tcPr>
            <w:tcW w:w="7440" w:type="dxa"/>
            <w:shd w:val="clear" w:color="auto" w:fill="auto"/>
          </w:tcPr>
          <w:p w14:paraId="1F7C22B6">
            <w:pPr>
              <w:pStyle w:val="8"/>
              <w:rPr>
                <w:highlight w:val="none"/>
              </w:rPr>
            </w:pPr>
            <w:r>
              <w:rPr>
                <w:rFonts w:hint="eastAsia"/>
                <w:highlight w:val="none"/>
              </w:rPr>
              <w:t xml:space="preserve">江苏省苏州市星阳街5号 </w:t>
            </w:r>
          </w:p>
        </w:tc>
      </w:tr>
      <w:tr w14:paraId="1F079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90B1AD">
            <w:pPr>
              <w:pStyle w:val="8"/>
              <w:rPr>
                <w:highlight w:val="none"/>
              </w:rPr>
            </w:pPr>
            <w:r>
              <w:rPr>
                <w:rFonts w:hint="eastAsia"/>
                <w:highlight w:val="none"/>
              </w:rPr>
              <w:t xml:space="preserve">法定代表人： </w:t>
            </w:r>
          </w:p>
        </w:tc>
        <w:tc>
          <w:tcPr>
            <w:tcW w:w="7440" w:type="dxa"/>
            <w:shd w:val="clear" w:color="auto" w:fill="auto"/>
          </w:tcPr>
          <w:p w14:paraId="0F3227F0">
            <w:pPr>
              <w:pStyle w:val="8"/>
              <w:rPr>
                <w:highlight w:val="none"/>
              </w:rPr>
            </w:pPr>
            <w:r>
              <w:rPr>
                <w:rFonts w:hint="eastAsia"/>
                <w:highlight w:val="none"/>
              </w:rPr>
              <w:t xml:space="preserve">范力 </w:t>
            </w:r>
          </w:p>
        </w:tc>
      </w:tr>
      <w:tr w14:paraId="1A87A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8B257C">
            <w:pPr>
              <w:pStyle w:val="8"/>
              <w:rPr>
                <w:highlight w:val="none"/>
              </w:rPr>
            </w:pPr>
            <w:r>
              <w:rPr>
                <w:rFonts w:hint="eastAsia"/>
                <w:highlight w:val="none"/>
              </w:rPr>
              <w:t xml:space="preserve">联系人： </w:t>
            </w:r>
          </w:p>
        </w:tc>
        <w:tc>
          <w:tcPr>
            <w:tcW w:w="7440" w:type="dxa"/>
            <w:shd w:val="clear" w:color="auto" w:fill="auto"/>
          </w:tcPr>
          <w:p w14:paraId="08E3F774">
            <w:pPr>
              <w:pStyle w:val="8"/>
              <w:rPr>
                <w:highlight w:val="none"/>
              </w:rPr>
            </w:pPr>
            <w:r>
              <w:rPr>
                <w:rFonts w:hint="eastAsia"/>
                <w:highlight w:val="none"/>
              </w:rPr>
              <w:t xml:space="preserve">陆晓 </w:t>
            </w:r>
          </w:p>
        </w:tc>
      </w:tr>
      <w:tr w14:paraId="584A7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8D6CE1">
            <w:pPr>
              <w:pStyle w:val="8"/>
              <w:rPr>
                <w:highlight w:val="none"/>
              </w:rPr>
            </w:pPr>
            <w:r>
              <w:rPr>
                <w:rFonts w:hint="eastAsia"/>
                <w:highlight w:val="none"/>
              </w:rPr>
              <w:t xml:space="preserve">电话： </w:t>
            </w:r>
          </w:p>
        </w:tc>
        <w:tc>
          <w:tcPr>
            <w:tcW w:w="7440" w:type="dxa"/>
            <w:shd w:val="clear" w:color="auto" w:fill="auto"/>
          </w:tcPr>
          <w:p w14:paraId="208582D2">
            <w:pPr>
              <w:pStyle w:val="8"/>
              <w:rPr>
                <w:highlight w:val="none"/>
              </w:rPr>
            </w:pPr>
            <w:r>
              <w:rPr>
                <w:rFonts w:hint="eastAsia"/>
                <w:highlight w:val="none"/>
              </w:rPr>
              <w:t xml:space="preserve">0512-62938521 </w:t>
            </w:r>
          </w:p>
        </w:tc>
      </w:tr>
      <w:tr w14:paraId="3E1E7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2BE5D">
            <w:pPr>
              <w:pStyle w:val="8"/>
              <w:rPr>
                <w:highlight w:val="none"/>
              </w:rPr>
            </w:pPr>
            <w:r>
              <w:rPr>
                <w:rFonts w:hint="eastAsia"/>
                <w:highlight w:val="none"/>
              </w:rPr>
              <w:t xml:space="preserve">传真： </w:t>
            </w:r>
          </w:p>
        </w:tc>
        <w:tc>
          <w:tcPr>
            <w:tcW w:w="7440" w:type="dxa"/>
            <w:shd w:val="clear" w:color="auto" w:fill="auto"/>
          </w:tcPr>
          <w:p w14:paraId="7145FAC2">
            <w:pPr>
              <w:pStyle w:val="8"/>
              <w:rPr>
                <w:highlight w:val="none"/>
              </w:rPr>
            </w:pPr>
            <w:r>
              <w:rPr>
                <w:rFonts w:hint="eastAsia"/>
                <w:highlight w:val="none"/>
              </w:rPr>
              <w:t xml:space="preserve">0512－65588021 </w:t>
            </w:r>
          </w:p>
        </w:tc>
      </w:tr>
      <w:tr w14:paraId="67ABA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D53AAE">
            <w:pPr>
              <w:pStyle w:val="8"/>
              <w:rPr>
                <w:highlight w:val="none"/>
              </w:rPr>
            </w:pPr>
            <w:r>
              <w:rPr>
                <w:rFonts w:hint="eastAsia"/>
                <w:highlight w:val="none"/>
              </w:rPr>
              <w:t xml:space="preserve">客户服务电话： </w:t>
            </w:r>
          </w:p>
        </w:tc>
        <w:tc>
          <w:tcPr>
            <w:tcW w:w="7440" w:type="dxa"/>
            <w:shd w:val="clear" w:color="auto" w:fill="auto"/>
          </w:tcPr>
          <w:p w14:paraId="34DEBDF0">
            <w:pPr>
              <w:pStyle w:val="8"/>
              <w:rPr>
                <w:highlight w:val="none"/>
              </w:rPr>
            </w:pPr>
            <w:r>
              <w:rPr>
                <w:rFonts w:hint="eastAsia"/>
                <w:highlight w:val="none"/>
              </w:rPr>
              <w:t xml:space="preserve">95330 </w:t>
            </w:r>
          </w:p>
        </w:tc>
      </w:tr>
      <w:tr w14:paraId="28618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59385">
            <w:pPr>
              <w:pStyle w:val="8"/>
              <w:rPr>
                <w:highlight w:val="none"/>
              </w:rPr>
            </w:pPr>
            <w:r>
              <w:rPr>
                <w:rFonts w:hint="eastAsia"/>
                <w:highlight w:val="none"/>
              </w:rPr>
              <w:t xml:space="preserve">网址： </w:t>
            </w:r>
          </w:p>
        </w:tc>
        <w:tc>
          <w:tcPr>
            <w:tcW w:w="7440" w:type="dxa"/>
            <w:shd w:val="clear" w:color="auto" w:fill="auto"/>
          </w:tcPr>
          <w:p w14:paraId="6981BC6C">
            <w:pPr>
              <w:pStyle w:val="8"/>
              <w:rPr>
                <w:highlight w:val="none"/>
              </w:rPr>
            </w:pPr>
            <w:r>
              <w:rPr>
                <w:rFonts w:hint="eastAsia"/>
                <w:highlight w:val="none"/>
              </w:rPr>
              <w:t xml:space="preserve">https://www.dwzq.com.cn </w:t>
            </w:r>
          </w:p>
        </w:tc>
      </w:tr>
    </w:tbl>
    <w:p w14:paraId="6578B68F">
      <w:pPr>
        <w:pStyle w:val="8"/>
        <w:spacing w:before="0" w:beforeAutospacing="0" w:after="0" w:afterAutospacing="0" w:line="360" w:lineRule="auto"/>
        <w:ind w:firstLine="420"/>
        <w:rPr>
          <w:sz w:val="21"/>
          <w:szCs w:val="21"/>
          <w:highlight w:val="none"/>
        </w:rPr>
      </w:pPr>
      <w:r>
        <w:rPr>
          <w:rFonts w:hint="eastAsia"/>
          <w:b/>
          <w:bCs/>
          <w:sz w:val="21"/>
          <w:szCs w:val="21"/>
          <w:highlight w:val="none"/>
        </w:rPr>
        <w:t>(20)信达证券股份有限公司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7B8A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A682AC">
            <w:pPr>
              <w:pStyle w:val="8"/>
              <w:rPr>
                <w:highlight w:val="none"/>
              </w:rPr>
            </w:pPr>
            <w:r>
              <w:rPr>
                <w:rFonts w:hint="eastAsia"/>
                <w:highlight w:val="none"/>
              </w:rPr>
              <w:t xml:space="preserve">注册地址： </w:t>
            </w:r>
          </w:p>
        </w:tc>
        <w:tc>
          <w:tcPr>
            <w:tcW w:w="7440" w:type="dxa"/>
            <w:shd w:val="clear" w:color="auto" w:fill="auto"/>
          </w:tcPr>
          <w:p w14:paraId="4F329F13">
            <w:pPr>
              <w:pStyle w:val="8"/>
              <w:rPr>
                <w:highlight w:val="none"/>
              </w:rPr>
            </w:pPr>
            <w:r>
              <w:rPr>
                <w:rFonts w:hint="eastAsia"/>
                <w:highlight w:val="none"/>
              </w:rPr>
              <w:t xml:space="preserve">北京市西城区闹市口大街9号院1号楼 </w:t>
            </w:r>
          </w:p>
        </w:tc>
      </w:tr>
      <w:tr w14:paraId="73BE3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7D470">
            <w:pPr>
              <w:pStyle w:val="8"/>
              <w:rPr>
                <w:highlight w:val="none"/>
              </w:rPr>
            </w:pPr>
            <w:r>
              <w:rPr>
                <w:rFonts w:hint="eastAsia"/>
                <w:highlight w:val="none"/>
              </w:rPr>
              <w:t xml:space="preserve">办公地址： </w:t>
            </w:r>
          </w:p>
        </w:tc>
        <w:tc>
          <w:tcPr>
            <w:tcW w:w="7440" w:type="dxa"/>
            <w:shd w:val="clear" w:color="auto" w:fill="auto"/>
          </w:tcPr>
          <w:p w14:paraId="59946FFE">
            <w:pPr>
              <w:pStyle w:val="8"/>
              <w:rPr>
                <w:highlight w:val="none"/>
              </w:rPr>
            </w:pPr>
            <w:r>
              <w:rPr>
                <w:rFonts w:hint="eastAsia"/>
                <w:highlight w:val="none"/>
              </w:rPr>
              <w:t xml:space="preserve">北京市西城区闹市口大街9号院1号楼 </w:t>
            </w:r>
          </w:p>
        </w:tc>
      </w:tr>
      <w:tr w14:paraId="12142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77FFD9">
            <w:pPr>
              <w:pStyle w:val="8"/>
              <w:rPr>
                <w:highlight w:val="none"/>
              </w:rPr>
            </w:pPr>
            <w:r>
              <w:rPr>
                <w:rFonts w:hint="eastAsia"/>
                <w:highlight w:val="none"/>
              </w:rPr>
              <w:t xml:space="preserve">法定代表人： </w:t>
            </w:r>
          </w:p>
        </w:tc>
        <w:tc>
          <w:tcPr>
            <w:tcW w:w="7440" w:type="dxa"/>
            <w:shd w:val="clear" w:color="auto" w:fill="auto"/>
          </w:tcPr>
          <w:p w14:paraId="3A755523">
            <w:pPr>
              <w:pStyle w:val="8"/>
              <w:rPr>
                <w:highlight w:val="none"/>
              </w:rPr>
            </w:pPr>
            <w:r>
              <w:rPr>
                <w:rFonts w:hint="eastAsia"/>
                <w:highlight w:val="none"/>
              </w:rPr>
              <w:t xml:space="preserve">祝瑞敏 </w:t>
            </w:r>
          </w:p>
        </w:tc>
      </w:tr>
      <w:tr w14:paraId="3073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CA133">
            <w:pPr>
              <w:pStyle w:val="8"/>
              <w:rPr>
                <w:highlight w:val="none"/>
              </w:rPr>
            </w:pPr>
            <w:r>
              <w:rPr>
                <w:rFonts w:hint="eastAsia"/>
                <w:highlight w:val="none"/>
              </w:rPr>
              <w:t xml:space="preserve">联系人： </w:t>
            </w:r>
          </w:p>
        </w:tc>
        <w:tc>
          <w:tcPr>
            <w:tcW w:w="7440" w:type="dxa"/>
            <w:shd w:val="clear" w:color="auto" w:fill="auto"/>
          </w:tcPr>
          <w:p w14:paraId="40960543">
            <w:pPr>
              <w:pStyle w:val="8"/>
              <w:rPr>
                <w:highlight w:val="none"/>
              </w:rPr>
            </w:pPr>
            <w:r>
              <w:rPr>
                <w:rFonts w:hint="eastAsia"/>
                <w:highlight w:val="none"/>
              </w:rPr>
              <w:t xml:space="preserve">王薇安 </w:t>
            </w:r>
          </w:p>
        </w:tc>
      </w:tr>
      <w:tr w14:paraId="5E64F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C82437">
            <w:pPr>
              <w:pStyle w:val="8"/>
              <w:rPr>
                <w:highlight w:val="none"/>
              </w:rPr>
            </w:pPr>
            <w:r>
              <w:rPr>
                <w:rFonts w:hint="eastAsia"/>
                <w:highlight w:val="none"/>
              </w:rPr>
              <w:t xml:space="preserve">电话： </w:t>
            </w:r>
          </w:p>
        </w:tc>
        <w:tc>
          <w:tcPr>
            <w:tcW w:w="7440" w:type="dxa"/>
            <w:shd w:val="clear" w:color="auto" w:fill="auto"/>
          </w:tcPr>
          <w:p w14:paraId="3719C67F">
            <w:pPr>
              <w:pStyle w:val="8"/>
              <w:rPr>
                <w:highlight w:val="none"/>
              </w:rPr>
            </w:pPr>
            <w:r>
              <w:rPr>
                <w:rFonts w:hint="eastAsia"/>
                <w:highlight w:val="none"/>
              </w:rPr>
              <w:t xml:space="preserve">010－83252170 </w:t>
            </w:r>
          </w:p>
        </w:tc>
      </w:tr>
      <w:tr w14:paraId="6385B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227217">
            <w:pPr>
              <w:pStyle w:val="8"/>
              <w:rPr>
                <w:highlight w:val="none"/>
              </w:rPr>
            </w:pPr>
            <w:r>
              <w:rPr>
                <w:rFonts w:hint="eastAsia"/>
                <w:highlight w:val="none"/>
              </w:rPr>
              <w:t xml:space="preserve">传真： </w:t>
            </w:r>
          </w:p>
        </w:tc>
        <w:tc>
          <w:tcPr>
            <w:tcW w:w="7440" w:type="dxa"/>
            <w:shd w:val="clear" w:color="auto" w:fill="auto"/>
          </w:tcPr>
          <w:p w14:paraId="4C443940">
            <w:pPr>
              <w:pStyle w:val="8"/>
              <w:rPr>
                <w:highlight w:val="none"/>
              </w:rPr>
            </w:pPr>
            <w:r>
              <w:rPr>
                <w:rFonts w:hint="eastAsia"/>
                <w:highlight w:val="none"/>
              </w:rPr>
              <w:t xml:space="preserve">010－63081344 </w:t>
            </w:r>
          </w:p>
        </w:tc>
      </w:tr>
      <w:tr w14:paraId="4D9E3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DA0D23">
            <w:pPr>
              <w:pStyle w:val="8"/>
              <w:rPr>
                <w:highlight w:val="none"/>
              </w:rPr>
            </w:pPr>
            <w:r>
              <w:rPr>
                <w:rFonts w:hint="eastAsia"/>
                <w:highlight w:val="none"/>
              </w:rPr>
              <w:t xml:space="preserve">客户服务电话： </w:t>
            </w:r>
          </w:p>
        </w:tc>
        <w:tc>
          <w:tcPr>
            <w:tcW w:w="7440" w:type="dxa"/>
            <w:shd w:val="clear" w:color="auto" w:fill="auto"/>
          </w:tcPr>
          <w:p w14:paraId="36D36AF8">
            <w:pPr>
              <w:pStyle w:val="8"/>
              <w:rPr>
                <w:highlight w:val="none"/>
              </w:rPr>
            </w:pPr>
            <w:r>
              <w:rPr>
                <w:rFonts w:hint="eastAsia"/>
                <w:highlight w:val="none"/>
              </w:rPr>
              <w:t xml:space="preserve">95321 </w:t>
            </w:r>
          </w:p>
        </w:tc>
      </w:tr>
      <w:tr w14:paraId="4F9E3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E2E5E">
            <w:pPr>
              <w:pStyle w:val="8"/>
              <w:rPr>
                <w:highlight w:val="none"/>
              </w:rPr>
            </w:pPr>
            <w:r>
              <w:rPr>
                <w:rFonts w:hint="eastAsia"/>
                <w:highlight w:val="none"/>
              </w:rPr>
              <w:t xml:space="preserve">网址： </w:t>
            </w:r>
          </w:p>
        </w:tc>
        <w:tc>
          <w:tcPr>
            <w:tcW w:w="7440" w:type="dxa"/>
            <w:shd w:val="clear" w:color="auto" w:fill="auto"/>
          </w:tcPr>
          <w:p w14:paraId="60F83684">
            <w:pPr>
              <w:pStyle w:val="8"/>
              <w:rPr>
                <w:highlight w:val="none"/>
              </w:rPr>
            </w:pPr>
            <w:r>
              <w:rPr>
                <w:rFonts w:hint="eastAsia"/>
                <w:highlight w:val="none"/>
              </w:rPr>
              <w:t xml:space="preserve">http://www.cindasc.com </w:t>
            </w:r>
          </w:p>
        </w:tc>
      </w:tr>
    </w:tbl>
    <w:p w14:paraId="7D9F72A0">
      <w:pPr>
        <w:pStyle w:val="8"/>
        <w:spacing w:before="0" w:beforeAutospacing="0" w:after="0" w:afterAutospacing="0" w:line="360" w:lineRule="auto"/>
        <w:ind w:firstLine="420"/>
        <w:rPr>
          <w:sz w:val="21"/>
          <w:szCs w:val="21"/>
          <w:highlight w:val="none"/>
        </w:rPr>
      </w:pPr>
      <w:r>
        <w:rPr>
          <w:rFonts w:hint="eastAsia"/>
          <w:b/>
          <w:bCs/>
          <w:sz w:val="21"/>
          <w:szCs w:val="21"/>
          <w:highlight w:val="none"/>
        </w:rPr>
        <w:t>(21)东方证券股份有限公司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8639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0B9C52">
            <w:pPr>
              <w:pStyle w:val="8"/>
              <w:rPr>
                <w:highlight w:val="none"/>
              </w:rPr>
            </w:pPr>
            <w:r>
              <w:rPr>
                <w:rFonts w:hint="eastAsia"/>
                <w:highlight w:val="none"/>
              </w:rPr>
              <w:t xml:space="preserve">注册地址： </w:t>
            </w:r>
          </w:p>
        </w:tc>
        <w:tc>
          <w:tcPr>
            <w:tcW w:w="7440" w:type="dxa"/>
            <w:shd w:val="clear" w:color="auto" w:fill="auto"/>
          </w:tcPr>
          <w:p w14:paraId="23574980">
            <w:pPr>
              <w:pStyle w:val="8"/>
              <w:rPr>
                <w:highlight w:val="none"/>
              </w:rPr>
            </w:pPr>
            <w:r>
              <w:rPr>
                <w:rFonts w:hint="eastAsia"/>
                <w:highlight w:val="none"/>
              </w:rPr>
              <w:t xml:space="preserve">上海市中山南路318号2号楼22层－29层 </w:t>
            </w:r>
          </w:p>
        </w:tc>
      </w:tr>
      <w:tr w14:paraId="1493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2D78C3">
            <w:pPr>
              <w:pStyle w:val="8"/>
              <w:rPr>
                <w:highlight w:val="none"/>
              </w:rPr>
            </w:pPr>
            <w:r>
              <w:rPr>
                <w:rFonts w:hint="eastAsia"/>
                <w:highlight w:val="none"/>
              </w:rPr>
              <w:t xml:space="preserve">办公地址： </w:t>
            </w:r>
          </w:p>
        </w:tc>
        <w:tc>
          <w:tcPr>
            <w:tcW w:w="7440" w:type="dxa"/>
            <w:shd w:val="clear" w:color="auto" w:fill="auto"/>
          </w:tcPr>
          <w:p w14:paraId="4D0F698C">
            <w:pPr>
              <w:pStyle w:val="8"/>
              <w:rPr>
                <w:highlight w:val="none"/>
              </w:rPr>
            </w:pPr>
            <w:r>
              <w:rPr>
                <w:rFonts w:hint="eastAsia"/>
                <w:highlight w:val="none"/>
              </w:rPr>
              <w:t xml:space="preserve">上海市中山南路318号2号楼21层－29层 </w:t>
            </w:r>
          </w:p>
        </w:tc>
      </w:tr>
      <w:tr w14:paraId="6AE3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89BFB0">
            <w:pPr>
              <w:pStyle w:val="8"/>
              <w:rPr>
                <w:highlight w:val="none"/>
              </w:rPr>
            </w:pPr>
            <w:r>
              <w:rPr>
                <w:rFonts w:hint="eastAsia"/>
                <w:highlight w:val="none"/>
              </w:rPr>
              <w:t xml:space="preserve">法定代表人： </w:t>
            </w:r>
          </w:p>
        </w:tc>
        <w:tc>
          <w:tcPr>
            <w:tcW w:w="7440" w:type="dxa"/>
            <w:shd w:val="clear" w:color="auto" w:fill="auto"/>
          </w:tcPr>
          <w:p w14:paraId="78CBD3F0">
            <w:pPr>
              <w:pStyle w:val="8"/>
              <w:rPr>
                <w:highlight w:val="none"/>
              </w:rPr>
            </w:pPr>
            <w:r>
              <w:rPr>
                <w:rFonts w:hint="eastAsia"/>
                <w:highlight w:val="none"/>
              </w:rPr>
              <w:t xml:space="preserve">金文忠 </w:t>
            </w:r>
          </w:p>
        </w:tc>
      </w:tr>
      <w:tr w14:paraId="77A7E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7CE089">
            <w:pPr>
              <w:pStyle w:val="8"/>
              <w:rPr>
                <w:highlight w:val="none"/>
              </w:rPr>
            </w:pPr>
            <w:r>
              <w:rPr>
                <w:rFonts w:hint="eastAsia"/>
                <w:highlight w:val="none"/>
              </w:rPr>
              <w:t xml:space="preserve">联系人： </w:t>
            </w:r>
          </w:p>
        </w:tc>
        <w:tc>
          <w:tcPr>
            <w:tcW w:w="7440" w:type="dxa"/>
            <w:shd w:val="clear" w:color="auto" w:fill="auto"/>
          </w:tcPr>
          <w:p w14:paraId="6C73EA2F">
            <w:pPr>
              <w:pStyle w:val="8"/>
              <w:rPr>
                <w:highlight w:val="none"/>
              </w:rPr>
            </w:pPr>
            <w:r>
              <w:rPr>
                <w:rFonts w:hint="eastAsia"/>
                <w:highlight w:val="none"/>
              </w:rPr>
              <w:t xml:space="preserve">朱琼玉 </w:t>
            </w:r>
          </w:p>
        </w:tc>
      </w:tr>
      <w:tr w14:paraId="66579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37F9F">
            <w:pPr>
              <w:pStyle w:val="8"/>
              <w:rPr>
                <w:highlight w:val="none"/>
              </w:rPr>
            </w:pPr>
            <w:r>
              <w:rPr>
                <w:rFonts w:hint="eastAsia"/>
                <w:highlight w:val="none"/>
              </w:rPr>
              <w:t xml:space="preserve">电话： </w:t>
            </w:r>
          </w:p>
        </w:tc>
        <w:tc>
          <w:tcPr>
            <w:tcW w:w="7440" w:type="dxa"/>
            <w:shd w:val="clear" w:color="auto" w:fill="auto"/>
          </w:tcPr>
          <w:p w14:paraId="48B6B8EF">
            <w:pPr>
              <w:pStyle w:val="8"/>
              <w:rPr>
                <w:highlight w:val="none"/>
              </w:rPr>
            </w:pPr>
            <w:r>
              <w:rPr>
                <w:rFonts w:hint="eastAsia"/>
                <w:highlight w:val="none"/>
              </w:rPr>
              <w:t xml:space="preserve">021-63325888 </w:t>
            </w:r>
          </w:p>
        </w:tc>
      </w:tr>
      <w:tr w14:paraId="7123B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891BE6">
            <w:pPr>
              <w:pStyle w:val="8"/>
              <w:rPr>
                <w:highlight w:val="none"/>
              </w:rPr>
            </w:pPr>
            <w:r>
              <w:rPr>
                <w:rFonts w:hint="eastAsia"/>
                <w:highlight w:val="none"/>
              </w:rPr>
              <w:t xml:space="preserve">传真： </w:t>
            </w:r>
          </w:p>
        </w:tc>
        <w:tc>
          <w:tcPr>
            <w:tcW w:w="7440" w:type="dxa"/>
            <w:shd w:val="clear" w:color="auto" w:fill="auto"/>
          </w:tcPr>
          <w:p w14:paraId="01C95440">
            <w:pPr>
              <w:pStyle w:val="8"/>
              <w:rPr>
                <w:highlight w:val="none"/>
              </w:rPr>
            </w:pPr>
            <w:r>
              <w:rPr>
                <w:rFonts w:hint="eastAsia"/>
                <w:highlight w:val="none"/>
              </w:rPr>
              <w:t xml:space="preserve">021－63326729 </w:t>
            </w:r>
          </w:p>
        </w:tc>
      </w:tr>
      <w:tr w14:paraId="4D714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A93620">
            <w:pPr>
              <w:pStyle w:val="8"/>
              <w:rPr>
                <w:highlight w:val="none"/>
              </w:rPr>
            </w:pPr>
            <w:r>
              <w:rPr>
                <w:rFonts w:hint="eastAsia"/>
                <w:highlight w:val="none"/>
              </w:rPr>
              <w:t xml:space="preserve">客户服务电话： </w:t>
            </w:r>
          </w:p>
        </w:tc>
        <w:tc>
          <w:tcPr>
            <w:tcW w:w="7440" w:type="dxa"/>
            <w:shd w:val="clear" w:color="auto" w:fill="auto"/>
          </w:tcPr>
          <w:p w14:paraId="50615F23">
            <w:pPr>
              <w:pStyle w:val="8"/>
              <w:rPr>
                <w:highlight w:val="none"/>
              </w:rPr>
            </w:pPr>
            <w:r>
              <w:rPr>
                <w:rFonts w:hint="eastAsia"/>
                <w:highlight w:val="none"/>
              </w:rPr>
              <w:t xml:space="preserve">95503 </w:t>
            </w:r>
          </w:p>
        </w:tc>
      </w:tr>
      <w:tr w14:paraId="004A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69DAF">
            <w:pPr>
              <w:pStyle w:val="8"/>
              <w:rPr>
                <w:highlight w:val="none"/>
              </w:rPr>
            </w:pPr>
            <w:r>
              <w:rPr>
                <w:rFonts w:hint="eastAsia"/>
                <w:highlight w:val="none"/>
              </w:rPr>
              <w:t xml:space="preserve">网址： </w:t>
            </w:r>
          </w:p>
        </w:tc>
        <w:tc>
          <w:tcPr>
            <w:tcW w:w="7440" w:type="dxa"/>
            <w:shd w:val="clear" w:color="auto" w:fill="auto"/>
          </w:tcPr>
          <w:p w14:paraId="39834973">
            <w:pPr>
              <w:pStyle w:val="8"/>
              <w:rPr>
                <w:highlight w:val="none"/>
              </w:rPr>
            </w:pPr>
            <w:r>
              <w:rPr>
                <w:rFonts w:hint="eastAsia"/>
                <w:highlight w:val="none"/>
              </w:rPr>
              <w:t xml:space="preserve">http://www.dfzq.com.cn </w:t>
            </w:r>
          </w:p>
        </w:tc>
      </w:tr>
    </w:tbl>
    <w:p w14:paraId="2B3311B9">
      <w:pPr>
        <w:pStyle w:val="8"/>
        <w:spacing w:before="0" w:beforeAutospacing="0" w:after="0" w:afterAutospacing="0" w:line="360" w:lineRule="auto"/>
        <w:ind w:firstLine="420"/>
        <w:rPr>
          <w:sz w:val="21"/>
          <w:szCs w:val="21"/>
          <w:highlight w:val="none"/>
        </w:rPr>
      </w:pPr>
      <w:r>
        <w:rPr>
          <w:rFonts w:hint="eastAsia"/>
          <w:b/>
          <w:bCs/>
          <w:sz w:val="21"/>
          <w:szCs w:val="21"/>
          <w:highlight w:val="none"/>
        </w:rPr>
        <w:t>(22)方正证券股份有限公司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7644D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2D8B021">
            <w:pPr>
              <w:pStyle w:val="8"/>
              <w:rPr>
                <w:highlight w:val="none"/>
              </w:rPr>
            </w:pPr>
            <w:r>
              <w:rPr>
                <w:rFonts w:hint="eastAsia"/>
                <w:highlight w:val="none"/>
              </w:rPr>
              <w:t xml:space="preserve">注册地址： </w:t>
            </w:r>
          </w:p>
        </w:tc>
        <w:tc>
          <w:tcPr>
            <w:tcW w:w="7440" w:type="dxa"/>
            <w:shd w:val="clear" w:color="auto" w:fill="auto"/>
          </w:tcPr>
          <w:p w14:paraId="7DF641B6">
            <w:pPr>
              <w:pStyle w:val="8"/>
              <w:rPr>
                <w:highlight w:val="none"/>
              </w:rPr>
            </w:pPr>
            <w:r>
              <w:rPr>
                <w:rFonts w:hint="eastAsia"/>
                <w:highlight w:val="none"/>
              </w:rPr>
              <w:t xml:space="preserve">湖南长沙芙蓉中路2段华侨国际大厦22-24层 </w:t>
            </w:r>
          </w:p>
        </w:tc>
      </w:tr>
      <w:tr w14:paraId="5F496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EEB94">
            <w:pPr>
              <w:pStyle w:val="8"/>
              <w:rPr>
                <w:highlight w:val="none"/>
              </w:rPr>
            </w:pPr>
            <w:r>
              <w:rPr>
                <w:rFonts w:hint="eastAsia"/>
                <w:highlight w:val="none"/>
              </w:rPr>
              <w:t xml:space="preserve">办公地址： </w:t>
            </w:r>
          </w:p>
        </w:tc>
        <w:tc>
          <w:tcPr>
            <w:tcW w:w="7440" w:type="dxa"/>
            <w:shd w:val="clear" w:color="auto" w:fill="auto"/>
          </w:tcPr>
          <w:p w14:paraId="54F0D5CB">
            <w:pPr>
              <w:pStyle w:val="8"/>
              <w:rPr>
                <w:highlight w:val="none"/>
              </w:rPr>
            </w:pPr>
            <w:r>
              <w:rPr>
                <w:rFonts w:hint="eastAsia"/>
                <w:highlight w:val="none"/>
              </w:rPr>
              <w:t xml:space="preserve">湖南长沙芙蓉中路2段华侨国际大厦22-24层 </w:t>
            </w:r>
          </w:p>
        </w:tc>
      </w:tr>
      <w:tr w14:paraId="6A11B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3AD56C4">
            <w:pPr>
              <w:pStyle w:val="8"/>
              <w:rPr>
                <w:highlight w:val="none"/>
              </w:rPr>
            </w:pPr>
            <w:r>
              <w:rPr>
                <w:rFonts w:hint="eastAsia"/>
                <w:highlight w:val="none"/>
              </w:rPr>
              <w:t xml:space="preserve">法定代表人： </w:t>
            </w:r>
          </w:p>
        </w:tc>
        <w:tc>
          <w:tcPr>
            <w:tcW w:w="7440" w:type="dxa"/>
            <w:shd w:val="clear" w:color="auto" w:fill="auto"/>
          </w:tcPr>
          <w:p w14:paraId="3FE6E5E9">
            <w:pPr>
              <w:pStyle w:val="8"/>
              <w:rPr>
                <w:highlight w:val="none"/>
              </w:rPr>
            </w:pPr>
            <w:r>
              <w:rPr>
                <w:rFonts w:hint="eastAsia"/>
                <w:highlight w:val="none"/>
              </w:rPr>
              <w:t xml:space="preserve">施华 </w:t>
            </w:r>
          </w:p>
        </w:tc>
      </w:tr>
      <w:tr w14:paraId="4E08A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ED434D8">
            <w:pPr>
              <w:pStyle w:val="8"/>
              <w:rPr>
                <w:highlight w:val="none"/>
              </w:rPr>
            </w:pPr>
            <w:r>
              <w:rPr>
                <w:rFonts w:hint="eastAsia"/>
                <w:highlight w:val="none"/>
              </w:rPr>
              <w:t xml:space="preserve">联系人： </w:t>
            </w:r>
          </w:p>
        </w:tc>
        <w:tc>
          <w:tcPr>
            <w:tcW w:w="7440" w:type="dxa"/>
            <w:shd w:val="clear" w:color="auto" w:fill="auto"/>
          </w:tcPr>
          <w:p w14:paraId="085A56DE">
            <w:pPr>
              <w:pStyle w:val="8"/>
              <w:rPr>
                <w:highlight w:val="none"/>
              </w:rPr>
            </w:pPr>
            <w:r>
              <w:rPr>
                <w:rFonts w:hint="eastAsia"/>
                <w:highlight w:val="none"/>
              </w:rPr>
              <w:t xml:space="preserve">胡创 </w:t>
            </w:r>
          </w:p>
        </w:tc>
      </w:tr>
      <w:tr w14:paraId="79A28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E95D2">
            <w:pPr>
              <w:pStyle w:val="8"/>
              <w:rPr>
                <w:highlight w:val="none"/>
              </w:rPr>
            </w:pPr>
            <w:r>
              <w:rPr>
                <w:rFonts w:hint="eastAsia"/>
                <w:highlight w:val="none"/>
              </w:rPr>
              <w:t xml:space="preserve">电话： </w:t>
            </w:r>
          </w:p>
        </w:tc>
        <w:tc>
          <w:tcPr>
            <w:tcW w:w="7440" w:type="dxa"/>
            <w:shd w:val="clear" w:color="auto" w:fill="auto"/>
          </w:tcPr>
          <w:p w14:paraId="35D2B851">
            <w:pPr>
              <w:pStyle w:val="8"/>
              <w:rPr>
                <w:highlight w:val="none"/>
              </w:rPr>
            </w:pPr>
            <w:r>
              <w:rPr>
                <w:rFonts w:hint="eastAsia"/>
                <w:highlight w:val="none"/>
              </w:rPr>
              <w:t xml:space="preserve">010-56437060 </w:t>
            </w:r>
          </w:p>
        </w:tc>
      </w:tr>
      <w:tr w14:paraId="419ED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A0D5AF">
            <w:pPr>
              <w:pStyle w:val="8"/>
              <w:rPr>
                <w:highlight w:val="none"/>
              </w:rPr>
            </w:pPr>
            <w:r>
              <w:rPr>
                <w:rFonts w:hint="eastAsia"/>
                <w:highlight w:val="none"/>
              </w:rPr>
              <w:t xml:space="preserve">传真： </w:t>
            </w:r>
          </w:p>
        </w:tc>
        <w:tc>
          <w:tcPr>
            <w:tcW w:w="7440" w:type="dxa"/>
            <w:shd w:val="clear" w:color="auto" w:fill="auto"/>
          </w:tcPr>
          <w:p w14:paraId="0C0BFC0F">
            <w:pPr>
              <w:pStyle w:val="8"/>
              <w:rPr>
                <w:highlight w:val="none"/>
              </w:rPr>
            </w:pPr>
            <w:r>
              <w:rPr>
                <w:rFonts w:hint="eastAsia"/>
                <w:highlight w:val="none"/>
              </w:rPr>
              <w:t xml:space="preserve">0731-85832214 </w:t>
            </w:r>
          </w:p>
        </w:tc>
      </w:tr>
      <w:tr w14:paraId="151B6F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4070C1">
            <w:pPr>
              <w:pStyle w:val="8"/>
              <w:rPr>
                <w:highlight w:val="none"/>
              </w:rPr>
            </w:pPr>
            <w:r>
              <w:rPr>
                <w:rFonts w:hint="eastAsia"/>
                <w:highlight w:val="none"/>
              </w:rPr>
              <w:t xml:space="preserve">客户服务电话： </w:t>
            </w:r>
          </w:p>
        </w:tc>
        <w:tc>
          <w:tcPr>
            <w:tcW w:w="7440" w:type="dxa"/>
            <w:shd w:val="clear" w:color="auto" w:fill="auto"/>
          </w:tcPr>
          <w:p w14:paraId="0CE0FAC5">
            <w:pPr>
              <w:pStyle w:val="8"/>
              <w:rPr>
                <w:highlight w:val="none"/>
              </w:rPr>
            </w:pPr>
            <w:r>
              <w:rPr>
                <w:rFonts w:hint="eastAsia"/>
                <w:highlight w:val="none"/>
              </w:rPr>
              <w:t xml:space="preserve">95571 </w:t>
            </w:r>
          </w:p>
        </w:tc>
      </w:tr>
      <w:tr w14:paraId="2C0C3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A3B64">
            <w:pPr>
              <w:pStyle w:val="8"/>
              <w:rPr>
                <w:highlight w:val="none"/>
              </w:rPr>
            </w:pPr>
            <w:r>
              <w:rPr>
                <w:rFonts w:hint="eastAsia"/>
                <w:highlight w:val="none"/>
              </w:rPr>
              <w:t xml:space="preserve">网址： </w:t>
            </w:r>
          </w:p>
        </w:tc>
        <w:tc>
          <w:tcPr>
            <w:tcW w:w="7440" w:type="dxa"/>
            <w:shd w:val="clear" w:color="auto" w:fill="auto"/>
          </w:tcPr>
          <w:p w14:paraId="5F3A28E0">
            <w:pPr>
              <w:pStyle w:val="8"/>
              <w:rPr>
                <w:highlight w:val="none"/>
              </w:rPr>
            </w:pPr>
            <w:r>
              <w:rPr>
                <w:rFonts w:hint="eastAsia"/>
                <w:highlight w:val="none"/>
              </w:rPr>
              <w:t xml:space="preserve">http://www.foundersc.com </w:t>
            </w:r>
          </w:p>
        </w:tc>
      </w:tr>
    </w:tbl>
    <w:p w14:paraId="3733182D">
      <w:pPr>
        <w:pStyle w:val="8"/>
        <w:spacing w:before="0" w:beforeAutospacing="0" w:after="0" w:afterAutospacing="0" w:line="360" w:lineRule="auto"/>
        <w:ind w:firstLine="420"/>
        <w:rPr>
          <w:sz w:val="21"/>
          <w:szCs w:val="21"/>
          <w:highlight w:val="none"/>
        </w:rPr>
      </w:pPr>
      <w:r>
        <w:rPr>
          <w:rFonts w:hint="eastAsia"/>
          <w:b/>
          <w:bCs/>
          <w:sz w:val="21"/>
          <w:szCs w:val="21"/>
          <w:highlight w:val="none"/>
        </w:rPr>
        <w:t>(23)长城证券股份有限公司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19922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BC0B5E">
            <w:pPr>
              <w:pStyle w:val="8"/>
              <w:rPr>
                <w:highlight w:val="none"/>
              </w:rPr>
            </w:pPr>
            <w:r>
              <w:rPr>
                <w:rFonts w:hint="eastAsia"/>
                <w:highlight w:val="none"/>
              </w:rPr>
              <w:t xml:space="preserve">注册地址： </w:t>
            </w:r>
          </w:p>
        </w:tc>
        <w:tc>
          <w:tcPr>
            <w:tcW w:w="7440" w:type="dxa"/>
            <w:shd w:val="clear" w:color="auto" w:fill="auto"/>
          </w:tcPr>
          <w:p w14:paraId="56BED739">
            <w:pPr>
              <w:pStyle w:val="8"/>
              <w:rPr>
                <w:highlight w:val="none"/>
              </w:rPr>
            </w:pPr>
            <w:r>
              <w:rPr>
                <w:rFonts w:hint="eastAsia"/>
                <w:highlight w:val="none"/>
              </w:rPr>
              <w:t xml:space="preserve">深圳市深南大道6008号特区报业大厦16、17层 </w:t>
            </w:r>
          </w:p>
        </w:tc>
      </w:tr>
      <w:tr w14:paraId="7CA1F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22FDEE">
            <w:pPr>
              <w:pStyle w:val="8"/>
              <w:rPr>
                <w:highlight w:val="none"/>
              </w:rPr>
            </w:pPr>
            <w:r>
              <w:rPr>
                <w:rFonts w:hint="eastAsia"/>
                <w:highlight w:val="none"/>
              </w:rPr>
              <w:t xml:space="preserve">办公地址： </w:t>
            </w:r>
          </w:p>
        </w:tc>
        <w:tc>
          <w:tcPr>
            <w:tcW w:w="7440" w:type="dxa"/>
            <w:shd w:val="clear" w:color="auto" w:fill="auto"/>
          </w:tcPr>
          <w:p w14:paraId="0DE68F58">
            <w:pPr>
              <w:pStyle w:val="8"/>
              <w:rPr>
                <w:highlight w:val="none"/>
              </w:rPr>
            </w:pPr>
            <w:r>
              <w:rPr>
                <w:rFonts w:hint="eastAsia"/>
                <w:highlight w:val="none"/>
              </w:rPr>
              <w:t xml:space="preserve">深圳市深南大道6008号特区报业大厦14、16、17层 </w:t>
            </w:r>
          </w:p>
        </w:tc>
      </w:tr>
      <w:tr w14:paraId="1E96A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5A5FE">
            <w:pPr>
              <w:pStyle w:val="8"/>
              <w:rPr>
                <w:highlight w:val="none"/>
              </w:rPr>
            </w:pPr>
            <w:r>
              <w:rPr>
                <w:rFonts w:hint="eastAsia"/>
                <w:highlight w:val="none"/>
              </w:rPr>
              <w:t xml:space="preserve">法定代表人： </w:t>
            </w:r>
          </w:p>
        </w:tc>
        <w:tc>
          <w:tcPr>
            <w:tcW w:w="7440" w:type="dxa"/>
            <w:shd w:val="clear" w:color="auto" w:fill="auto"/>
          </w:tcPr>
          <w:p w14:paraId="40E6CBFD">
            <w:pPr>
              <w:pStyle w:val="8"/>
              <w:rPr>
                <w:highlight w:val="none"/>
              </w:rPr>
            </w:pPr>
            <w:r>
              <w:rPr>
                <w:rFonts w:hint="eastAsia"/>
                <w:highlight w:val="none"/>
              </w:rPr>
              <w:t xml:space="preserve">丁益 </w:t>
            </w:r>
          </w:p>
        </w:tc>
      </w:tr>
      <w:tr w14:paraId="3D0E8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25C8C7">
            <w:pPr>
              <w:pStyle w:val="8"/>
              <w:rPr>
                <w:highlight w:val="none"/>
              </w:rPr>
            </w:pPr>
            <w:r>
              <w:rPr>
                <w:rFonts w:hint="eastAsia"/>
                <w:highlight w:val="none"/>
              </w:rPr>
              <w:t xml:space="preserve">联系人： </w:t>
            </w:r>
          </w:p>
        </w:tc>
        <w:tc>
          <w:tcPr>
            <w:tcW w:w="7440" w:type="dxa"/>
            <w:shd w:val="clear" w:color="auto" w:fill="auto"/>
          </w:tcPr>
          <w:p w14:paraId="5EB83069">
            <w:pPr>
              <w:pStyle w:val="8"/>
              <w:rPr>
                <w:highlight w:val="none"/>
              </w:rPr>
            </w:pPr>
            <w:r>
              <w:rPr>
                <w:rFonts w:hint="eastAsia"/>
                <w:highlight w:val="none"/>
              </w:rPr>
              <w:t xml:space="preserve">沈晓 </w:t>
            </w:r>
          </w:p>
        </w:tc>
      </w:tr>
      <w:tr w14:paraId="0A72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BA583">
            <w:pPr>
              <w:pStyle w:val="8"/>
              <w:rPr>
                <w:highlight w:val="none"/>
              </w:rPr>
            </w:pPr>
            <w:r>
              <w:rPr>
                <w:rFonts w:hint="eastAsia"/>
                <w:highlight w:val="none"/>
              </w:rPr>
              <w:t xml:space="preserve">电话： </w:t>
            </w:r>
          </w:p>
        </w:tc>
        <w:tc>
          <w:tcPr>
            <w:tcW w:w="7440" w:type="dxa"/>
            <w:shd w:val="clear" w:color="auto" w:fill="auto"/>
          </w:tcPr>
          <w:p w14:paraId="58676ABE">
            <w:pPr>
              <w:pStyle w:val="8"/>
              <w:rPr>
                <w:highlight w:val="none"/>
              </w:rPr>
            </w:pPr>
            <w:r>
              <w:rPr>
                <w:rFonts w:hint="eastAsia"/>
                <w:highlight w:val="none"/>
              </w:rPr>
              <w:t xml:space="preserve">0755-83464734 </w:t>
            </w:r>
          </w:p>
        </w:tc>
      </w:tr>
      <w:tr w14:paraId="5F4F4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63AC0">
            <w:pPr>
              <w:pStyle w:val="8"/>
              <w:rPr>
                <w:highlight w:val="none"/>
              </w:rPr>
            </w:pPr>
            <w:r>
              <w:rPr>
                <w:rFonts w:hint="eastAsia"/>
                <w:highlight w:val="none"/>
              </w:rPr>
              <w:t xml:space="preserve">传真： </w:t>
            </w:r>
          </w:p>
        </w:tc>
        <w:tc>
          <w:tcPr>
            <w:tcW w:w="7440" w:type="dxa"/>
            <w:shd w:val="clear" w:color="auto" w:fill="auto"/>
          </w:tcPr>
          <w:p w14:paraId="73C6A0D3">
            <w:pPr>
              <w:pStyle w:val="8"/>
              <w:rPr>
                <w:highlight w:val="none"/>
              </w:rPr>
            </w:pPr>
            <w:r>
              <w:rPr>
                <w:rFonts w:hint="eastAsia"/>
                <w:highlight w:val="none"/>
              </w:rPr>
              <w:t xml:space="preserve">0755－83515567 </w:t>
            </w:r>
          </w:p>
        </w:tc>
      </w:tr>
      <w:tr w14:paraId="777FE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F7272">
            <w:pPr>
              <w:pStyle w:val="8"/>
              <w:rPr>
                <w:highlight w:val="none"/>
              </w:rPr>
            </w:pPr>
            <w:r>
              <w:rPr>
                <w:rFonts w:hint="eastAsia"/>
                <w:highlight w:val="none"/>
              </w:rPr>
              <w:t xml:space="preserve">客户服务电话： </w:t>
            </w:r>
          </w:p>
        </w:tc>
        <w:tc>
          <w:tcPr>
            <w:tcW w:w="7440" w:type="dxa"/>
            <w:shd w:val="clear" w:color="auto" w:fill="auto"/>
          </w:tcPr>
          <w:p w14:paraId="430AE2D0">
            <w:pPr>
              <w:pStyle w:val="8"/>
              <w:rPr>
                <w:highlight w:val="none"/>
              </w:rPr>
            </w:pPr>
            <w:r>
              <w:rPr>
                <w:rFonts w:hint="eastAsia"/>
                <w:highlight w:val="none"/>
              </w:rPr>
              <w:t xml:space="preserve">4006666888 </w:t>
            </w:r>
          </w:p>
        </w:tc>
      </w:tr>
      <w:tr w14:paraId="14E15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3262F">
            <w:pPr>
              <w:pStyle w:val="8"/>
              <w:rPr>
                <w:highlight w:val="none"/>
              </w:rPr>
            </w:pPr>
            <w:r>
              <w:rPr>
                <w:rFonts w:hint="eastAsia"/>
                <w:highlight w:val="none"/>
              </w:rPr>
              <w:t xml:space="preserve">网址： </w:t>
            </w:r>
          </w:p>
        </w:tc>
        <w:tc>
          <w:tcPr>
            <w:tcW w:w="7440" w:type="dxa"/>
            <w:shd w:val="clear" w:color="auto" w:fill="auto"/>
          </w:tcPr>
          <w:p w14:paraId="2DD35DCE">
            <w:pPr>
              <w:pStyle w:val="8"/>
              <w:rPr>
                <w:highlight w:val="none"/>
              </w:rPr>
            </w:pPr>
            <w:r>
              <w:rPr>
                <w:rFonts w:hint="eastAsia"/>
                <w:highlight w:val="none"/>
              </w:rPr>
              <w:t xml:space="preserve">http://www.cgws.com </w:t>
            </w:r>
          </w:p>
        </w:tc>
      </w:tr>
    </w:tbl>
    <w:p w14:paraId="6D4EEFE8">
      <w:pPr>
        <w:pStyle w:val="8"/>
        <w:spacing w:before="0" w:beforeAutospacing="0" w:after="0" w:afterAutospacing="0" w:line="360" w:lineRule="auto"/>
        <w:ind w:firstLine="420"/>
        <w:rPr>
          <w:sz w:val="21"/>
          <w:szCs w:val="21"/>
          <w:highlight w:val="none"/>
        </w:rPr>
      </w:pPr>
      <w:r>
        <w:rPr>
          <w:rFonts w:hint="eastAsia"/>
          <w:b/>
          <w:bCs/>
          <w:sz w:val="21"/>
          <w:szCs w:val="21"/>
          <w:highlight w:val="none"/>
        </w:rPr>
        <w:t>(24)中信证券华南股份有限公司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5889D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AE8F9D">
            <w:pPr>
              <w:pStyle w:val="8"/>
              <w:rPr>
                <w:highlight w:val="none"/>
              </w:rPr>
            </w:pPr>
            <w:r>
              <w:rPr>
                <w:rFonts w:hint="eastAsia"/>
                <w:highlight w:val="none"/>
              </w:rPr>
              <w:t xml:space="preserve">注册地址： </w:t>
            </w:r>
          </w:p>
        </w:tc>
        <w:tc>
          <w:tcPr>
            <w:tcW w:w="7440" w:type="dxa"/>
            <w:shd w:val="clear" w:color="auto" w:fill="auto"/>
          </w:tcPr>
          <w:p w14:paraId="70E13611">
            <w:pPr>
              <w:pStyle w:val="8"/>
              <w:rPr>
                <w:highlight w:val="none"/>
              </w:rPr>
            </w:pPr>
            <w:r>
              <w:rPr>
                <w:rFonts w:hint="eastAsia"/>
                <w:highlight w:val="none"/>
              </w:rPr>
              <w:t xml:space="preserve">广州市天河区珠江西路5号广州国际金融中心主塔19层、20层 </w:t>
            </w:r>
          </w:p>
        </w:tc>
      </w:tr>
      <w:tr w14:paraId="29E2C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32D85">
            <w:pPr>
              <w:pStyle w:val="8"/>
              <w:rPr>
                <w:highlight w:val="none"/>
              </w:rPr>
            </w:pPr>
            <w:r>
              <w:rPr>
                <w:rFonts w:hint="eastAsia"/>
                <w:highlight w:val="none"/>
              </w:rPr>
              <w:t xml:space="preserve">办公地址： </w:t>
            </w:r>
          </w:p>
        </w:tc>
        <w:tc>
          <w:tcPr>
            <w:tcW w:w="7440" w:type="dxa"/>
            <w:shd w:val="clear" w:color="auto" w:fill="auto"/>
          </w:tcPr>
          <w:p w14:paraId="6F44BC41">
            <w:pPr>
              <w:pStyle w:val="8"/>
              <w:rPr>
                <w:highlight w:val="none"/>
              </w:rPr>
            </w:pPr>
            <w:r>
              <w:rPr>
                <w:rFonts w:hint="eastAsia"/>
                <w:highlight w:val="none"/>
              </w:rPr>
              <w:t xml:space="preserve">广州市天河区珠江西路5号广州国际金融中心主塔19层、20层 </w:t>
            </w:r>
          </w:p>
        </w:tc>
      </w:tr>
      <w:tr w14:paraId="1D591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C14DE3">
            <w:pPr>
              <w:pStyle w:val="8"/>
              <w:rPr>
                <w:highlight w:val="none"/>
              </w:rPr>
            </w:pPr>
            <w:r>
              <w:rPr>
                <w:rFonts w:hint="eastAsia"/>
                <w:highlight w:val="none"/>
              </w:rPr>
              <w:t xml:space="preserve">法定代表人： </w:t>
            </w:r>
          </w:p>
        </w:tc>
        <w:tc>
          <w:tcPr>
            <w:tcW w:w="7440" w:type="dxa"/>
            <w:shd w:val="clear" w:color="auto" w:fill="auto"/>
          </w:tcPr>
          <w:p w14:paraId="0970E661">
            <w:pPr>
              <w:pStyle w:val="8"/>
              <w:rPr>
                <w:highlight w:val="none"/>
              </w:rPr>
            </w:pPr>
            <w:r>
              <w:rPr>
                <w:rFonts w:hint="eastAsia"/>
                <w:highlight w:val="none"/>
              </w:rPr>
              <w:t xml:space="preserve">陈可可 </w:t>
            </w:r>
          </w:p>
        </w:tc>
      </w:tr>
      <w:tr w14:paraId="5F15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7AE342">
            <w:pPr>
              <w:pStyle w:val="8"/>
              <w:rPr>
                <w:highlight w:val="none"/>
              </w:rPr>
            </w:pPr>
            <w:r>
              <w:rPr>
                <w:rFonts w:hint="eastAsia"/>
                <w:highlight w:val="none"/>
              </w:rPr>
              <w:t xml:space="preserve">联系人： </w:t>
            </w:r>
          </w:p>
        </w:tc>
        <w:tc>
          <w:tcPr>
            <w:tcW w:w="7440" w:type="dxa"/>
            <w:shd w:val="clear" w:color="auto" w:fill="auto"/>
          </w:tcPr>
          <w:p w14:paraId="737EAEE6">
            <w:pPr>
              <w:pStyle w:val="8"/>
              <w:rPr>
                <w:highlight w:val="none"/>
              </w:rPr>
            </w:pPr>
            <w:r>
              <w:rPr>
                <w:rFonts w:hint="eastAsia"/>
                <w:highlight w:val="none"/>
              </w:rPr>
              <w:t xml:space="preserve">郭杏燕 </w:t>
            </w:r>
          </w:p>
        </w:tc>
      </w:tr>
      <w:tr w14:paraId="10944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AAC77">
            <w:pPr>
              <w:pStyle w:val="8"/>
              <w:rPr>
                <w:highlight w:val="none"/>
              </w:rPr>
            </w:pPr>
            <w:r>
              <w:rPr>
                <w:rFonts w:hint="eastAsia"/>
                <w:highlight w:val="none"/>
              </w:rPr>
              <w:t xml:space="preserve">电话： </w:t>
            </w:r>
          </w:p>
        </w:tc>
        <w:tc>
          <w:tcPr>
            <w:tcW w:w="7440" w:type="dxa"/>
            <w:shd w:val="clear" w:color="auto" w:fill="auto"/>
          </w:tcPr>
          <w:p w14:paraId="3D8E823D">
            <w:pPr>
              <w:pStyle w:val="8"/>
              <w:rPr>
                <w:highlight w:val="none"/>
              </w:rPr>
            </w:pPr>
            <w:r>
              <w:rPr>
                <w:rFonts w:hint="eastAsia"/>
                <w:highlight w:val="none"/>
              </w:rPr>
              <w:t xml:space="preserve">020-88836999 </w:t>
            </w:r>
          </w:p>
        </w:tc>
      </w:tr>
      <w:tr w14:paraId="6EDB1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B72A59">
            <w:pPr>
              <w:pStyle w:val="8"/>
              <w:rPr>
                <w:highlight w:val="none"/>
              </w:rPr>
            </w:pPr>
            <w:r>
              <w:rPr>
                <w:rFonts w:hint="eastAsia"/>
                <w:highlight w:val="none"/>
              </w:rPr>
              <w:t xml:space="preserve">传真： </w:t>
            </w:r>
          </w:p>
        </w:tc>
        <w:tc>
          <w:tcPr>
            <w:tcW w:w="7440" w:type="dxa"/>
            <w:shd w:val="clear" w:color="auto" w:fill="auto"/>
          </w:tcPr>
          <w:p w14:paraId="600BE2ED">
            <w:pPr>
              <w:pStyle w:val="8"/>
              <w:rPr>
                <w:highlight w:val="none"/>
              </w:rPr>
            </w:pPr>
            <w:r>
              <w:rPr>
                <w:rFonts w:hint="eastAsia"/>
                <w:highlight w:val="none"/>
              </w:rPr>
              <w:t xml:space="preserve">020-88836984 </w:t>
            </w:r>
          </w:p>
        </w:tc>
      </w:tr>
      <w:tr w14:paraId="41612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8A44C2">
            <w:pPr>
              <w:pStyle w:val="8"/>
              <w:rPr>
                <w:highlight w:val="none"/>
              </w:rPr>
            </w:pPr>
            <w:r>
              <w:rPr>
                <w:rFonts w:hint="eastAsia"/>
                <w:highlight w:val="none"/>
              </w:rPr>
              <w:t xml:space="preserve">客户服务电话： </w:t>
            </w:r>
          </w:p>
        </w:tc>
        <w:tc>
          <w:tcPr>
            <w:tcW w:w="7440" w:type="dxa"/>
            <w:shd w:val="clear" w:color="auto" w:fill="auto"/>
          </w:tcPr>
          <w:p w14:paraId="50D49E2C">
            <w:pPr>
              <w:pStyle w:val="8"/>
              <w:rPr>
                <w:highlight w:val="none"/>
              </w:rPr>
            </w:pPr>
            <w:r>
              <w:rPr>
                <w:rFonts w:hint="eastAsia"/>
                <w:highlight w:val="none"/>
              </w:rPr>
              <w:t xml:space="preserve">95548 </w:t>
            </w:r>
          </w:p>
        </w:tc>
      </w:tr>
      <w:tr w14:paraId="39E79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4C7AF2">
            <w:pPr>
              <w:pStyle w:val="8"/>
              <w:rPr>
                <w:highlight w:val="none"/>
              </w:rPr>
            </w:pPr>
            <w:r>
              <w:rPr>
                <w:rFonts w:hint="eastAsia"/>
                <w:highlight w:val="none"/>
              </w:rPr>
              <w:t xml:space="preserve">网址： </w:t>
            </w:r>
          </w:p>
        </w:tc>
        <w:tc>
          <w:tcPr>
            <w:tcW w:w="7440" w:type="dxa"/>
            <w:shd w:val="clear" w:color="auto" w:fill="auto"/>
          </w:tcPr>
          <w:p w14:paraId="5DB1F310">
            <w:pPr>
              <w:pStyle w:val="8"/>
              <w:rPr>
                <w:highlight w:val="none"/>
              </w:rPr>
            </w:pPr>
            <w:r>
              <w:rPr>
                <w:rFonts w:hint="eastAsia"/>
                <w:highlight w:val="none"/>
              </w:rPr>
              <w:t xml:space="preserve">http://www.gzs.com.cn </w:t>
            </w:r>
          </w:p>
        </w:tc>
      </w:tr>
    </w:tbl>
    <w:p w14:paraId="58F4B5E8">
      <w:pPr>
        <w:pStyle w:val="8"/>
        <w:spacing w:before="0" w:beforeAutospacing="0" w:after="0" w:afterAutospacing="0" w:line="360" w:lineRule="auto"/>
        <w:ind w:firstLine="420"/>
        <w:rPr>
          <w:sz w:val="21"/>
          <w:szCs w:val="21"/>
          <w:highlight w:val="none"/>
        </w:rPr>
      </w:pPr>
      <w:r>
        <w:rPr>
          <w:rFonts w:hint="eastAsia"/>
          <w:b/>
          <w:bCs/>
          <w:sz w:val="21"/>
          <w:szCs w:val="21"/>
          <w:highlight w:val="none"/>
        </w:rPr>
        <w:t>(25)东北证券股份有限公司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7"/>
        <w:gridCol w:w="6006"/>
      </w:tblGrid>
      <w:tr w14:paraId="76A69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976C26">
            <w:pPr>
              <w:pStyle w:val="8"/>
              <w:rPr>
                <w:highlight w:val="none"/>
              </w:rPr>
            </w:pPr>
            <w:r>
              <w:rPr>
                <w:rFonts w:hint="eastAsia"/>
                <w:highlight w:val="none"/>
              </w:rPr>
              <w:t xml:space="preserve">注册地址： </w:t>
            </w:r>
          </w:p>
        </w:tc>
        <w:tc>
          <w:tcPr>
            <w:tcW w:w="7440" w:type="dxa"/>
            <w:shd w:val="clear" w:color="auto" w:fill="auto"/>
          </w:tcPr>
          <w:p w14:paraId="1527D3C3">
            <w:pPr>
              <w:pStyle w:val="8"/>
              <w:rPr>
                <w:highlight w:val="none"/>
              </w:rPr>
            </w:pPr>
            <w:r>
              <w:rPr>
                <w:rFonts w:hint="eastAsia"/>
                <w:highlight w:val="none"/>
              </w:rPr>
              <w:t xml:space="preserve">长春市生态大街6666号 </w:t>
            </w:r>
          </w:p>
        </w:tc>
      </w:tr>
      <w:tr w14:paraId="0998A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6AC77">
            <w:pPr>
              <w:pStyle w:val="8"/>
              <w:rPr>
                <w:highlight w:val="none"/>
              </w:rPr>
            </w:pPr>
            <w:r>
              <w:rPr>
                <w:rFonts w:hint="eastAsia"/>
                <w:highlight w:val="none"/>
              </w:rPr>
              <w:t xml:space="preserve">办公地址： </w:t>
            </w:r>
          </w:p>
        </w:tc>
        <w:tc>
          <w:tcPr>
            <w:tcW w:w="7440" w:type="dxa"/>
            <w:shd w:val="clear" w:color="auto" w:fill="auto"/>
          </w:tcPr>
          <w:p w14:paraId="705C0AD1">
            <w:pPr>
              <w:pStyle w:val="8"/>
              <w:rPr>
                <w:highlight w:val="none"/>
              </w:rPr>
            </w:pPr>
            <w:r>
              <w:rPr>
                <w:rFonts w:hint="eastAsia"/>
                <w:highlight w:val="none"/>
              </w:rPr>
              <w:t xml:space="preserve">长春市生态大街6666号 </w:t>
            </w:r>
          </w:p>
        </w:tc>
      </w:tr>
      <w:tr w14:paraId="73429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B4029">
            <w:pPr>
              <w:pStyle w:val="8"/>
              <w:rPr>
                <w:highlight w:val="none"/>
              </w:rPr>
            </w:pPr>
            <w:r>
              <w:rPr>
                <w:rFonts w:hint="eastAsia"/>
                <w:highlight w:val="none"/>
              </w:rPr>
              <w:t xml:space="preserve">法定代表人： </w:t>
            </w:r>
          </w:p>
        </w:tc>
        <w:tc>
          <w:tcPr>
            <w:tcW w:w="7440" w:type="dxa"/>
            <w:shd w:val="clear" w:color="auto" w:fill="auto"/>
          </w:tcPr>
          <w:p w14:paraId="07685EB3">
            <w:pPr>
              <w:pStyle w:val="8"/>
              <w:rPr>
                <w:highlight w:val="none"/>
              </w:rPr>
            </w:pPr>
            <w:r>
              <w:rPr>
                <w:rFonts w:hint="eastAsia"/>
                <w:highlight w:val="none"/>
              </w:rPr>
              <w:t xml:space="preserve">李福春 </w:t>
            </w:r>
          </w:p>
        </w:tc>
      </w:tr>
      <w:tr w14:paraId="52725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EC9A4B">
            <w:pPr>
              <w:pStyle w:val="8"/>
              <w:rPr>
                <w:highlight w:val="none"/>
              </w:rPr>
            </w:pPr>
            <w:r>
              <w:rPr>
                <w:rFonts w:hint="eastAsia"/>
                <w:highlight w:val="none"/>
              </w:rPr>
              <w:t xml:space="preserve">联系人： </w:t>
            </w:r>
          </w:p>
        </w:tc>
        <w:tc>
          <w:tcPr>
            <w:tcW w:w="7440" w:type="dxa"/>
            <w:shd w:val="clear" w:color="auto" w:fill="auto"/>
          </w:tcPr>
          <w:p w14:paraId="7E3877E4">
            <w:pPr>
              <w:pStyle w:val="8"/>
              <w:rPr>
                <w:highlight w:val="none"/>
              </w:rPr>
            </w:pPr>
            <w:r>
              <w:rPr>
                <w:rFonts w:hint="eastAsia"/>
                <w:highlight w:val="none"/>
              </w:rPr>
              <w:t xml:space="preserve">安岩岩 </w:t>
            </w:r>
          </w:p>
        </w:tc>
      </w:tr>
      <w:tr w14:paraId="1245D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B8AF7">
            <w:pPr>
              <w:pStyle w:val="8"/>
              <w:rPr>
                <w:highlight w:val="none"/>
              </w:rPr>
            </w:pPr>
            <w:r>
              <w:rPr>
                <w:rFonts w:hint="eastAsia"/>
                <w:highlight w:val="none"/>
              </w:rPr>
              <w:t xml:space="preserve">电话： </w:t>
            </w:r>
          </w:p>
        </w:tc>
        <w:tc>
          <w:tcPr>
            <w:tcW w:w="7440" w:type="dxa"/>
            <w:shd w:val="clear" w:color="auto" w:fill="auto"/>
          </w:tcPr>
          <w:p w14:paraId="08C91B7D">
            <w:pPr>
              <w:pStyle w:val="8"/>
              <w:rPr>
                <w:highlight w:val="none"/>
              </w:rPr>
            </w:pPr>
            <w:r>
              <w:rPr>
                <w:rFonts w:hint="eastAsia"/>
                <w:highlight w:val="none"/>
              </w:rPr>
              <w:t xml:space="preserve">0431-85096517 </w:t>
            </w:r>
          </w:p>
        </w:tc>
      </w:tr>
      <w:tr w14:paraId="24520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BA5F4E">
            <w:pPr>
              <w:pStyle w:val="8"/>
              <w:rPr>
                <w:highlight w:val="none"/>
              </w:rPr>
            </w:pPr>
            <w:r>
              <w:rPr>
                <w:rFonts w:hint="eastAsia"/>
                <w:highlight w:val="none"/>
              </w:rPr>
              <w:t xml:space="preserve">传真： </w:t>
            </w:r>
          </w:p>
        </w:tc>
        <w:tc>
          <w:tcPr>
            <w:tcW w:w="7440" w:type="dxa"/>
            <w:shd w:val="clear" w:color="auto" w:fill="auto"/>
          </w:tcPr>
          <w:p w14:paraId="6FF21086">
            <w:pPr>
              <w:pStyle w:val="8"/>
              <w:rPr>
                <w:highlight w:val="none"/>
              </w:rPr>
            </w:pPr>
            <w:r>
              <w:rPr>
                <w:rFonts w:hint="eastAsia"/>
                <w:highlight w:val="none"/>
              </w:rPr>
              <w:t xml:space="preserve">0431-85096795 </w:t>
            </w:r>
          </w:p>
        </w:tc>
      </w:tr>
      <w:tr w14:paraId="025F9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1520DD">
            <w:pPr>
              <w:pStyle w:val="8"/>
              <w:rPr>
                <w:highlight w:val="none"/>
              </w:rPr>
            </w:pPr>
            <w:r>
              <w:rPr>
                <w:rFonts w:hint="eastAsia"/>
                <w:highlight w:val="none"/>
              </w:rPr>
              <w:t xml:space="preserve">客户服务电话： </w:t>
            </w:r>
          </w:p>
        </w:tc>
        <w:tc>
          <w:tcPr>
            <w:tcW w:w="7440" w:type="dxa"/>
            <w:shd w:val="clear" w:color="auto" w:fill="auto"/>
          </w:tcPr>
          <w:p w14:paraId="11E9239D">
            <w:pPr>
              <w:pStyle w:val="8"/>
              <w:rPr>
                <w:highlight w:val="none"/>
              </w:rPr>
            </w:pPr>
            <w:r>
              <w:rPr>
                <w:rFonts w:hint="eastAsia"/>
                <w:highlight w:val="none"/>
              </w:rPr>
              <w:t xml:space="preserve">95360 </w:t>
            </w:r>
          </w:p>
        </w:tc>
      </w:tr>
      <w:tr w14:paraId="39B88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A93750">
            <w:pPr>
              <w:pStyle w:val="8"/>
              <w:rPr>
                <w:highlight w:val="none"/>
              </w:rPr>
            </w:pPr>
            <w:r>
              <w:rPr>
                <w:rFonts w:hint="eastAsia"/>
                <w:highlight w:val="none"/>
              </w:rPr>
              <w:t xml:space="preserve">网址： </w:t>
            </w:r>
          </w:p>
        </w:tc>
        <w:tc>
          <w:tcPr>
            <w:tcW w:w="7440" w:type="dxa"/>
            <w:shd w:val="clear" w:color="auto" w:fill="auto"/>
          </w:tcPr>
          <w:p w14:paraId="6ABDD32C">
            <w:pPr>
              <w:pStyle w:val="8"/>
              <w:rPr>
                <w:highlight w:val="none"/>
              </w:rPr>
            </w:pPr>
            <w:r>
              <w:rPr>
                <w:rFonts w:hint="eastAsia"/>
                <w:highlight w:val="none"/>
              </w:rPr>
              <w:t xml:space="preserve">http://www.nesc.cn </w:t>
            </w:r>
          </w:p>
        </w:tc>
      </w:tr>
    </w:tbl>
    <w:p w14:paraId="65E0E453">
      <w:pPr>
        <w:pStyle w:val="8"/>
        <w:spacing w:before="0" w:beforeAutospacing="0" w:after="0" w:afterAutospacing="0" w:line="360" w:lineRule="auto"/>
        <w:ind w:firstLine="420"/>
        <w:rPr>
          <w:sz w:val="21"/>
          <w:szCs w:val="21"/>
          <w:highlight w:val="none"/>
        </w:rPr>
      </w:pPr>
      <w:r>
        <w:rPr>
          <w:rFonts w:hint="eastAsia"/>
          <w:b/>
          <w:bCs/>
          <w:sz w:val="21"/>
          <w:szCs w:val="21"/>
          <w:highlight w:val="none"/>
        </w:rPr>
        <w:t>(26)国联民生证券股份有限公司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5E50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3665B3">
            <w:pPr>
              <w:pStyle w:val="8"/>
              <w:rPr>
                <w:highlight w:val="none"/>
              </w:rPr>
            </w:pPr>
            <w:r>
              <w:rPr>
                <w:rFonts w:hint="eastAsia"/>
                <w:highlight w:val="none"/>
              </w:rPr>
              <w:t xml:space="preserve">注册地址： </w:t>
            </w:r>
          </w:p>
        </w:tc>
        <w:tc>
          <w:tcPr>
            <w:tcW w:w="7440" w:type="dxa"/>
            <w:shd w:val="clear" w:color="auto" w:fill="auto"/>
          </w:tcPr>
          <w:p w14:paraId="235CFC65">
            <w:pPr>
              <w:pStyle w:val="8"/>
              <w:rPr>
                <w:highlight w:val="none"/>
              </w:rPr>
            </w:pPr>
            <w:r>
              <w:rPr>
                <w:rFonts w:hint="eastAsia"/>
                <w:highlight w:val="none"/>
              </w:rPr>
              <w:t xml:space="preserve">无锡市县前东街168号 </w:t>
            </w:r>
          </w:p>
        </w:tc>
      </w:tr>
      <w:tr w14:paraId="20E70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0C84C0">
            <w:pPr>
              <w:pStyle w:val="8"/>
              <w:rPr>
                <w:highlight w:val="none"/>
              </w:rPr>
            </w:pPr>
            <w:r>
              <w:rPr>
                <w:rFonts w:hint="eastAsia"/>
                <w:highlight w:val="none"/>
              </w:rPr>
              <w:t xml:space="preserve">办公地址： </w:t>
            </w:r>
          </w:p>
        </w:tc>
        <w:tc>
          <w:tcPr>
            <w:tcW w:w="7440" w:type="dxa"/>
            <w:shd w:val="clear" w:color="auto" w:fill="auto"/>
          </w:tcPr>
          <w:p w14:paraId="550CE3B7">
            <w:pPr>
              <w:pStyle w:val="8"/>
              <w:rPr>
                <w:highlight w:val="none"/>
              </w:rPr>
            </w:pPr>
            <w:r>
              <w:rPr>
                <w:rFonts w:hint="eastAsia"/>
                <w:highlight w:val="none"/>
              </w:rPr>
              <w:t xml:space="preserve">江苏省无锡市太湖新城金融一街8号国联金融大厦702室 </w:t>
            </w:r>
          </w:p>
        </w:tc>
      </w:tr>
      <w:tr w14:paraId="641E5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B431C">
            <w:pPr>
              <w:pStyle w:val="8"/>
              <w:rPr>
                <w:highlight w:val="none"/>
              </w:rPr>
            </w:pPr>
            <w:r>
              <w:rPr>
                <w:rFonts w:hint="eastAsia"/>
                <w:highlight w:val="none"/>
              </w:rPr>
              <w:t xml:space="preserve">法定代表人： </w:t>
            </w:r>
          </w:p>
        </w:tc>
        <w:tc>
          <w:tcPr>
            <w:tcW w:w="7440" w:type="dxa"/>
            <w:shd w:val="clear" w:color="auto" w:fill="auto"/>
          </w:tcPr>
          <w:p w14:paraId="710436FA">
            <w:pPr>
              <w:pStyle w:val="8"/>
              <w:rPr>
                <w:highlight w:val="none"/>
              </w:rPr>
            </w:pPr>
            <w:r>
              <w:rPr>
                <w:rFonts w:hint="eastAsia"/>
                <w:highlight w:val="none"/>
              </w:rPr>
              <w:t xml:space="preserve">顾伟 </w:t>
            </w:r>
          </w:p>
        </w:tc>
      </w:tr>
      <w:tr w14:paraId="3C12C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438A3">
            <w:pPr>
              <w:pStyle w:val="8"/>
              <w:rPr>
                <w:highlight w:val="none"/>
              </w:rPr>
            </w:pPr>
            <w:r>
              <w:rPr>
                <w:rFonts w:hint="eastAsia"/>
                <w:highlight w:val="none"/>
              </w:rPr>
              <w:t xml:space="preserve">客户服务电话： </w:t>
            </w:r>
          </w:p>
        </w:tc>
        <w:tc>
          <w:tcPr>
            <w:tcW w:w="7440" w:type="dxa"/>
            <w:shd w:val="clear" w:color="auto" w:fill="auto"/>
          </w:tcPr>
          <w:p w14:paraId="76EB447A">
            <w:pPr>
              <w:pStyle w:val="8"/>
              <w:rPr>
                <w:highlight w:val="none"/>
              </w:rPr>
            </w:pPr>
            <w:r>
              <w:rPr>
                <w:rFonts w:hint="eastAsia"/>
                <w:highlight w:val="none"/>
              </w:rPr>
              <w:t xml:space="preserve">95570 </w:t>
            </w:r>
          </w:p>
        </w:tc>
      </w:tr>
      <w:tr w14:paraId="2DC70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46DF78">
            <w:pPr>
              <w:pStyle w:val="8"/>
              <w:rPr>
                <w:highlight w:val="none"/>
              </w:rPr>
            </w:pPr>
            <w:r>
              <w:rPr>
                <w:rFonts w:hint="eastAsia"/>
                <w:highlight w:val="none"/>
              </w:rPr>
              <w:t xml:space="preserve">网址： </w:t>
            </w:r>
          </w:p>
        </w:tc>
        <w:tc>
          <w:tcPr>
            <w:tcW w:w="7440" w:type="dxa"/>
            <w:shd w:val="clear" w:color="auto" w:fill="auto"/>
          </w:tcPr>
          <w:p w14:paraId="13A6E841">
            <w:pPr>
              <w:pStyle w:val="8"/>
              <w:rPr>
                <w:highlight w:val="none"/>
              </w:rPr>
            </w:pPr>
            <w:r>
              <w:rPr>
                <w:rFonts w:hint="eastAsia"/>
                <w:highlight w:val="none"/>
              </w:rPr>
              <w:t xml:space="preserve">http://www.glsc.com.cn </w:t>
            </w:r>
          </w:p>
        </w:tc>
      </w:tr>
    </w:tbl>
    <w:p w14:paraId="5F4B943D">
      <w:pPr>
        <w:pStyle w:val="8"/>
        <w:spacing w:before="0" w:beforeAutospacing="0" w:after="0" w:afterAutospacing="0" w:line="360" w:lineRule="auto"/>
        <w:ind w:firstLine="420"/>
        <w:rPr>
          <w:sz w:val="21"/>
          <w:szCs w:val="21"/>
          <w:highlight w:val="none"/>
        </w:rPr>
      </w:pPr>
      <w:r>
        <w:rPr>
          <w:rFonts w:hint="eastAsia"/>
          <w:b/>
          <w:bCs/>
          <w:sz w:val="21"/>
          <w:szCs w:val="21"/>
          <w:highlight w:val="none"/>
        </w:rPr>
        <w:t>(27)浙商证券股份有限公司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22A9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1F848">
            <w:pPr>
              <w:pStyle w:val="8"/>
              <w:rPr>
                <w:highlight w:val="none"/>
              </w:rPr>
            </w:pPr>
            <w:r>
              <w:rPr>
                <w:rFonts w:hint="eastAsia"/>
                <w:highlight w:val="none"/>
              </w:rPr>
              <w:t xml:space="preserve">注册地址： </w:t>
            </w:r>
          </w:p>
        </w:tc>
        <w:tc>
          <w:tcPr>
            <w:tcW w:w="7440" w:type="dxa"/>
            <w:shd w:val="clear" w:color="auto" w:fill="auto"/>
          </w:tcPr>
          <w:p w14:paraId="7D13D88E">
            <w:pPr>
              <w:pStyle w:val="8"/>
              <w:rPr>
                <w:highlight w:val="none"/>
              </w:rPr>
            </w:pPr>
            <w:r>
              <w:rPr>
                <w:rFonts w:hint="eastAsia"/>
                <w:highlight w:val="none"/>
              </w:rPr>
              <w:t xml:space="preserve">浙江省杭州市江干区五星路201号 </w:t>
            </w:r>
          </w:p>
        </w:tc>
      </w:tr>
      <w:tr w14:paraId="4541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7AFCD">
            <w:pPr>
              <w:pStyle w:val="8"/>
              <w:rPr>
                <w:highlight w:val="none"/>
              </w:rPr>
            </w:pPr>
            <w:r>
              <w:rPr>
                <w:rFonts w:hint="eastAsia"/>
                <w:highlight w:val="none"/>
              </w:rPr>
              <w:t xml:space="preserve">办公地址： </w:t>
            </w:r>
          </w:p>
        </w:tc>
        <w:tc>
          <w:tcPr>
            <w:tcW w:w="7440" w:type="dxa"/>
            <w:shd w:val="clear" w:color="auto" w:fill="auto"/>
          </w:tcPr>
          <w:p w14:paraId="52C4524F">
            <w:pPr>
              <w:pStyle w:val="8"/>
              <w:rPr>
                <w:highlight w:val="none"/>
              </w:rPr>
            </w:pPr>
            <w:r>
              <w:rPr>
                <w:rFonts w:hint="eastAsia"/>
                <w:highlight w:val="none"/>
              </w:rPr>
              <w:t xml:space="preserve">浙江省杭州市江干区四季青街道五星路201号浙商证券5楼 </w:t>
            </w:r>
          </w:p>
        </w:tc>
      </w:tr>
      <w:tr w14:paraId="669B6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AF596C">
            <w:pPr>
              <w:pStyle w:val="8"/>
              <w:rPr>
                <w:highlight w:val="none"/>
              </w:rPr>
            </w:pPr>
            <w:r>
              <w:rPr>
                <w:rFonts w:hint="eastAsia"/>
                <w:highlight w:val="none"/>
              </w:rPr>
              <w:t xml:space="preserve">法定代表人： </w:t>
            </w:r>
          </w:p>
        </w:tc>
        <w:tc>
          <w:tcPr>
            <w:tcW w:w="7440" w:type="dxa"/>
            <w:shd w:val="clear" w:color="auto" w:fill="auto"/>
          </w:tcPr>
          <w:p w14:paraId="5A5E3D9F">
            <w:pPr>
              <w:pStyle w:val="8"/>
              <w:rPr>
                <w:highlight w:val="none"/>
              </w:rPr>
            </w:pPr>
            <w:r>
              <w:rPr>
                <w:rFonts w:hint="eastAsia"/>
                <w:highlight w:val="none"/>
              </w:rPr>
              <w:t xml:space="preserve">吴承根 </w:t>
            </w:r>
          </w:p>
        </w:tc>
      </w:tr>
      <w:tr w14:paraId="0765B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24F0970">
            <w:pPr>
              <w:pStyle w:val="8"/>
              <w:rPr>
                <w:highlight w:val="none"/>
              </w:rPr>
            </w:pPr>
            <w:r>
              <w:rPr>
                <w:rFonts w:hint="eastAsia"/>
                <w:highlight w:val="none"/>
              </w:rPr>
              <w:t xml:space="preserve">联系人： </w:t>
            </w:r>
          </w:p>
        </w:tc>
        <w:tc>
          <w:tcPr>
            <w:tcW w:w="7440" w:type="dxa"/>
            <w:shd w:val="clear" w:color="auto" w:fill="auto"/>
          </w:tcPr>
          <w:p w14:paraId="0E9BAABC">
            <w:pPr>
              <w:pStyle w:val="8"/>
              <w:rPr>
                <w:highlight w:val="none"/>
              </w:rPr>
            </w:pPr>
            <w:r>
              <w:rPr>
                <w:rFonts w:hint="eastAsia"/>
                <w:highlight w:val="none"/>
              </w:rPr>
              <w:t xml:space="preserve">沈高亮 </w:t>
            </w:r>
          </w:p>
        </w:tc>
      </w:tr>
      <w:tr w14:paraId="7341C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47B6C">
            <w:pPr>
              <w:pStyle w:val="8"/>
              <w:rPr>
                <w:highlight w:val="none"/>
              </w:rPr>
            </w:pPr>
            <w:r>
              <w:rPr>
                <w:rFonts w:hint="eastAsia"/>
                <w:highlight w:val="none"/>
              </w:rPr>
              <w:t xml:space="preserve">电话： </w:t>
            </w:r>
          </w:p>
        </w:tc>
        <w:tc>
          <w:tcPr>
            <w:tcW w:w="7440" w:type="dxa"/>
            <w:shd w:val="clear" w:color="auto" w:fill="auto"/>
          </w:tcPr>
          <w:p w14:paraId="4C233440">
            <w:pPr>
              <w:pStyle w:val="8"/>
              <w:rPr>
                <w:highlight w:val="none"/>
              </w:rPr>
            </w:pPr>
            <w:r>
              <w:rPr>
                <w:rFonts w:hint="eastAsia"/>
                <w:highlight w:val="none"/>
              </w:rPr>
              <w:t xml:space="preserve">0571-87902239 </w:t>
            </w:r>
          </w:p>
        </w:tc>
      </w:tr>
      <w:tr w14:paraId="18579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350203">
            <w:pPr>
              <w:pStyle w:val="8"/>
              <w:rPr>
                <w:highlight w:val="none"/>
              </w:rPr>
            </w:pPr>
            <w:r>
              <w:rPr>
                <w:rFonts w:hint="eastAsia"/>
                <w:highlight w:val="none"/>
              </w:rPr>
              <w:t xml:space="preserve">传真： </w:t>
            </w:r>
          </w:p>
        </w:tc>
        <w:tc>
          <w:tcPr>
            <w:tcW w:w="7440" w:type="dxa"/>
            <w:shd w:val="clear" w:color="auto" w:fill="auto"/>
          </w:tcPr>
          <w:p w14:paraId="2AFBDFEF">
            <w:pPr>
              <w:pStyle w:val="8"/>
              <w:rPr>
                <w:highlight w:val="none"/>
              </w:rPr>
            </w:pPr>
            <w:r>
              <w:rPr>
                <w:rFonts w:hint="eastAsia"/>
                <w:highlight w:val="none"/>
              </w:rPr>
              <w:t xml:space="preserve">0571－87901913 </w:t>
            </w:r>
          </w:p>
        </w:tc>
      </w:tr>
      <w:tr w14:paraId="4BB76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8114EC">
            <w:pPr>
              <w:pStyle w:val="8"/>
              <w:rPr>
                <w:highlight w:val="none"/>
              </w:rPr>
            </w:pPr>
            <w:r>
              <w:rPr>
                <w:rFonts w:hint="eastAsia"/>
                <w:highlight w:val="none"/>
              </w:rPr>
              <w:t xml:space="preserve">客户服务电话： </w:t>
            </w:r>
          </w:p>
        </w:tc>
        <w:tc>
          <w:tcPr>
            <w:tcW w:w="7440" w:type="dxa"/>
            <w:shd w:val="clear" w:color="auto" w:fill="auto"/>
          </w:tcPr>
          <w:p w14:paraId="4AD1F18A">
            <w:pPr>
              <w:pStyle w:val="8"/>
              <w:rPr>
                <w:highlight w:val="none"/>
              </w:rPr>
            </w:pPr>
            <w:r>
              <w:rPr>
                <w:rFonts w:hint="eastAsia"/>
                <w:highlight w:val="none"/>
              </w:rPr>
              <w:t xml:space="preserve">95345 </w:t>
            </w:r>
          </w:p>
        </w:tc>
      </w:tr>
      <w:tr w14:paraId="1CBF4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6F6AD0">
            <w:pPr>
              <w:pStyle w:val="8"/>
              <w:rPr>
                <w:highlight w:val="none"/>
              </w:rPr>
            </w:pPr>
            <w:r>
              <w:rPr>
                <w:rFonts w:hint="eastAsia"/>
                <w:highlight w:val="none"/>
              </w:rPr>
              <w:t xml:space="preserve">网址： </w:t>
            </w:r>
          </w:p>
        </w:tc>
        <w:tc>
          <w:tcPr>
            <w:tcW w:w="7440" w:type="dxa"/>
            <w:shd w:val="clear" w:color="auto" w:fill="auto"/>
          </w:tcPr>
          <w:p w14:paraId="58004967">
            <w:pPr>
              <w:pStyle w:val="8"/>
              <w:rPr>
                <w:highlight w:val="none"/>
              </w:rPr>
            </w:pPr>
            <w:r>
              <w:rPr>
                <w:rFonts w:hint="eastAsia"/>
                <w:highlight w:val="none"/>
              </w:rPr>
              <w:t xml:space="preserve">http://www.stocke.com.cn/ </w:t>
            </w:r>
          </w:p>
        </w:tc>
      </w:tr>
    </w:tbl>
    <w:p w14:paraId="62BE391F">
      <w:pPr>
        <w:pStyle w:val="8"/>
        <w:spacing w:before="0" w:beforeAutospacing="0" w:after="0" w:afterAutospacing="0" w:line="360" w:lineRule="auto"/>
        <w:ind w:firstLine="420"/>
        <w:rPr>
          <w:sz w:val="21"/>
          <w:szCs w:val="21"/>
          <w:highlight w:val="none"/>
        </w:rPr>
      </w:pPr>
      <w:r>
        <w:rPr>
          <w:rFonts w:hint="eastAsia"/>
          <w:b/>
          <w:bCs/>
          <w:sz w:val="21"/>
          <w:szCs w:val="21"/>
          <w:highlight w:val="none"/>
        </w:rPr>
        <w:t>(28)华安证券股份有限公司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14DD1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002DD2">
            <w:pPr>
              <w:pStyle w:val="8"/>
              <w:rPr>
                <w:highlight w:val="none"/>
              </w:rPr>
            </w:pPr>
            <w:r>
              <w:rPr>
                <w:rFonts w:hint="eastAsia"/>
                <w:highlight w:val="none"/>
              </w:rPr>
              <w:t xml:space="preserve">注册地址： </w:t>
            </w:r>
          </w:p>
        </w:tc>
        <w:tc>
          <w:tcPr>
            <w:tcW w:w="7440" w:type="dxa"/>
            <w:shd w:val="clear" w:color="auto" w:fill="auto"/>
          </w:tcPr>
          <w:p w14:paraId="0CAA2131">
            <w:pPr>
              <w:pStyle w:val="8"/>
              <w:rPr>
                <w:highlight w:val="none"/>
              </w:rPr>
            </w:pPr>
            <w:r>
              <w:rPr>
                <w:rFonts w:hint="eastAsia"/>
                <w:highlight w:val="none"/>
              </w:rPr>
              <w:t xml:space="preserve">安徽省合肥市政务文化新区天鹅湖路198号 </w:t>
            </w:r>
          </w:p>
        </w:tc>
      </w:tr>
      <w:tr w14:paraId="16602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CEEC1">
            <w:pPr>
              <w:pStyle w:val="8"/>
              <w:rPr>
                <w:highlight w:val="none"/>
              </w:rPr>
            </w:pPr>
            <w:r>
              <w:rPr>
                <w:rFonts w:hint="eastAsia"/>
                <w:highlight w:val="none"/>
              </w:rPr>
              <w:t xml:space="preserve">办公地址： </w:t>
            </w:r>
          </w:p>
        </w:tc>
        <w:tc>
          <w:tcPr>
            <w:tcW w:w="7440" w:type="dxa"/>
            <w:shd w:val="clear" w:color="auto" w:fill="auto"/>
          </w:tcPr>
          <w:p w14:paraId="272D59D8">
            <w:pPr>
              <w:pStyle w:val="8"/>
              <w:rPr>
                <w:highlight w:val="none"/>
              </w:rPr>
            </w:pPr>
            <w:r>
              <w:rPr>
                <w:rFonts w:hint="eastAsia"/>
                <w:highlight w:val="none"/>
              </w:rPr>
              <w:t xml:space="preserve">安徽省合肥市南二环959号财智中心B1座 </w:t>
            </w:r>
          </w:p>
        </w:tc>
      </w:tr>
      <w:tr w14:paraId="40EA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F08A2B">
            <w:pPr>
              <w:pStyle w:val="8"/>
              <w:rPr>
                <w:highlight w:val="none"/>
              </w:rPr>
            </w:pPr>
            <w:r>
              <w:rPr>
                <w:rFonts w:hint="eastAsia"/>
                <w:highlight w:val="none"/>
              </w:rPr>
              <w:t xml:space="preserve">法定代表人： </w:t>
            </w:r>
          </w:p>
        </w:tc>
        <w:tc>
          <w:tcPr>
            <w:tcW w:w="7440" w:type="dxa"/>
            <w:shd w:val="clear" w:color="auto" w:fill="auto"/>
          </w:tcPr>
          <w:p w14:paraId="048C5B1C">
            <w:pPr>
              <w:pStyle w:val="8"/>
              <w:rPr>
                <w:highlight w:val="none"/>
              </w:rPr>
            </w:pPr>
            <w:r>
              <w:rPr>
                <w:rFonts w:hint="eastAsia"/>
                <w:highlight w:val="none"/>
              </w:rPr>
              <w:t xml:space="preserve">章宏韬 </w:t>
            </w:r>
          </w:p>
        </w:tc>
      </w:tr>
      <w:tr w14:paraId="6971F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0F36E">
            <w:pPr>
              <w:pStyle w:val="8"/>
              <w:rPr>
                <w:highlight w:val="none"/>
              </w:rPr>
            </w:pPr>
            <w:r>
              <w:rPr>
                <w:rFonts w:hint="eastAsia"/>
                <w:highlight w:val="none"/>
              </w:rPr>
              <w:t xml:space="preserve">联系人： </w:t>
            </w:r>
          </w:p>
        </w:tc>
        <w:tc>
          <w:tcPr>
            <w:tcW w:w="7440" w:type="dxa"/>
            <w:shd w:val="clear" w:color="auto" w:fill="auto"/>
          </w:tcPr>
          <w:p w14:paraId="4460663B">
            <w:pPr>
              <w:pStyle w:val="8"/>
              <w:rPr>
                <w:highlight w:val="none"/>
              </w:rPr>
            </w:pPr>
            <w:r>
              <w:rPr>
                <w:rFonts w:hint="eastAsia"/>
                <w:highlight w:val="none"/>
              </w:rPr>
              <w:t xml:space="preserve">孙懿 </w:t>
            </w:r>
          </w:p>
        </w:tc>
      </w:tr>
      <w:tr w14:paraId="10148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2A8E0">
            <w:pPr>
              <w:pStyle w:val="8"/>
              <w:rPr>
                <w:highlight w:val="none"/>
              </w:rPr>
            </w:pPr>
            <w:r>
              <w:rPr>
                <w:rFonts w:hint="eastAsia"/>
                <w:highlight w:val="none"/>
              </w:rPr>
              <w:t xml:space="preserve">电话： </w:t>
            </w:r>
          </w:p>
        </w:tc>
        <w:tc>
          <w:tcPr>
            <w:tcW w:w="7440" w:type="dxa"/>
            <w:shd w:val="clear" w:color="auto" w:fill="auto"/>
          </w:tcPr>
          <w:p w14:paraId="68995B8A">
            <w:pPr>
              <w:pStyle w:val="8"/>
              <w:rPr>
                <w:highlight w:val="none"/>
              </w:rPr>
            </w:pPr>
            <w:r>
              <w:rPr>
                <w:rFonts w:hint="eastAsia"/>
                <w:highlight w:val="none"/>
              </w:rPr>
              <w:t xml:space="preserve">0551-65161821 </w:t>
            </w:r>
          </w:p>
        </w:tc>
      </w:tr>
      <w:tr w14:paraId="13235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47776">
            <w:pPr>
              <w:pStyle w:val="8"/>
              <w:rPr>
                <w:highlight w:val="none"/>
              </w:rPr>
            </w:pPr>
            <w:r>
              <w:rPr>
                <w:rFonts w:hint="eastAsia"/>
                <w:highlight w:val="none"/>
              </w:rPr>
              <w:t xml:space="preserve">传真： </w:t>
            </w:r>
          </w:p>
        </w:tc>
        <w:tc>
          <w:tcPr>
            <w:tcW w:w="7440" w:type="dxa"/>
            <w:shd w:val="clear" w:color="auto" w:fill="auto"/>
          </w:tcPr>
          <w:p w14:paraId="63113886">
            <w:pPr>
              <w:pStyle w:val="8"/>
              <w:rPr>
                <w:highlight w:val="none"/>
              </w:rPr>
            </w:pPr>
            <w:r>
              <w:rPr>
                <w:rFonts w:hint="eastAsia"/>
                <w:highlight w:val="none"/>
              </w:rPr>
              <w:t xml:space="preserve">0551－65161672 </w:t>
            </w:r>
          </w:p>
        </w:tc>
      </w:tr>
      <w:tr w14:paraId="6DC35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3C7F5">
            <w:pPr>
              <w:pStyle w:val="8"/>
              <w:rPr>
                <w:highlight w:val="none"/>
              </w:rPr>
            </w:pPr>
            <w:r>
              <w:rPr>
                <w:rFonts w:hint="eastAsia"/>
                <w:highlight w:val="none"/>
              </w:rPr>
              <w:t xml:space="preserve">客户服务电话： </w:t>
            </w:r>
          </w:p>
        </w:tc>
        <w:tc>
          <w:tcPr>
            <w:tcW w:w="7440" w:type="dxa"/>
            <w:shd w:val="clear" w:color="auto" w:fill="auto"/>
          </w:tcPr>
          <w:p w14:paraId="6BD052DA">
            <w:pPr>
              <w:pStyle w:val="8"/>
              <w:rPr>
                <w:highlight w:val="none"/>
              </w:rPr>
            </w:pPr>
            <w:r>
              <w:rPr>
                <w:rFonts w:hint="eastAsia"/>
                <w:highlight w:val="none"/>
              </w:rPr>
              <w:t xml:space="preserve">95318 </w:t>
            </w:r>
          </w:p>
        </w:tc>
      </w:tr>
      <w:tr w14:paraId="18851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B82500">
            <w:pPr>
              <w:pStyle w:val="8"/>
              <w:rPr>
                <w:highlight w:val="none"/>
              </w:rPr>
            </w:pPr>
            <w:r>
              <w:rPr>
                <w:rFonts w:hint="eastAsia"/>
                <w:highlight w:val="none"/>
              </w:rPr>
              <w:t xml:space="preserve">网址： </w:t>
            </w:r>
          </w:p>
        </w:tc>
        <w:tc>
          <w:tcPr>
            <w:tcW w:w="7440" w:type="dxa"/>
            <w:shd w:val="clear" w:color="auto" w:fill="auto"/>
          </w:tcPr>
          <w:p w14:paraId="2481F77C">
            <w:pPr>
              <w:pStyle w:val="8"/>
              <w:rPr>
                <w:highlight w:val="none"/>
              </w:rPr>
            </w:pPr>
            <w:r>
              <w:rPr>
                <w:rFonts w:hint="eastAsia"/>
                <w:highlight w:val="none"/>
              </w:rPr>
              <w:t xml:space="preserve">http://www.hazq.com/ </w:t>
            </w:r>
          </w:p>
        </w:tc>
      </w:tr>
    </w:tbl>
    <w:p w14:paraId="458DB9D8">
      <w:pPr>
        <w:pStyle w:val="8"/>
        <w:spacing w:before="0" w:beforeAutospacing="0" w:after="0" w:afterAutospacing="0" w:line="360" w:lineRule="auto"/>
        <w:ind w:firstLine="420"/>
        <w:rPr>
          <w:sz w:val="21"/>
          <w:szCs w:val="21"/>
          <w:highlight w:val="none"/>
        </w:rPr>
      </w:pPr>
      <w:r>
        <w:rPr>
          <w:rFonts w:hint="eastAsia"/>
          <w:b/>
          <w:bCs/>
          <w:sz w:val="21"/>
          <w:szCs w:val="21"/>
          <w:highlight w:val="none"/>
        </w:rPr>
        <w:t>(29)东莞证券股份有限公司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AF7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0D5F4A">
            <w:pPr>
              <w:pStyle w:val="8"/>
              <w:rPr>
                <w:highlight w:val="none"/>
              </w:rPr>
            </w:pPr>
            <w:r>
              <w:rPr>
                <w:rFonts w:hint="eastAsia"/>
                <w:highlight w:val="none"/>
              </w:rPr>
              <w:t xml:space="preserve">注册地址： </w:t>
            </w:r>
          </w:p>
        </w:tc>
        <w:tc>
          <w:tcPr>
            <w:tcW w:w="7440" w:type="dxa"/>
            <w:shd w:val="clear" w:color="auto" w:fill="auto"/>
          </w:tcPr>
          <w:p w14:paraId="23C58B73">
            <w:pPr>
              <w:pStyle w:val="8"/>
              <w:rPr>
                <w:highlight w:val="none"/>
              </w:rPr>
            </w:pPr>
            <w:r>
              <w:rPr>
                <w:rFonts w:hint="eastAsia"/>
                <w:highlight w:val="none"/>
              </w:rPr>
              <w:t xml:space="preserve">东莞市莞城区可园南路1号金源中心30楼 </w:t>
            </w:r>
          </w:p>
        </w:tc>
      </w:tr>
      <w:tr w14:paraId="16555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499AE">
            <w:pPr>
              <w:pStyle w:val="8"/>
              <w:rPr>
                <w:highlight w:val="none"/>
              </w:rPr>
            </w:pPr>
            <w:r>
              <w:rPr>
                <w:rFonts w:hint="eastAsia"/>
                <w:highlight w:val="none"/>
              </w:rPr>
              <w:t xml:space="preserve">办公地址： </w:t>
            </w:r>
          </w:p>
        </w:tc>
        <w:tc>
          <w:tcPr>
            <w:tcW w:w="7440" w:type="dxa"/>
            <w:shd w:val="clear" w:color="auto" w:fill="auto"/>
          </w:tcPr>
          <w:p w14:paraId="1AAD448D">
            <w:pPr>
              <w:pStyle w:val="8"/>
              <w:rPr>
                <w:highlight w:val="none"/>
              </w:rPr>
            </w:pPr>
            <w:r>
              <w:rPr>
                <w:rFonts w:hint="eastAsia"/>
                <w:highlight w:val="none"/>
              </w:rPr>
              <w:t xml:space="preserve">东莞市莞城区可园南路1号金源中心30楼 </w:t>
            </w:r>
          </w:p>
        </w:tc>
      </w:tr>
      <w:tr w14:paraId="11044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853E3F">
            <w:pPr>
              <w:pStyle w:val="8"/>
              <w:rPr>
                <w:highlight w:val="none"/>
              </w:rPr>
            </w:pPr>
            <w:r>
              <w:rPr>
                <w:rFonts w:hint="eastAsia"/>
                <w:highlight w:val="none"/>
              </w:rPr>
              <w:t xml:space="preserve">法定代表人： </w:t>
            </w:r>
          </w:p>
        </w:tc>
        <w:tc>
          <w:tcPr>
            <w:tcW w:w="7440" w:type="dxa"/>
            <w:shd w:val="clear" w:color="auto" w:fill="auto"/>
          </w:tcPr>
          <w:p w14:paraId="4C3D3F1C">
            <w:pPr>
              <w:pStyle w:val="8"/>
              <w:rPr>
                <w:highlight w:val="none"/>
              </w:rPr>
            </w:pPr>
            <w:r>
              <w:rPr>
                <w:rFonts w:hint="eastAsia"/>
                <w:highlight w:val="none"/>
              </w:rPr>
              <w:t xml:space="preserve">陈照星 </w:t>
            </w:r>
          </w:p>
        </w:tc>
      </w:tr>
      <w:tr w14:paraId="19742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24195">
            <w:pPr>
              <w:pStyle w:val="8"/>
              <w:rPr>
                <w:highlight w:val="none"/>
              </w:rPr>
            </w:pPr>
            <w:r>
              <w:rPr>
                <w:rFonts w:hint="eastAsia"/>
                <w:highlight w:val="none"/>
              </w:rPr>
              <w:t xml:space="preserve">联系人： </w:t>
            </w:r>
          </w:p>
        </w:tc>
        <w:tc>
          <w:tcPr>
            <w:tcW w:w="7440" w:type="dxa"/>
            <w:shd w:val="clear" w:color="auto" w:fill="auto"/>
          </w:tcPr>
          <w:p w14:paraId="7C3C5762">
            <w:pPr>
              <w:pStyle w:val="8"/>
              <w:rPr>
                <w:highlight w:val="none"/>
              </w:rPr>
            </w:pPr>
            <w:r>
              <w:rPr>
                <w:rFonts w:hint="eastAsia"/>
                <w:highlight w:val="none"/>
              </w:rPr>
              <w:t xml:space="preserve">叶玉琪 </w:t>
            </w:r>
          </w:p>
        </w:tc>
      </w:tr>
      <w:tr w14:paraId="5BBED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532C96">
            <w:pPr>
              <w:pStyle w:val="8"/>
              <w:rPr>
                <w:highlight w:val="none"/>
              </w:rPr>
            </w:pPr>
            <w:r>
              <w:rPr>
                <w:rFonts w:hint="eastAsia"/>
                <w:highlight w:val="none"/>
              </w:rPr>
              <w:t xml:space="preserve">电话： </w:t>
            </w:r>
          </w:p>
        </w:tc>
        <w:tc>
          <w:tcPr>
            <w:tcW w:w="7440" w:type="dxa"/>
            <w:shd w:val="clear" w:color="auto" w:fill="auto"/>
          </w:tcPr>
          <w:p w14:paraId="6ADB09F7">
            <w:pPr>
              <w:pStyle w:val="8"/>
              <w:rPr>
                <w:highlight w:val="none"/>
              </w:rPr>
            </w:pPr>
            <w:r>
              <w:rPr>
                <w:rFonts w:hint="eastAsia"/>
                <w:highlight w:val="none"/>
              </w:rPr>
              <w:t xml:space="preserve">0769-22119351 </w:t>
            </w:r>
          </w:p>
        </w:tc>
      </w:tr>
      <w:tr w14:paraId="76893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016363">
            <w:pPr>
              <w:pStyle w:val="8"/>
              <w:rPr>
                <w:highlight w:val="none"/>
              </w:rPr>
            </w:pPr>
            <w:r>
              <w:rPr>
                <w:rFonts w:hint="eastAsia"/>
                <w:highlight w:val="none"/>
              </w:rPr>
              <w:t xml:space="preserve">传真： </w:t>
            </w:r>
          </w:p>
        </w:tc>
        <w:tc>
          <w:tcPr>
            <w:tcW w:w="7440" w:type="dxa"/>
            <w:shd w:val="clear" w:color="auto" w:fill="auto"/>
          </w:tcPr>
          <w:p w14:paraId="548CA571">
            <w:pPr>
              <w:pStyle w:val="8"/>
              <w:rPr>
                <w:highlight w:val="none"/>
              </w:rPr>
            </w:pPr>
            <w:r>
              <w:rPr>
                <w:rFonts w:hint="eastAsia"/>
                <w:highlight w:val="none"/>
              </w:rPr>
              <w:t xml:space="preserve">0769-22115712 </w:t>
            </w:r>
          </w:p>
        </w:tc>
      </w:tr>
      <w:tr w14:paraId="43AA5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3827C0">
            <w:pPr>
              <w:pStyle w:val="8"/>
              <w:rPr>
                <w:highlight w:val="none"/>
              </w:rPr>
            </w:pPr>
            <w:r>
              <w:rPr>
                <w:rFonts w:hint="eastAsia"/>
                <w:highlight w:val="none"/>
              </w:rPr>
              <w:t xml:space="preserve">客户服务电话： </w:t>
            </w:r>
          </w:p>
        </w:tc>
        <w:tc>
          <w:tcPr>
            <w:tcW w:w="7440" w:type="dxa"/>
            <w:shd w:val="clear" w:color="auto" w:fill="auto"/>
          </w:tcPr>
          <w:p w14:paraId="7D27ABB0">
            <w:pPr>
              <w:pStyle w:val="8"/>
              <w:rPr>
                <w:highlight w:val="none"/>
              </w:rPr>
            </w:pPr>
            <w:r>
              <w:rPr>
                <w:rFonts w:hint="eastAsia"/>
                <w:highlight w:val="none"/>
              </w:rPr>
              <w:t xml:space="preserve">95328 </w:t>
            </w:r>
          </w:p>
        </w:tc>
      </w:tr>
      <w:tr w14:paraId="76581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D5EC3D">
            <w:pPr>
              <w:pStyle w:val="8"/>
              <w:rPr>
                <w:highlight w:val="none"/>
              </w:rPr>
            </w:pPr>
            <w:r>
              <w:rPr>
                <w:rFonts w:hint="eastAsia"/>
                <w:highlight w:val="none"/>
              </w:rPr>
              <w:t xml:space="preserve">网址： </w:t>
            </w:r>
          </w:p>
        </w:tc>
        <w:tc>
          <w:tcPr>
            <w:tcW w:w="7440" w:type="dxa"/>
            <w:shd w:val="clear" w:color="auto" w:fill="auto"/>
          </w:tcPr>
          <w:p w14:paraId="36FD9ADD">
            <w:pPr>
              <w:pStyle w:val="8"/>
              <w:rPr>
                <w:highlight w:val="none"/>
              </w:rPr>
            </w:pPr>
            <w:r>
              <w:rPr>
                <w:rFonts w:hint="eastAsia"/>
                <w:highlight w:val="none"/>
              </w:rPr>
              <w:t xml:space="preserve">http://www.dgzq.com.cn </w:t>
            </w:r>
          </w:p>
        </w:tc>
      </w:tr>
    </w:tbl>
    <w:p w14:paraId="07A7D07D">
      <w:pPr>
        <w:pStyle w:val="8"/>
        <w:spacing w:before="0" w:beforeAutospacing="0" w:after="0" w:afterAutospacing="0" w:line="360" w:lineRule="auto"/>
        <w:ind w:firstLine="420"/>
        <w:rPr>
          <w:sz w:val="21"/>
          <w:szCs w:val="21"/>
          <w:highlight w:val="none"/>
        </w:rPr>
      </w:pPr>
      <w:r>
        <w:rPr>
          <w:rFonts w:hint="eastAsia"/>
          <w:b/>
          <w:bCs/>
          <w:sz w:val="21"/>
          <w:szCs w:val="21"/>
          <w:highlight w:val="none"/>
        </w:rPr>
        <w:t>(30)东海证券股份有限公司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008E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3E7FD2">
            <w:pPr>
              <w:pStyle w:val="8"/>
              <w:rPr>
                <w:highlight w:val="none"/>
              </w:rPr>
            </w:pPr>
            <w:r>
              <w:rPr>
                <w:rFonts w:hint="eastAsia"/>
                <w:highlight w:val="none"/>
              </w:rPr>
              <w:t xml:space="preserve">注册地址： </w:t>
            </w:r>
          </w:p>
        </w:tc>
        <w:tc>
          <w:tcPr>
            <w:tcW w:w="7440" w:type="dxa"/>
            <w:shd w:val="clear" w:color="auto" w:fill="auto"/>
          </w:tcPr>
          <w:p w14:paraId="3644557E">
            <w:pPr>
              <w:pStyle w:val="8"/>
              <w:rPr>
                <w:highlight w:val="none"/>
              </w:rPr>
            </w:pPr>
            <w:r>
              <w:rPr>
                <w:rFonts w:hint="eastAsia"/>
                <w:highlight w:val="none"/>
              </w:rPr>
              <w:t xml:space="preserve">江苏省常州延陵西路23号投资广场18层  </w:t>
            </w:r>
          </w:p>
        </w:tc>
      </w:tr>
      <w:tr w14:paraId="3066C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F0A2AD">
            <w:pPr>
              <w:pStyle w:val="8"/>
              <w:rPr>
                <w:highlight w:val="none"/>
              </w:rPr>
            </w:pPr>
            <w:r>
              <w:rPr>
                <w:rFonts w:hint="eastAsia"/>
                <w:highlight w:val="none"/>
              </w:rPr>
              <w:t xml:space="preserve">办公地址： </w:t>
            </w:r>
          </w:p>
        </w:tc>
        <w:tc>
          <w:tcPr>
            <w:tcW w:w="7440" w:type="dxa"/>
            <w:shd w:val="clear" w:color="auto" w:fill="auto"/>
          </w:tcPr>
          <w:p w14:paraId="6AC10605">
            <w:pPr>
              <w:pStyle w:val="8"/>
              <w:rPr>
                <w:highlight w:val="none"/>
              </w:rPr>
            </w:pPr>
            <w:r>
              <w:rPr>
                <w:rFonts w:hint="eastAsia"/>
                <w:highlight w:val="none"/>
              </w:rPr>
              <w:t xml:space="preserve">上海市浦东新区东方路1928号东海证券大厦  </w:t>
            </w:r>
          </w:p>
        </w:tc>
      </w:tr>
      <w:tr w14:paraId="3C336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7A170">
            <w:pPr>
              <w:pStyle w:val="8"/>
              <w:rPr>
                <w:highlight w:val="none"/>
              </w:rPr>
            </w:pPr>
            <w:r>
              <w:rPr>
                <w:rFonts w:hint="eastAsia"/>
                <w:highlight w:val="none"/>
              </w:rPr>
              <w:t xml:space="preserve">法定代表人： </w:t>
            </w:r>
          </w:p>
        </w:tc>
        <w:tc>
          <w:tcPr>
            <w:tcW w:w="7440" w:type="dxa"/>
            <w:shd w:val="clear" w:color="auto" w:fill="auto"/>
          </w:tcPr>
          <w:p w14:paraId="68AD0C43">
            <w:pPr>
              <w:pStyle w:val="8"/>
              <w:rPr>
                <w:highlight w:val="none"/>
              </w:rPr>
            </w:pPr>
            <w:r>
              <w:rPr>
                <w:rFonts w:hint="eastAsia"/>
                <w:highlight w:val="none"/>
              </w:rPr>
              <w:t xml:space="preserve">钱俊文 </w:t>
            </w:r>
          </w:p>
        </w:tc>
      </w:tr>
      <w:tr w14:paraId="73019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EA194">
            <w:pPr>
              <w:pStyle w:val="8"/>
              <w:rPr>
                <w:highlight w:val="none"/>
              </w:rPr>
            </w:pPr>
            <w:r>
              <w:rPr>
                <w:rFonts w:hint="eastAsia"/>
                <w:highlight w:val="none"/>
              </w:rPr>
              <w:t xml:space="preserve">联系人： </w:t>
            </w:r>
          </w:p>
        </w:tc>
        <w:tc>
          <w:tcPr>
            <w:tcW w:w="7440" w:type="dxa"/>
            <w:shd w:val="clear" w:color="auto" w:fill="auto"/>
          </w:tcPr>
          <w:p w14:paraId="1D7F7F4A">
            <w:pPr>
              <w:pStyle w:val="8"/>
              <w:rPr>
                <w:highlight w:val="none"/>
              </w:rPr>
            </w:pPr>
            <w:r>
              <w:rPr>
                <w:rFonts w:hint="eastAsia"/>
                <w:highlight w:val="none"/>
              </w:rPr>
              <w:t xml:space="preserve">王一彦 </w:t>
            </w:r>
          </w:p>
        </w:tc>
      </w:tr>
      <w:tr w14:paraId="575F5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344BF5">
            <w:pPr>
              <w:pStyle w:val="8"/>
              <w:rPr>
                <w:highlight w:val="none"/>
              </w:rPr>
            </w:pPr>
            <w:r>
              <w:rPr>
                <w:rFonts w:hint="eastAsia"/>
                <w:highlight w:val="none"/>
              </w:rPr>
              <w:t xml:space="preserve">电话： </w:t>
            </w:r>
          </w:p>
        </w:tc>
        <w:tc>
          <w:tcPr>
            <w:tcW w:w="7440" w:type="dxa"/>
            <w:shd w:val="clear" w:color="auto" w:fill="auto"/>
          </w:tcPr>
          <w:p w14:paraId="4D3F6BB1">
            <w:pPr>
              <w:pStyle w:val="8"/>
              <w:rPr>
                <w:highlight w:val="none"/>
              </w:rPr>
            </w:pPr>
            <w:r>
              <w:rPr>
                <w:rFonts w:hint="eastAsia"/>
                <w:highlight w:val="none"/>
              </w:rPr>
              <w:t xml:space="preserve">021-20333333 </w:t>
            </w:r>
          </w:p>
        </w:tc>
      </w:tr>
      <w:tr w14:paraId="21E55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62897">
            <w:pPr>
              <w:pStyle w:val="8"/>
              <w:rPr>
                <w:highlight w:val="none"/>
              </w:rPr>
            </w:pPr>
            <w:r>
              <w:rPr>
                <w:rFonts w:hint="eastAsia"/>
                <w:highlight w:val="none"/>
              </w:rPr>
              <w:t xml:space="preserve">传真： </w:t>
            </w:r>
          </w:p>
        </w:tc>
        <w:tc>
          <w:tcPr>
            <w:tcW w:w="7440" w:type="dxa"/>
            <w:shd w:val="clear" w:color="auto" w:fill="auto"/>
          </w:tcPr>
          <w:p w14:paraId="67230C58">
            <w:pPr>
              <w:pStyle w:val="8"/>
              <w:rPr>
                <w:highlight w:val="none"/>
              </w:rPr>
            </w:pPr>
            <w:r>
              <w:rPr>
                <w:rFonts w:hint="eastAsia"/>
                <w:highlight w:val="none"/>
              </w:rPr>
              <w:t xml:space="preserve">021-50498825 </w:t>
            </w:r>
          </w:p>
        </w:tc>
      </w:tr>
      <w:tr w14:paraId="1BEDC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3AEE4">
            <w:pPr>
              <w:pStyle w:val="8"/>
              <w:rPr>
                <w:highlight w:val="none"/>
              </w:rPr>
            </w:pPr>
            <w:r>
              <w:rPr>
                <w:rFonts w:hint="eastAsia"/>
                <w:highlight w:val="none"/>
              </w:rPr>
              <w:t xml:space="preserve">客户服务电话： </w:t>
            </w:r>
          </w:p>
        </w:tc>
        <w:tc>
          <w:tcPr>
            <w:tcW w:w="7440" w:type="dxa"/>
            <w:shd w:val="clear" w:color="auto" w:fill="auto"/>
          </w:tcPr>
          <w:p w14:paraId="6C1A9334">
            <w:pPr>
              <w:pStyle w:val="8"/>
              <w:rPr>
                <w:highlight w:val="none"/>
              </w:rPr>
            </w:pPr>
            <w:r>
              <w:rPr>
                <w:rFonts w:hint="eastAsia"/>
                <w:highlight w:val="none"/>
              </w:rPr>
              <w:t xml:space="preserve">95531; 4008888588 </w:t>
            </w:r>
          </w:p>
        </w:tc>
      </w:tr>
      <w:tr w14:paraId="5577F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5D82B4">
            <w:pPr>
              <w:pStyle w:val="8"/>
              <w:rPr>
                <w:highlight w:val="none"/>
              </w:rPr>
            </w:pPr>
            <w:r>
              <w:rPr>
                <w:rFonts w:hint="eastAsia"/>
                <w:highlight w:val="none"/>
              </w:rPr>
              <w:t xml:space="preserve">网址： </w:t>
            </w:r>
          </w:p>
        </w:tc>
        <w:tc>
          <w:tcPr>
            <w:tcW w:w="7440" w:type="dxa"/>
            <w:shd w:val="clear" w:color="auto" w:fill="auto"/>
          </w:tcPr>
          <w:p w14:paraId="668BE126">
            <w:pPr>
              <w:pStyle w:val="8"/>
              <w:rPr>
                <w:highlight w:val="none"/>
              </w:rPr>
            </w:pPr>
            <w:r>
              <w:rPr>
                <w:rFonts w:hint="eastAsia"/>
                <w:highlight w:val="none"/>
              </w:rPr>
              <w:t xml:space="preserve">http://www.longone.com.cn </w:t>
            </w:r>
          </w:p>
        </w:tc>
      </w:tr>
    </w:tbl>
    <w:p w14:paraId="2DF12544">
      <w:pPr>
        <w:pStyle w:val="8"/>
        <w:spacing w:before="0" w:beforeAutospacing="0" w:after="0" w:afterAutospacing="0" w:line="360" w:lineRule="auto"/>
        <w:ind w:firstLine="420"/>
        <w:rPr>
          <w:sz w:val="21"/>
          <w:szCs w:val="21"/>
          <w:highlight w:val="none"/>
        </w:rPr>
      </w:pPr>
      <w:r>
        <w:rPr>
          <w:rFonts w:hint="eastAsia"/>
          <w:b/>
          <w:bCs/>
          <w:sz w:val="21"/>
          <w:szCs w:val="21"/>
          <w:highlight w:val="none"/>
        </w:rPr>
        <w:t>(31)恒泰证券股份有限公司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B4C2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B933B">
            <w:pPr>
              <w:pStyle w:val="8"/>
              <w:rPr>
                <w:highlight w:val="none"/>
              </w:rPr>
            </w:pPr>
            <w:r>
              <w:rPr>
                <w:rFonts w:hint="eastAsia"/>
                <w:highlight w:val="none"/>
              </w:rPr>
              <w:t xml:space="preserve">注册地址： </w:t>
            </w:r>
          </w:p>
        </w:tc>
        <w:tc>
          <w:tcPr>
            <w:tcW w:w="7440" w:type="dxa"/>
            <w:shd w:val="clear" w:color="auto" w:fill="auto"/>
          </w:tcPr>
          <w:p w14:paraId="48DA4DC6">
            <w:pPr>
              <w:pStyle w:val="8"/>
              <w:rPr>
                <w:highlight w:val="none"/>
              </w:rPr>
            </w:pPr>
            <w:r>
              <w:rPr>
                <w:rFonts w:hint="eastAsia"/>
                <w:highlight w:val="none"/>
              </w:rPr>
              <w:t xml:space="preserve">内蒙古呼和浩特市新城区海拉尔东街满世尚都办公商业综合楼 </w:t>
            </w:r>
          </w:p>
        </w:tc>
      </w:tr>
      <w:tr w14:paraId="6E039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574377">
            <w:pPr>
              <w:pStyle w:val="8"/>
              <w:rPr>
                <w:highlight w:val="none"/>
              </w:rPr>
            </w:pPr>
            <w:r>
              <w:rPr>
                <w:rFonts w:hint="eastAsia"/>
                <w:highlight w:val="none"/>
              </w:rPr>
              <w:t xml:space="preserve">法定代表人： </w:t>
            </w:r>
          </w:p>
        </w:tc>
        <w:tc>
          <w:tcPr>
            <w:tcW w:w="7440" w:type="dxa"/>
            <w:shd w:val="clear" w:color="auto" w:fill="auto"/>
          </w:tcPr>
          <w:p w14:paraId="4A3DD110">
            <w:pPr>
              <w:pStyle w:val="8"/>
              <w:rPr>
                <w:highlight w:val="none"/>
              </w:rPr>
            </w:pPr>
            <w:r>
              <w:rPr>
                <w:rFonts w:hint="eastAsia"/>
                <w:highlight w:val="none"/>
              </w:rPr>
              <w:t xml:space="preserve">祝艳辉 </w:t>
            </w:r>
          </w:p>
        </w:tc>
      </w:tr>
      <w:tr w14:paraId="16EE8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0A302">
            <w:pPr>
              <w:pStyle w:val="8"/>
              <w:rPr>
                <w:highlight w:val="none"/>
              </w:rPr>
            </w:pPr>
            <w:r>
              <w:rPr>
                <w:rFonts w:hint="eastAsia"/>
                <w:highlight w:val="none"/>
              </w:rPr>
              <w:t xml:space="preserve">联系人： </w:t>
            </w:r>
          </w:p>
        </w:tc>
        <w:tc>
          <w:tcPr>
            <w:tcW w:w="7440" w:type="dxa"/>
            <w:shd w:val="clear" w:color="auto" w:fill="auto"/>
          </w:tcPr>
          <w:p w14:paraId="21493E4E">
            <w:pPr>
              <w:pStyle w:val="8"/>
              <w:rPr>
                <w:highlight w:val="none"/>
              </w:rPr>
            </w:pPr>
            <w:r>
              <w:rPr>
                <w:rFonts w:hint="eastAsia"/>
                <w:highlight w:val="none"/>
              </w:rPr>
              <w:t xml:space="preserve">熊丽 </w:t>
            </w:r>
          </w:p>
        </w:tc>
      </w:tr>
      <w:tr w14:paraId="55468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6F7F1B">
            <w:pPr>
              <w:pStyle w:val="8"/>
              <w:rPr>
                <w:highlight w:val="none"/>
              </w:rPr>
            </w:pPr>
            <w:r>
              <w:rPr>
                <w:rFonts w:hint="eastAsia"/>
                <w:highlight w:val="none"/>
              </w:rPr>
              <w:t xml:space="preserve">电话： </w:t>
            </w:r>
          </w:p>
        </w:tc>
        <w:tc>
          <w:tcPr>
            <w:tcW w:w="7440" w:type="dxa"/>
            <w:shd w:val="clear" w:color="auto" w:fill="auto"/>
          </w:tcPr>
          <w:p w14:paraId="18A2F806">
            <w:pPr>
              <w:pStyle w:val="8"/>
              <w:rPr>
                <w:highlight w:val="none"/>
              </w:rPr>
            </w:pPr>
            <w:r>
              <w:rPr>
                <w:rFonts w:hint="eastAsia"/>
                <w:highlight w:val="none"/>
              </w:rPr>
              <w:t xml:space="preserve">0471－4972675 </w:t>
            </w:r>
          </w:p>
        </w:tc>
      </w:tr>
      <w:tr w14:paraId="1F0E7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DC930">
            <w:pPr>
              <w:pStyle w:val="8"/>
              <w:rPr>
                <w:highlight w:val="none"/>
              </w:rPr>
            </w:pPr>
            <w:r>
              <w:rPr>
                <w:rFonts w:hint="eastAsia"/>
                <w:highlight w:val="none"/>
              </w:rPr>
              <w:t xml:space="preserve">客户服务电话： </w:t>
            </w:r>
          </w:p>
        </w:tc>
        <w:tc>
          <w:tcPr>
            <w:tcW w:w="7440" w:type="dxa"/>
            <w:shd w:val="clear" w:color="auto" w:fill="auto"/>
          </w:tcPr>
          <w:p w14:paraId="37136200">
            <w:pPr>
              <w:pStyle w:val="8"/>
              <w:rPr>
                <w:highlight w:val="none"/>
              </w:rPr>
            </w:pPr>
            <w:r>
              <w:rPr>
                <w:rFonts w:hint="eastAsia"/>
                <w:highlight w:val="none"/>
              </w:rPr>
              <w:t xml:space="preserve">956088 </w:t>
            </w:r>
          </w:p>
        </w:tc>
      </w:tr>
      <w:tr w14:paraId="2ADC7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34E122">
            <w:pPr>
              <w:pStyle w:val="8"/>
              <w:rPr>
                <w:highlight w:val="none"/>
              </w:rPr>
            </w:pPr>
            <w:r>
              <w:rPr>
                <w:rFonts w:hint="eastAsia"/>
                <w:highlight w:val="none"/>
              </w:rPr>
              <w:t xml:space="preserve">网址： </w:t>
            </w:r>
          </w:p>
        </w:tc>
        <w:tc>
          <w:tcPr>
            <w:tcW w:w="7440" w:type="dxa"/>
            <w:shd w:val="clear" w:color="auto" w:fill="auto"/>
          </w:tcPr>
          <w:p w14:paraId="0433FFE6">
            <w:pPr>
              <w:pStyle w:val="8"/>
              <w:rPr>
                <w:highlight w:val="none"/>
              </w:rPr>
            </w:pPr>
            <w:r>
              <w:rPr>
                <w:rFonts w:hint="eastAsia"/>
                <w:highlight w:val="none"/>
              </w:rPr>
              <w:t xml:space="preserve">http://www.cnht.com.cn/ </w:t>
            </w:r>
          </w:p>
        </w:tc>
      </w:tr>
    </w:tbl>
    <w:p w14:paraId="164815EC">
      <w:pPr>
        <w:pStyle w:val="8"/>
        <w:spacing w:before="0" w:beforeAutospacing="0" w:after="0" w:afterAutospacing="0" w:line="360" w:lineRule="auto"/>
        <w:ind w:firstLine="420"/>
        <w:rPr>
          <w:sz w:val="21"/>
          <w:szCs w:val="21"/>
          <w:highlight w:val="none"/>
        </w:rPr>
      </w:pPr>
      <w:r>
        <w:rPr>
          <w:rFonts w:hint="eastAsia"/>
          <w:b/>
          <w:bCs/>
          <w:sz w:val="21"/>
          <w:szCs w:val="21"/>
          <w:highlight w:val="none"/>
        </w:rPr>
        <w:t>(32)国盛证券有限责任公司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017F0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A7252D">
            <w:pPr>
              <w:pStyle w:val="8"/>
              <w:rPr>
                <w:highlight w:val="none"/>
              </w:rPr>
            </w:pPr>
            <w:r>
              <w:rPr>
                <w:rFonts w:hint="eastAsia"/>
                <w:highlight w:val="none"/>
              </w:rPr>
              <w:t xml:space="preserve">注册地址： </w:t>
            </w:r>
          </w:p>
        </w:tc>
        <w:tc>
          <w:tcPr>
            <w:tcW w:w="7440" w:type="dxa"/>
            <w:shd w:val="clear" w:color="auto" w:fill="auto"/>
          </w:tcPr>
          <w:p w14:paraId="1F4AFBCB">
            <w:pPr>
              <w:pStyle w:val="8"/>
              <w:rPr>
                <w:highlight w:val="none"/>
              </w:rPr>
            </w:pPr>
            <w:r>
              <w:rPr>
                <w:rFonts w:hint="eastAsia"/>
                <w:highlight w:val="none"/>
              </w:rPr>
              <w:t xml:space="preserve">江西省南昌市新建区子实路1589号 </w:t>
            </w:r>
          </w:p>
        </w:tc>
      </w:tr>
      <w:tr w14:paraId="6B8D8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58C3D">
            <w:pPr>
              <w:pStyle w:val="8"/>
              <w:rPr>
                <w:highlight w:val="none"/>
              </w:rPr>
            </w:pPr>
            <w:r>
              <w:rPr>
                <w:rFonts w:hint="eastAsia"/>
                <w:highlight w:val="none"/>
              </w:rPr>
              <w:t xml:space="preserve">办公地址： </w:t>
            </w:r>
          </w:p>
        </w:tc>
        <w:tc>
          <w:tcPr>
            <w:tcW w:w="7440" w:type="dxa"/>
            <w:shd w:val="clear" w:color="auto" w:fill="auto"/>
          </w:tcPr>
          <w:p w14:paraId="59B67E61">
            <w:pPr>
              <w:pStyle w:val="8"/>
              <w:rPr>
                <w:highlight w:val="none"/>
              </w:rPr>
            </w:pPr>
            <w:r>
              <w:rPr>
                <w:rFonts w:hint="eastAsia"/>
                <w:highlight w:val="none"/>
              </w:rPr>
              <w:t xml:space="preserve">江西省南昌市红谷滩新区凤凰中大道1115号北京银行大厦 </w:t>
            </w:r>
          </w:p>
        </w:tc>
      </w:tr>
      <w:tr w14:paraId="40449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EF8EC8">
            <w:pPr>
              <w:pStyle w:val="8"/>
              <w:rPr>
                <w:highlight w:val="none"/>
              </w:rPr>
            </w:pPr>
            <w:r>
              <w:rPr>
                <w:rFonts w:hint="eastAsia"/>
                <w:highlight w:val="none"/>
              </w:rPr>
              <w:t xml:space="preserve">法定代表人： </w:t>
            </w:r>
          </w:p>
        </w:tc>
        <w:tc>
          <w:tcPr>
            <w:tcW w:w="7440" w:type="dxa"/>
            <w:shd w:val="clear" w:color="auto" w:fill="auto"/>
          </w:tcPr>
          <w:p w14:paraId="1DB9AE3C">
            <w:pPr>
              <w:pStyle w:val="8"/>
              <w:rPr>
                <w:highlight w:val="none"/>
              </w:rPr>
            </w:pPr>
            <w:r>
              <w:rPr>
                <w:rFonts w:hint="eastAsia"/>
                <w:highlight w:val="none"/>
              </w:rPr>
              <w:t xml:space="preserve">刘朝东 </w:t>
            </w:r>
          </w:p>
        </w:tc>
      </w:tr>
      <w:tr w14:paraId="06447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64B3B">
            <w:pPr>
              <w:pStyle w:val="8"/>
              <w:rPr>
                <w:highlight w:val="none"/>
              </w:rPr>
            </w:pPr>
            <w:r>
              <w:rPr>
                <w:rFonts w:hint="eastAsia"/>
                <w:highlight w:val="none"/>
              </w:rPr>
              <w:t xml:space="preserve">联系人： </w:t>
            </w:r>
          </w:p>
        </w:tc>
        <w:tc>
          <w:tcPr>
            <w:tcW w:w="7440" w:type="dxa"/>
            <w:shd w:val="clear" w:color="auto" w:fill="auto"/>
          </w:tcPr>
          <w:p w14:paraId="47EB1232">
            <w:pPr>
              <w:pStyle w:val="8"/>
              <w:rPr>
                <w:highlight w:val="none"/>
              </w:rPr>
            </w:pPr>
            <w:r>
              <w:rPr>
                <w:rFonts w:hint="eastAsia"/>
                <w:highlight w:val="none"/>
              </w:rPr>
              <w:t xml:space="preserve">占文驰 </w:t>
            </w:r>
          </w:p>
        </w:tc>
      </w:tr>
      <w:tr w14:paraId="128A3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8A53A6">
            <w:pPr>
              <w:pStyle w:val="8"/>
              <w:rPr>
                <w:highlight w:val="none"/>
              </w:rPr>
            </w:pPr>
            <w:r>
              <w:rPr>
                <w:rFonts w:hint="eastAsia"/>
                <w:highlight w:val="none"/>
              </w:rPr>
              <w:t xml:space="preserve">电话： </w:t>
            </w:r>
          </w:p>
        </w:tc>
        <w:tc>
          <w:tcPr>
            <w:tcW w:w="7440" w:type="dxa"/>
            <w:shd w:val="clear" w:color="auto" w:fill="auto"/>
          </w:tcPr>
          <w:p w14:paraId="5644E6C7">
            <w:pPr>
              <w:pStyle w:val="8"/>
              <w:rPr>
                <w:highlight w:val="none"/>
              </w:rPr>
            </w:pPr>
            <w:r>
              <w:rPr>
                <w:rFonts w:hint="eastAsia"/>
                <w:highlight w:val="none"/>
              </w:rPr>
              <w:t xml:space="preserve">0791－86283372 </w:t>
            </w:r>
          </w:p>
        </w:tc>
      </w:tr>
      <w:tr w14:paraId="74C0F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34C35">
            <w:pPr>
              <w:pStyle w:val="8"/>
              <w:rPr>
                <w:highlight w:val="none"/>
              </w:rPr>
            </w:pPr>
            <w:r>
              <w:rPr>
                <w:rFonts w:hint="eastAsia"/>
                <w:highlight w:val="none"/>
              </w:rPr>
              <w:t xml:space="preserve">传真： </w:t>
            </w:r>
          </w:p>
        </w:tc>
        <w:tc>
          <w:tcPr>
            <w:tcW w:w="7440" w:type="dxa"/>
            <w:shd w:val="clear" w:color="auto" w:fill="auto"/>
          </w:tcPr>
          <w:p w14:paraId="463B1EB4">
            <w:pPr>
              <w:pStyle w:val="8"/>
              <w:rPr>
                <w:highlight w:val="none"/>
              </w:rPr>
            </w:pPr>
            <w:r>
              <w:rPr>
                <w:rFonts w:hint="eastAsia"/>
                <w:highlight w:val="none"/>
              </w:rPr>
              <w:t xml:space="preserve">0791－6289395 </w:t>
            </w:r>
          </w:p>
        </w:tc>
      </w:tr>
      <w:tr w14:paraId="32BE0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C2FAB">
            <w:pPr>
              <w:pStyle w:val="8"/>
              <w:rPr>
                <w:highlight w:val="none"/>
              </w:rPr>
            </w:pPr>
            <w:r>
              <w:rPr>
                <w:rFonts w:hint="eastAsia"/>
                <w:highlight w:val="none"/>
              </w:rPr>
              <w:t xml:space="preserve">客户服务电话： </w:t>
            </w:r>
          </w:p>
        </w:tc>
        <w:tc>
          <w:tcPr>
            <w:tcW w:w="7440" w:type="dxa"/>
            <w:shd w:val="clear" w:color="auto" w:fill="auto"/>
          </w:tcPr>
          <w:p w14:paraId="5D1403A9">
            <w:pPr>
              <w:pStyle w:val="8"/>
              <w:rPr>
                <w:highlight w:val="none"/>
              </w:rPr>
            </w:pPr>
            <w:r>
              <w:rPr>
                <w:rFonts w:hint="eastAsia"/>
                <w:highlight w:val="none"/>
              </w:rPr>
              <w:t xml:space="preserve">956080 </w:t>
            </w:r>
          </w:p>
        </w:tc>
      </w:tr>
      <w:tr w14:paraId="5E222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8229F">
            <w:pPr>
              <w:pStyle w:val="8"/>
              <w:rPr>
                <w:highlight w:val="none"/>
              </w:rPr>
            </w:pPr>
            <w:r>
              <w:rPr>
                <w:rFonts w:hint="eastAsia"/>
                <w:highlight w:val="none"/>
              </w:rPr>
              <w:t xml:space="preserve">网址： </w:t>
            </w:r>
          </w:p>
        </w:tc>
        <w:tc>
          <w:tcPr>
            <w:tcW w:w="7440" w:type="dxa"/>
            <w:shd w:val="clear" w:color="auto" w:fill="auto"/>
          </w:tcPr>
          <w:p w14:paraId="4602E830">
            <w:pPr>
              <w:pStyle w:val="8"/>
              <w:rPr>
                <w:highlight w:val="none"/>
              </w:rPr>
            </w:pPr>
            <w:r>
              <w:rPr>
                <w:rFonts w:hint="eastAsia"/>
                <w:highlight w:val="none"/>
              </w:rPr>
              <w:t xml:space="preserve">https://www.gszq.com/ </w:t>
            </w:r>
          </w:p>
        </w:tc>
      </w:tr>
    </w:tbl>
    <w:p w14:paraId="6AB36708">
      <w:pPr>
        <w:pStyle w:val="8"/>
        <w:spacing w:before="0" w:beforeAutospacing="0" w:after="0" w:afterAutospacing="0" w:line="360" w:lineRule="auto"/>
        <w:ind w:firstLine="420"/>
        <w:rPr>
          <w:sz w:val="21"/>
          <w:szCs w:val="21"/>
          <w:highlight w:val="none"/>
        </w:rPr>
      </w:pPr>
      <w:r>
        <w:rPr>
          <w:rFonts w:hint="eastAsia"/>
          <w:b/>
          <w:bCs/>
          <w:sz w:val="21"/>
          <w:szCs w:val="21"/>
          <w:highlight w:val="none"/>
        </w:rPr>
        <w:t>(33)申万宏源西部证券有限公司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8006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271CA5">
            <w:pPr>
              <w:pStyle w:val="8"/>
              <w:rPr>
                <w:highlight w:val="none"/>
              </w:rPr>
            </w:pPr>
            <w:r>
              <w:rPr>
                <w:rFonts w:hint="eastAsia"/>
                <w:highlight w:val="none"/>
              </w:rPr>
              <w:t xml:space="preserve">注册地址： </w:t>
            </w:r>
          </w:p>
        </w:tc>
        <w:tc>
          <w:tcPr>
            <w:tcW w:w="7440" w:type="dxa"/>
            <w:shd w:val="clear" w:color="auto" w:fill="auto"/>
          </w:tcPr>
          <w:p w14:paraId="3A9C31EB">
            <w:pPr>
              <w:pStyle w:val="8"/>
              <w:rPr>
                <w:highlight w:val="none"/>
              </w:rPr>
            </w:pPr>
            <w:r>
              <w:rPr>
                <w:rFonts w:hint="eastAsia"/>
                <w:highlight w:val="none"/>
              </w:rPr>
              <w:t xml:space="preserve">新疆乌鲁木齐市高新区（新市区）北京南路358号大成国际大厦20楼2005室 </w:t>
            </w:r>
          </w:p>
        </w:tc>
      </w:tr>
      <w:tr w14:paraId="02F74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79CC98">
            <w:pPr>
              <w:pStyle w:val="8"/>
              <w:rPr>
                <w:highlight w:val="none"/>
              </w:rPr>
            </w:pPr>
            <w:r>
              <w:rPr>
                <w:rFonts w:hint="eastAsia"/>
                <w:highlight w:val="none"/>
              </w:rPr>
              <w:t xml:space="preserve">办公地址： </w:t>
            </w:r>
          </w:p>
        </w:tc>
        <w:tc>
          <w:tcPr>
            <w:tcW w:w="7440" w:type="dxa"/>
            <w:shd w:val="clear" w:color="auto" w:fill="auto"/>
          </w:tcPr>
          <w:p w14:paraId="72A077EE">
            <w:pPr>
              <w:pStyle w:val="8"/>
              <w:rPr>
                <w:highlight w:val="none"/>
              </w:rPr>
            </w:pPr>
            <w:r>
              <w:rPr>
                <w:rFonts w:hint="eastAsia"/>
                <w:highlight w:val="none"/>
              </w:rPr>
              <w:t xml:space="preserve">新疆乌鲁木齐市高新区（新市区）北京南路358号大成国际大厦20楼2005室 </w:t>
            </w:r>
          </w:p>
        </w:tc>
      </w:tr>
      <w:tr w14:paraId="58575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51431">
            <w:pPr>
              <w:pStyle w:val="8"/>
              <w:rPr>
                <w:highlight w:val="none"/>
              </w:rPr>
            </w:pPr>
            <w:r>
              <w:rPr>
                <w:rFonts w:hint="eastAsia"/>
                <w:highlight w:val="none"/>
              </w:rPr>
              <w:t xml:space="preserve">法定代表人： </w:t>
            </w:r>
          </w:p>
        </w:tc>
        <w:tc>
          <w:tcPr>
            <w:tcW w:w="7440" w:type="dxa"/>
            <w:shd w:val="clear" w:color="auto" w:fill="auto"/>
          </w:tcPr>
          <w:p w14:paraId="76DF61CB">
            <w:pPr>
              <w:pStyle w:val="8"/>
              <w:rPr>
                <w:highlight w:val="none"/>
              </w:rPr>
            </w:pPr>
            <w:r>
              <w:rPr>
                <w:rFonts w:hint="eastAsia"/>
                <w:highlight w:val="none"/>
              </w:rPr>
              <w:t xml:space="preserve">王献军  </w:t>
            </w:r>
          </w:p>
        </w:tc>
      </w:tr>
      <w:tr w14:paraId="69644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053E84">
            <w:pPr>
              <w:pStyle w:val="8"/>
              <w:rPr>
                <w:highlight w:val="none"/>
              </w:rPr>
            </w:pPr>
            <w:r>
              <w:rPr>
                <w:rFonts w:hint="eastAsia"/>
                <w:highlight w:val="none"/>
              </w:rPr>
              <w:t xml:space="preserve">联系人： </w:t>
            </w:r>
          </w:p>
        </w:tc>
        <w:tc>
          <w:tcPr>
            <w:tcW w:w="7440" w:type="dxa"/>
            <w:shd w:val="clear" w:color="auto" w:fill="auto"/>
          </w:tcPr>
          <w:p w14:paraId="79513AA4">
            <w:pPr>
              <w:pStyle w:val="8"/>
              <w:rPr>
                <w:highlight w:val="none"/>
              </w:rPr>
            </w:pPr>
            <w:r>
              <w:rPr>
                <w:rFonts w:hint="eastAsia"/>
                <w:highlight w:val="none"/>
              </w:rPr>
              <w:t xml:space="preserve">梁丽 </w:t>
            </w:r>
          </w:p>
        </w:tc>
      </w:tr>
      <w:tr w14:paraId="06F45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E7C30E">
            <w:pPr>
              <w:pStyle w:val="8"/>
              <w:rPr>
                <w:highlight w:val="none"/>
              </w:rPr>
            </w:pPr>
            <w:r>
              <w:rPr>
                <w:rFonts w:hint="eastAsia"/>
                <w:highlight w:val="none"/>
              </w:rPr>
              <w:t xml:space="preserve">电话： </w:t>
            </w:r>
          </w:p>
        </w:tc>
        <w:tc>
          <w:tcPr>
            <w:tcW w:w="7440" w:type="dxa"/>
            <w:shd w:val="clear" w:color="auto" w:fill="auto"/>
          </w:tcPr>
          <w:p w14:paraId="13191526">
            <w:pPr>
              <w:pStyle w:val="8"/>
              <w:rPr>
                <w:highlight w:val="none"/>
              </w:rPr>
            </w:pPr>
            <w:r>
              <w:rPr>
                <w:rFonts w:hint="eastAsia"/>
                <w:highlight w:val="none"/>
              </w:rPr>
              <w:t xml:space="preserve">0991-2307105 </w:t>
            </w:r>
          </w:p>
        </w:tc>
      </w:tr>
      <w:tr w14:paraId="2359F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D1446E">
            <w:pPr>
              <w:pStyle w:val="8"/>
              <w:rPr>
                <w:highlight w:val="none"/>
              </w:rPr>
            </w:pPr>
            <w:r>
              <w:rPr>
                <w:rFonts w:hint="eastAsia"/>
                <w:highlight w:val="none"/>
              </w:rPr>
              <w:t xml:space="preserve">传真： </w:t>
            </w:r>
          </w:p>
        </w:tc>
        <w:tc>
          <w:tcPr>
            <w:tcW w:w="7440" w:type="dxa"/>
            <w:shd w:val="clear" w:color="auto" w:fill="auto"/>
          </w:tcPr>
          <w:p w14:paraId="2FEF71B0">
            <w:pPr>
              <w:pStyle w:val="8"/>
              <w:rPr>
                <w:highlight w:val="none"/>
              </w:rPr>
            </w:pPr>
            <w:r>
              <w:rPr>
                <w:rFonts w:hint="eastAsia"/>
                <w:highlight w:val="none"/>
              </w:rPr>
              <w:t xml:space="preserve">010-88085195 </w:t>
            </w:r>
          </w:p>
        </w:tc>
      </w:tr>
      <w:tr w14:paraId="715FC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D1BD24">
            <w:pPr>
              <w:pStyle w:val="8"/>
              <w:rPr>
                <w:highlight w:val="none"/>
              </w:rPr>
            </w:pPr>
            <w:r>
              <w:rPr>
                <w:rFonts w:hint="eastAsia"/>
                <w:highlight w:val="none"/>
              </w:rPr>
              <w:t xml:space="preserve">客户服务电话： </w:t>
            </w:r>
          </w:p>
        </w:tc>
        <w:tc>
          <w:tcPr>
            <w:tcW w:w="7440" w:type="dxa"/>
            <w:shd w:val="clear" w:color="auto" w:fill="auto"/>
          </w:tcPr>
          <w:p w14:paraId="5BEF80A0">
            <w:pPr>
              <w:pStyle w:val="8"/>
              <w:rPr>
                <w:highlight w:val="none"/>
              </w:rPr>
            </w:pPr>
            <w:r>
              <w:rPr>
                <w:rFonts w:hint="eastAsia"/>
                <w:highlight w:val="none"/>
              </w:rPr>
              <w:t xml:space="preserve">95523或4008895523 </w:t>
            </w:r>
          </w:p>
        </w:tc>
      </w:tr>
      <w:tr w14:paraId="03F89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19833">
            <w:pPr>
              <w:pStyle w:val="8"/>
              <w:rPr>
                <w:highlight w:val="none"/>
              </w:rPr>
            </w:pPr>
            <w:r>
              <w:rPr>
                <w:rFonts w:hint="eastAsia"/>
                <w:highlight w:val="none"/>
              </w:rPr>
              <w:t xml:space="preserve">网址： </w:t>
            </w:r>
          </w:p>
        </w:tc>
        <w:tc>
          <w:tcPr>
            <w:tcW w:w="7440" w:type="dxa"/>
            <w:shd w:val="clear" w:color="auto" w:fill="auto"/>
          </w:tcPr>
          <w:p w14:paraId="01E682E9">
            <w:pPr>
              <w:pStyle w:val="8"/>
              <w:rPr>
                <w:highlight w:val="none"/>
              </w:rPr>
            </w:pPr>
            <w:r>
              <w:rPr>
                <w:rFonts w:hint="eastAsia"/>
                <w:highlight w:val="none"/>
              </w:rPr>
              <w:t xml:space="preserve">www.swhysc.com </w:t>
            </w:r>
          </w:p>
        </w:tc>
      </w:tr>
    </w:tbl>
    <w:p w14:paraId="72C701DD">
      <w:pPr>
        <w:pStyle w:val="8"/>
        <w:spacing w:before="0" w:beforeAutospacing="0" w:after="0" w:afterAutospacing="0" w:line="360" w:lineRule="auto"/>
        <w:ind w:firstLine="420"/>
        <w:rPr>
          <w:sz w:val="21"/>
          <w:szCs w:val="21"/>
          <w:highlight w:val="none"/>
        </w:rPr>
      </w:pPr>
      <w:r>
        <w:rPr>
          <w:rFonts w:hint="eastAsia"/>
          <w:b/>
          <w:bCs/>
          <w:sz w:val="21"/>
          <w:szCs w:val="21"/>
          <w:highlight w:val="none"/>
        </w:rPr>
        <w:t>(34)中泰证券股份有限公司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7"/>
        <w:gridCol w:w="5966"/>
      </w:tblGrid>
      <w:tr w14:paraId="1A94A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889429">
            <w:pPr>
              <w:pStyle w:val="8"/>
              <w:rPr>
                <w:highlight w:val="none"/>
              </w:rPr>
            </w:pPr>
            <w:r>
              <w:rPr>
                <w:rFonts w:hint="eastAsia"/>
                <w:highlight w:val="none"/>
              </w:rPr>
              <w:t xml:space="preserve">注册地址： </w:t>
            </w:r>
          </w:p>
        </w:tc>
        <w:tc>
          <w:tcPr>
            <w:tcW w:w="7440" w:type="dxa"/>
            <w:shd w:val="clear" w:color="auto" w:fill="auto"/>
          </w:tcPr>
          <w:p w14:paraId="65474F7C">
            <w:pPr>
              <w:pStyle w:val="8"/>
              <w:rPr>
                <w:highlight w:val="none"/>
              </w:rPr>
            </w:pPr>
            <w:r>
              <w:rPr>
                <w:rFonts w:hint="eastAsia"/>
                <w:highlight w:val="none"/>
              </w:rPr>
              <w:t xml:space="preserve">济南市市中区经七路86号 </w:t>
            </w:r>
          </w:p>
        </w:tc>
      </w:tr>
      <w:tr w14:paraId="278FF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A9EDFB">
            <w:pPr>
              <w:pStyle w:val="8"/>
              <w:rPr>
                <w:highlight w:val="none"/>
              </w:rPr>
            </w:pPr>
            <w:r>
              <w:rPr>
                <w:rFonts w:hint="eastAsia"/>
                <w:highlight w:val="none"/>
              </w:rPr>
              <w:t xml:space="preserve">办公地址： </w:t>
            </w:r>
          </w:p>
        </w:tc>
        <w:tc>
          <w:tcPr>
            <w:tcW w:w="7440" w:type="dxa"/>
            <w:shd w:val="clear" w:color="auto" w:fill="auto"/>
          </w:tcPr>
          <w:p w14:paraId="635AB5DD">
            <w:pPr>
              <w:pStyle w:val="8"/>
              <w:rPr>
                <w:highlight w:val="none"/>
              </w:rPr>
            </w:pPr>
            <w:r>
              <w:rPr>
                <w:rFonts w:hint="eastAsia"/>
                <w:highlight w:val="none"/>
              </w:rPr>
              <w:t xml:space="preserve">山东省济南市市中区经七路86号证券大厦2309 </w:t>
            </w:r>
          </w:p>
        </w:tc>
      </w:tr>
      <w:tr w14:paraId="6465C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C94FF9">
            <w:pPr>
              <w:pStyle w:val="8"/>
              <w:rPr>
                <w:highlight w:val="none"/>
              </w:rPr>
            </w:pPr>
            <w:r>
              <w:rPr>
                <w:rFonts w:hint="eastAsia"/>
                <w:highlight w:val="none"/>
              </w:rPr>
              <w:t xml:space="preserve">法定代表人： </w:t>
            </w:r>
          </w:p>
        </w:tc>
        <w:tc>
          <w:tcPr>
            <w:tcW w:w="7440" w:type="dxa"/>
            <w:shd w:val="clear" w:color="auto" w:fill="auto"/>
          </w:tcPr>
          <w:p w14:paraId="7052D6CE">
            <w:pPr>
              <w:pStyle w:val="8"/>
              <w:rPr>
                <w:highlight w:val="none"/>
              </w:rPr>
            </w:pPr>
            <w:r>
              <w:rPr>
                <w:rFonts w:hint="eastAsia"/>
                <w:highlight w:val="none"/>
              </w:rPr>
              <w:t xml:space="preserve">王洪 </w:t>
            </w:r>
          </w:p>
        </w:tc>
      </w:tr>
      <w:tr w14:paraId="7C877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C91EC">
            <w:pPr>
              <w:pStyle w:val="8"/>
              <w:rPr>
                <w:highlight w:val="none"/>
              </w:rPr>
            </w:pPr>
            <w:r>
              <w:rPr>
                <w:rFonts w:hint="eastAsia"/>
                <w:highlight w:val="none"/>
              </w:rPr>
              <w:t xml:space="preserve">联系人： </w:t>
            </w:r>
          </w:p>
        </w:tc>
        <w:tc>
          <w:tcPr>
            <w:tcW w:w="7440" w:type="dxa"/>
            <w:shd w:val="clear" w:color="auto" w:fill="auto"/>
          </w:tcPr>
          <w:p w14:paraId="14D5DB74">
            <w:pPr>
              <w:pStyle w:val="8"/>
              <w:rPr>
                <w:highlight w:val="none"/>
              </w:rPr>
            </w:pPr>
            <w:r>
              <w:rPr>
                <w:rFonts w:hint="eastAsia"/>
                <w:highlight w:val="none"/>
              </w:rPr>
              <w:t xml:space="preserve">张峰源 </w:t>
            </w:r>
          </w:p>
        </w:tc>
      </w:tr>
      <w:tr w14:paraId="42CB5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7541D">
            <w:pPr>
              <w:pStyle w:val="8"/>
              <w:rPr>
                <w:highlight w:val="none"/>
              </w:rPr>
            </w:pPr>
            <w:r>
              <w:rPr>
                <w:rFonts w:hint="eastAsia"/>
                <w:highlight w:val="none"/>
              </w:rPr>
              <w:t xml:space="preserve">电话： </w:t>
            </w:r>
          </w:p>
        </w:tc>
        <w:tc>
          <w:tcPr>
            <w:tcW w:w="7440" w:type="dxa"/>
            <w:shd w:val="clear" w:color="auto" w:fill="auto"/>
          </w:tcPr>
          <w:p w14:paraId="2FAB3EC5">
            <w:pPr>
              <w:pStyle w:val="8"/>
              <w:rPr>
                <w:highlight w:val="none"/>
              </w:rPr>
            </w:pPr>
            <w:r>
              <w:rPr>
                <w:rFonts w:hint="eastAsia"/>
                <w:highlight w:val="none"/>
              </w:rPr>
              <w:t xml:space="preserve">021-20315719 </w:t>
            </w:r>
          </w:p>
        </w:tc>
      </w:tr>
      <w:tr w14:paraId="37A97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043E3E">
            <w:pPr>
              <w:pStyle w:val="8"/>
              <w:rPr>
                <w:highlight w:val="none"/>
              </w:rPr>
            </w:pPr>
            <w:r>
              <w:rPr>
                <w:rFonts w:hint="eastAsia"/>
                <w:highlight w:val="none"/>
              </w:rPr>
              <w:t xml:space="preserve">客户服务电话： </w:t>
            </w:r>
          </w:p>
        </w:tc>
        <w:tc>
          <w:tcPr>
            <w:tcW w:w="7440" w:type="dxa"/>
            <w:shd w:val="clear" w:color="auto" w:fill="auto"/>
          </w:tcPr>
          <w:p w14:paraId="676CD0E8">
            <w:pPr>
              <w:pStyle w:val="8"/>
              <w:rPr>
                <w:highlight w:val="none"/>
              </w:rPr>
            </w:pPr>
            <w:r>
              <w:rPr>
                <w:rFonts w:hint="eastAsia"/>
                <w:highlight w:val="none"/>
              </w:rPr>
              <w:t xml:space="preserve">95538 </w:t>
            </w:r>
          </w:p>
        </w:tc>
      </w:tr>
      <w:tr w14:paraId="7CC08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842599">
            <w:pPr>
              <w:pStyle w:val="8"/>
              <w:rPr>
                <w:highlight w:val="none"/>
              </w:rPr>
            </w:pPr>
            <w:r>
              <w:rPr>
                <w:rFonts w:hint="eastAsia"/>
                <w:highlight w:val="none"/>
              </w:rPr>
              <w:t xml:space="preserve">网址： </w:t>
            </w:r>
          </w:p>
        </w:tc>
        <w:tc>
          <w:tcPr>
            <w:tcW w:w="7440" w:type="dxa"/>
            <w:shd w:val="clear" w:color="auto" w:fill="auto"/>
          </w:tcPr>
          <w:p w14:paraId="23771116">
            <w:pPr>
              <w:pStyle w:val="8"/>
              <w:rPr>
                <w:highlight w:val="none"/>
              </w:rPr>
            </w:pPr>
            <w:r>
              <w:rPr>
                <w:rFonts w:hint="eastAsia"/>
                <w:highlight w:val="none"/>
              </w:rPr>
              <w:t xml:space="preserve">www.zts.com.cn </w:t>
            </w:r>
          </w:p>
        </w:tc>
      </w:tr>
    </w:tbl>
    <w:p w14:paraId="6909919A">
      <w:pPr>
        <w:pStyle w:val="8"/>
        <w:spacing w:before="0" w:beforeAutospacing="0" w:after="0" w:afterAutospacing="0" w:line="360" w:lineRule="auto"/>
        <w:ind w:firstLine="420"/>
        <w:rPr>
          <w:sz w:val="21"/>
          <w:szCs w:val="21"/>
          <w:highlight w:val="none"/>
        </w:rPr>
      </w:pPr>
      <w:r>
        <w:rPr>
          <w:rFonts w:hint="eastAsia"/>
          <w:b/>
          <w:bCs/>
          <w:sz w:val="21"/>
          <w:szCs w:val="21"/>
          <w:highlight w:val="none"/>
        </w:rPr>
        <w:t>(35)金元证券股份有限公司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2CB9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372E1">
            <w:pPr>
              <w:pStyle w:val="8"/>
              <w:rPr>
                <w:highlight w:val="none"/>
              </w:rPr>
            </w:pPr>
            <w:r>
              <w:rPr>
                <w:rFonts w:hint="eastAsia"/>
                <w:highlight w:val="none"/>
              </w:rPr>
              <w:t xml:space="preserve">注册地址： </w:t>
            </w:r>
          </w:p>
        </w:tc>
        <w:tc>
          <w:tcPr>
            <w:tcW w:w="7440" w:type="dxa"/>
            <w:shd w:val="clear" w:color="auto" w:fill="auto"/>
          </w:tcPr>
          <w:p w14:paraId="04B1E951">
            <w:pPr>
              <w:pStyle w:val="8"/>
              <w:rPr>
                <w:highlight w:val="none"/>
              </w:rPr>
            </w:pPr>
            <w:r>
              <w:rPr>
                <w:rFonts w:hint="eastAsia"/>
                <w:highlight w:val="none"/>
              </w:rPr>
              <w:t xml:space="preserve">海口市南宝路36号证券大厦4楼 </w:t>
            </w:r>
          </w:p>
        </w:tc>
      </w:tr>
      <w:tr w14:paraId="3C8C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090A99">
            <w:pPr>
              <w:pStyle w:val="8"/>
              <w:rPr>
                <w:highlight w:val="none"/>
              </w:rPr>
            </w:pPr>
            <w:r>
              <w:rPr>
                <w:rFonts w:hint="eastAsia"/>
                <w:highlight w:val="none"/>
              </w:rPr>
              <w:t xml:space="preserve">办公地址： </w:t>
            </w:r>
          </w:p>
        </w:tc>
        <w:tc>
          <w:tcPr>
            <w:tcW w:w="7440" w:type="dxa"/>
            <w:shd w:val="clear" w:color="auto" w:fill="auto"/>
          </w:tcPr>
          <w:p w14:paraId="42E9BEB7">
            <w:pPr>
              <w:pStyle w:val="8"/>
              <w:rPr>
                <w:highlight w:val="none"/>
              </w:rPr>
            </w:pPr>
            <w:r>
              <w:rPr>
                <w:rFonts w:hint="eastAsia"/>
                <w:highlight w:val="none"/>
              </w:rPr>
              <w:t xml:space="preserve">深圳市福田区深南大道4001号时代金融中心17楼 </w:t>
            </w:r>
          </w:p>
        </w:tc>
      </w:tr>
      <w:tr w14:paraId="47483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965F3">
            <w:pPr>
              <w:pStyle w:val="8"/>
              <w:rPr>
                <w:highlight w:val="none"/>
              </w:rPr>
            </w:pPr>
            <w:r>
              <w:rPr>
                <w:rFonts w:hint="eastAsia"/>
                <w:highlight w:val="none"/>
              </w:rPr>
              <w:t xml:space="preserve">法定代表人： </w:t>
            </w:r>
          </w:p>
        </w:tc>
        <w:tc>
          <w:tcPr>
            <w:tcW w:w="7440" w:type="dxa"/>
            <w:shd w:val="clear" w:color="auto" w:fill="auto"/>
          </w:tcPr>
          <w:p w14:paraId="6B1D7F97">
            <w:pPr>
              <w:pStyle w:val="8"/>
              <w:rPr>
                <w:highlight w:val="none"/>
              </w:rPr>
            </w:pPr>
            <w:r>
              <w:rPr>
                <w:rFonts w:hint="eastAsia"/>
                <w:highlight w:val="none"/>
              </w:rPr>
              <w:t xml:space="preserve">陆涛 </w:t>
            </w:r>
          </w:p>
        </w:tc>
      </w:tr>
      <w:tr w14:paraId="4B3AE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68F1A7">
            <w:pPr>
              <w:pStyle w:val="8"/>
              <w:rPr>
                <w:highlight w:val="none"/>
              </w:rPr>
            </w:pPr>
            <w:r>
              <w:rPr>
                <w:rFonts w:hint="eastAsia"/>
                <w:highlight w:val="none"/>
              </w:rPr>
              <w:t xml:space="preserve">联系人： </w:t>
            </w:r>
          </w:p>
        </w:tc>
        <w:tc>
          <w:tcPr>
            <w:tcW w:w="7440" w:type="dxa"/>
            <w:shd w:val="clear" w:color="auto" w:fill="auto"/>
          </w:tcPr>
          <w:p w14:paraId="4578A0C3">
            <w:pPr>
              <w:pStyle w:val="8"/>
              <w:rPr>
                <w:highlight w:val="none"/>
              </w:rPr>
            </w:pPr>
            <w:r>
              <w:rPr>
                <w:rFonts w:hint="eastAsia"/>
                <w:highlight w:val="none"/>
              </w:rPr>
              <w:t xml:space="preserve">马贤清 </w:t>
            </w:r>
          </w:p>
        </w:tc>
      </w:tr>
      <w:tr w14:paraId="77520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936F6">
            <w:pPr>
              <w:pStyle w:val="8"/>
              <w:rPr>
                <w:highlight w:val="none"/>
              </w:rPr>
            </w:pPr>
            <w:r>
              <w:rPr>
                <w:rFonts w:hint="eastAsia"/>
                <w:highlight w:val="none"/>
              </w:rPr>
              <w:t xml:space="preserve">电话： </w:t>
            </w:r>
          </w:p>
        </w:tc>
        <w:tc>
          <w:tcPr>
            <w:tcW w:w="7440" w:type="dxa"/>
            <w:shd w:val="clear" w:color="auto" w:fill="auto"/>
          </w:tcPr>
          <w:p w14:paraId="1F770FC7">
            <w:pPr>
              <w:pStyle w:val="8"/>
              <w:rPr>
                <w:highlight w:val="none"/>
              </w:rPr>
            </w:pPr>
            <w:r>
              <w:rPr>
                <w:rFonts w:hint="eastAsia"/>
                <w:highlight w:val="none"/>
              </w:rPr>
              <w:t xml:space="preserve">0755-83025022 </w:t>
            </w:r>
          </w:p>
        </w:tc>
      </w:tr>
      <w:tr w14:paraId="30FBF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606EA7">
            <w:pPr>
              <w:pStyle w:val="8"/>
              <w:rPr>
                <w:highlight w:val="none"/>
              </w:rPr>
            </w:pPr>
            <w:r>
              <w:rPr>
                <w:rFonts w:hint="eastAsia"/>
                <w:highlight w:val="none"/>
              </w:rPr>
              <w:t xml:space="preserve">传真： </w:t>
            </w:r>
          </w:p>
        </w:tc>
        <w:tc>
          <w:tcPr>
            <w:tcW w:w="7440" w:type="dxa"/>
            <w:shd w:val="clear" w:color="auto" w:fill="auto"/>
          </w:tcPr>
          <w:p w14:paraId="47859234">
            <w:pPr>
              <w:pStyle w:val="8"/>
              <w:rPr>
                <w:highlight w:val="none"/>
              </w:rPr>
            </w:pPr>
            <w:r>
              <w:rPr>
                <w:rFonts w:hint="eastAsia"/>
                <w:highlight w:val="none"/>
              </w:rPr>
              <w:t xml:space="preserve">0755-83025625 </w:t>
            </w:r>
          </w:p>
        </w:tc>
      </w:tr>
      <w:tr w14:paraId="27D41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160DD7">
            <w:pPr>
              <w:pStyle w:val="8"/>
              <w:rPr>
                <w:highlight w:val="none"/>
              </w:rPr>
            </w:pPr>
            <w:r>
              <w:rPr>
                <w:rFonts w:hint="eastAsia"/>
                <w:highlight w:val="none"/>
              </w:rPr>
              <w:t xml:space="preserve">客户服务电话： </w:t>
            </w:r>
          </w:p>
        </w:tc>
        <w:tc>
          <w:tcPr>
            <w:tcW w:w="7440" w:type="dxa"/>
            <w:shd w:val="clear" w:color="auto" w:fill="auto"/>
          </w:tcPr>
          <w:p w14:paraId="75748A66">
            <w:pPr>
              <w:pStyle w:val="8"/>
              <w:rPr>
                <w:highlight w:val="none"/>
              </w:rPr>
            </w:pPr>
            <w:r>
              <w:rPr>
                <w:rFonts w:hint="eastAsia"/>
                <w:highlight w:val="none"/>
              </w:rPr>
              <w:t xml:space="preserve">4008-888-228 </w:t>
            </w:r>
          </w:p>
        </w:tc>
      </w:tr>
      <w:tr w14:paraId="15AE2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2B5A9">
            <w:pPr>
              <w:pStyle w:val="8"/>
              <w:rPr>
                <w:highlight w:val="none"/>
              </w:rPr>
            </w:pPr>
            <w:r>
              <w:rPr>
                <w:rFonts w:hint="eastAsia"/>
                <w:highlight w:val="none"/>
              </w:rPr>
              <w:t xml:space="preserve">网址： </w:t>
            </w:r>
          </w:p>
        </w:tc>
        <w:tc>
          <w:tcPr>
            <w:tcW w:w="7440" w:type="dxa"/>
            <w:shd w:val="clear" w:color="auto" w:fill="auto"/>
          </w:tcPr>
          <w:p w14:paraId="33BDF036">
            <w:pPr>
              <w:pStyle w:val="8"/>
              <w:rPr>
                <w:highlight w:val="none"/>
              </w:rPr>
            </w:pPr>
            <w:r>
              <w:rPr>
                <w:rFonts w:hint="eastAsia"/>
                <w:highlight w:val="none"/>
              </w:rPr>
              <w:t xml:space="preserve">https://www.jyzq.cn/ </w:t>
            </w:r>
          </w:p>
        </w:tc>
      </w:tr>
    </w:tbl>
    <w:p w14:paraId="7A9063DD">
      <w:pPr>
        <w:pStyle w:val="8"/>
        <w:spacing w:before="0" w:beforeAutospacing="0" w:after="0" w:afterAutospacing="0" w:line="360" w:lineRule="auto"/>
        <w:ind w:firstLine="420"/>
        <w:rPr>
          <w:sz w:val="21"/>
          <w:szCs w:val="21"/>
          <w:highlight w:val="none"/>
        </w:rPr>
      </w:pPr>
      <w:r>
        <w:rPr>
          <w:rFonts w:hint="eastAsia"/>
          <w:b/>
          <w:bCs/>
          <w:sz w:val="21"/>
          <w:szCs w:val="21"/>
          <w:highlight w:val="none"/>
        </w:rPr>
        <w:t>(36)中航证券有限公司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3FB22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83863">
            <w:pPr>
              <w:pStyle w:val="8"/>
              <w:rPr>
                <w:highlight w:val="none"/>
              </w:rPr>
            </w:pPr>
            <w:r>
              <w:rPr>
                <w:rFonts w:hint="eastAsia"/>
                <w:highlight w:val="none"/>
              </w:rPr>
              <w:t xml:space="preserve">注册地址： </w:t>
            </w:r>
          </w:p>
        </w:tc>
        <w:tc>
          <w:tcPr>
            <w:tcW w:w="7440" w:type="dxa"/>
            <w:shd w:val="clear" w:color="auto" w:fill="auto"/>
          </w:tcPr>
          <w:p w14:paraId="7E25CBC0">
            <w:pPr>
              <w:pStyle w:val="8"/>
              <w:rPr>
                <w:highlight w:val="none"/>
              </w:rPr>
            </w:pPr>
            <w:r>
              <w:rPr>
                <w:rFonts w:hint="eastAsia"/>
                <w:highlight w:val="none"/>
              </w:rPr>
              <w:t xml:space="preserve">江西省南昌市红谷滩红谷中大道1619号南昌国际金融大厦A栋41层 </w:t>
            </w:r>
          </w:p>
        </w:tc>
      </w:tr>
      <w:tr w14:paraId="7C217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6F4DE">
            <w:pPr>
              <w:pStyle w:val="8"/>
              <w:rPr>
                <w:highlight w:val="none"/>
              </w:rPr>
            </w:pPr>
            <w:r>
              <w:rPr>
                <w:rFonts w:hint="eastAsia"/>
                <w:highlight w:val="none"/>
              </w:rPr>
              <w:t xml:space="preserve">办公地址： </w:t>
            </w:r>
          </w:p>
        </w:tc>
        <w:tc>
          <w:tcPr>
            <w:tcW w:w="7440" w:type="dxa"/>
            <w:shd w:val="clear" w:color="auto" w:fill="auto"/>
          </w:tcPr>
          <w:p w14:paraId="472DE498">
            <w:pPr>
              <w:pStyle w:val="8"/>
              <w:rPr>
                <w:highlight w:val="none"/>
              </w:rPr>
            </w:pPr>
            <w:r>
              <w:rPr>
                <w:rFonts w:hint="eastAsia"/>
                <w:highlight w:val="none"/>
              </w:rPr>
              <w:t xml:space="preserve">江西省南昌市红谷滩红谷中大道1619号南昌国际金融大厦A栋41层 </w:t>
            </w:r>
          </w:p>
        </w:tc>
      </w:tr>
      <w:tr w14:paraId="7730A0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EF3F50">
            <w:pPr>
              <w:pStyle w:val="8"/>
              <w:rPr>
                <w:highlight w:val="none"/>
              </w:rPr>
            </w:pPr>
            <w:r>
              <w:rPr>
                <w:rFonts w:hint="eastAsia"/>
                <w:highlight w:val="none"/>
              </w:rPr>
              <w:t xml:space="preserve">法定代表人： </w:t>
            </w:r>
          </w:p>
        </w:tc>
        <w:tc>
          <w:tcPr>
            <w:tcW w:w="7440" w:type="dxa"/>
            <w:shd w:val="clear" w:color="auto" w:fill="auto"/>
          </w:tcPr>
          <w:p w14:paraId="2FBBE620">
            <w:pPr>
              <w:pStyle w:val="8"/>
              <w:rPr>
                <w:highlight w:val="none"/>
              </w:rPr>
            </w:pPr>
            <w:r>
              <w:rPr>
                <w:rFonts w:hint="eastAsia"/>
                <w:highlight w:val="none"/>
              </w:rPr>
              <w:t xml:space="preserve">丛中 </w:t>
            </w:r>
          </w:p>
        </w:tc>
      </w:tr>
      <w:tr w14:paraId="2E95D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561066">
            <w:pPr>
              <w:pStyle w:val="8"/>
              <w:rPr>
                <w:highlight w:val="none"/>
              </w:rPr>
            </w:pPr>
            <w:r>
              <w:rPr>
                <w:rFonts w:hint="eastAsia"/>
                <w:highlight w:val="none"/>
              </w:rPr>
              <w:t xml:space="preserve">联系人： </w:t>
            </w:r>
          </w:p>
        </w:tc>
        <w:tc>
          <w:tcPr>
            <w:tcW w:w="7440" w:type="dxa"/>
            <w:shd w:val="clear" w:color="auto" w:fill="auto"/>
          </w:tcPr>
          <w:p w14:paraId="3D9D7BD0">
            <w:pPr>
              <w:pStyle w:val="8"/>
              <w:rPr>
                <w:highlight w:val="none"/>
              </w:rPr>
            </w:pPr>
            <w:r>
              <w:rPr>
                <w:rFonts w:hint="eastAsia"/>
                <w:highlight w:val="none"/>
              </w:rPr>
              <w:t xml:space="preserve">王丹妮 </w:t>
            </w:r>
          </w:p>
        </w:tc>
      </w:tr>
      <w:tr w14:paraId="021E0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4FC34">
            <w:pPr>
              <w:pStyle w:val="8"/>
              <w:rPr>
                <w:highlight w:val="none"/>
              </w:rPr>
            </w:pPr>
            <w:r>
              <w:rPr>
                <w:rFonts w:hint="eastAsia"/>
                <w:highlight w:val="none"/>
              </w:rPr>
              <w:t xml:space="preserve">电话： </w:t>
            </w:r>
          </w:p>
        </w:tc>
        <w:tc>
          <w:tcPr>
            <w:tcW w:w="7440" w:type="dxa"/>
            <w:shd w:val="clear" w:color="auto" w:fill="auto"/>
          </w:tcPr>
          <w:p w14:paraId="038AA5B0">
            <w:pPr>
              <w:pStyle w:val="8"/>
              <w:rPr>
                <w:highlight w:val="none"/>
              </w:rPr>
            </w:pPr>
            <w:r>
              <w:rPr>
                <w:rFonts w:hint="eastAsia"/>
                <w:highlight w:val="none"/>
              </w:rPr>
              <w:t xml:space="preserve">0791-6768763 </w:t>
            </w:r>
          </w:p>
        </w:tc>
      </w:tr>
      <w:tr w14:paraId="59896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4E26B9">
            <w:pPr>
              <w:pStyle w:val="8"/>
              <w:rPr>
                <w:highlight w:val="none"/>
              </w:rPr>
            </w:pPr>
            <w:r>
              <w:rPr>
                <w:rFonts w:hint="eastAsia"/>
                <w:highlight w:val="none"/>
              </w:rPr>
              <w:t xml:space="preserve">传真： </w:t>
            </w:r>
          </w:p>
        </w:tc>
        <w:tc>
          <w:tcPr>
            <w:tcW w:w="7440" w:type="dxa"/>
            <w:shd w:val="clear" w:color="auto" w:fill="auto"/>
          </w:tcPr>
          <w:p w14:paraId="54208FCD">
            <w:pPr>
              <w:pStyle w:val="8"/>
              <w:rPr>
                <w:highlight w:val="none"/>
              </w:rPr>
            </w:pPr>
            <w:r>
              <w:rPr>
                <w:rFonts w:hint="eastAsia"/>
                <w:highlight w:val="none"/>
              </w:rPr>
              <w:t xml:space="preserve">0791-6789414 </w:t>
            </w:r>
          </w:p>
        </w:tc>
      </w:tr>
      <w:tr w14:paraId="7DB0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3F8C0">
            <w:pPr>
              <w:pStyle w:val="8"/>
              <w:rPr>
                <w:highlight w:val="none"/>
              </w:rPr>
            </w:pPr>
            <w:r>
              <w:rPr>
                <w:rFonts w:hint="eastAsia"/>
                <w:highlight w:val="none"/>
              </w:rPr>
              <w:t xml:space="preserve">客户服务电话： </w:t>
            </w:r>
          </w:p>
        </w:tc>
        <w:tc>
          <w:tcPr>
            <w:tcW w:w="7440" w:type="dxa"/>
            <w:shd w:val="clear" w:color="auto" w:fill="auto"/>
          </w:tcPr>
          <w:p w14:paraId="7A2678D5">
            <w:pPr>
              <w:pStyle w:val="8"/>
              <w:rPr>
                <w:highlight w:val="none"/>
              </w:rPr>
            </w:pPr>
            <w:r>
              <w:rPr>
                <w:rFonts w:hint="eastAsia"/>
                <w:highlight w:val="none"/>
              </w:rPr>
              <w:t xml:space="preserve">400-8866-567 </w:t>
            </w:r>
          </w:p>
        </w:tc>
      </w:tr>
      <w:tr w14:paraId="6A72A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99E60">
            <w:pPr>
              <w:pStyle w:val="8"/>
              <w:rPr>
                <w:highlight w:val="none"/>
              </w:rPr>
            </w:pPr>
            <w:r>
              <w:rPr>
                <w:rFonts w:hint="eastAsia"/>
                <w:highlight w:val="none"/>
              </w:rPr>
              <w:t xml:space="preserve">网址： </w:t>
            </w:r>
          </w:p>
        </w:tc>
        <w:tc>
          <w:tcPr>
            <w:tcW w:w="7440" w:type="dxa"/>
            <w:shd w:val="clear" w:color="auto" w:fill="auto"/>
          </w:tcPr>
          <w:p w14:paraId="09719E9D">
            <w:pPr>
              <w:pStyle w:val="8"/>
              <w:rPr>
                <w:highlight w:val="none"/>
              </w:rPr>
            </w:pPr>
            <w:r>
              <w:rPr>
                <w:rFonts w:hint="eastAsia"/>
                <w:highlight w:val="none"/>
              </w:rPr>
              <w:t xml:space="preserve">http://www.avicsec.com/ </w:t>
            </w:r>
          </w:p>
        </w:tc>
      </w:tr>
    </w:tbl>
    <w:p w14:paraId="7872182B">
      <w:pPr>
        <w:pStyle w:val="8"/>
        <w:spacing w:before="0" w:beforeAutospacing="0" w:after="0" w:afterAutospacing="0" w:line="360" w:lineRule="auto"/>
        <w:ind w:firstLine="420"/>
        <w:rPr>
          <w:sz w:val="21"/>
          <w:szCs w:val="21"/>
          <w:highlight w:val="none"/>
        </w:rPr>
      </w:pPr>
      <w:r>
        <w:rPr>
          <w:rFonts w:hint="eastAsia"/>
          <w:b/>
          <w:bCs/>
          <w:sz w:val="21"/>
          <w:szCs w:val="21"/>
          <w:highlight w:val="none"/>
        </w:rPr>
        <w:t>(37)德邦证券股份有限公司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DAF7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EC759C">
            <w:pPr>
              <w:pStyle w:val="8"/>
              <w:rPr>
                <w:highlight w:val="none"/>
              </w:rPr>
            </w:pPr>
            <w:r>
              <w:rPr>
                <w:rFonts w:hint="eastAsia"/>
                <w:highlight w:val="none"/>
              </w:rPr>
              <w:t xml:space="preserve">注册地址： </w:t>
            </w:r>
          </w:p>
        </w:tc>
        <w:tc>
          <w:tcPr>
            <w:tcW w:w="7440" w:type="dxa"/>
            <w:shd w:val="clear" w:color="auto" w:fill="auto"/>
          </w:tcPr>
          <w:p w14:paraId="3004F39D">
            <w:pPr>
              <w:pStyle w:val="8"/>
              <w:rPr>
                <w:highlight w:val="none"/>
              </w:rPr>
            </w:pPr>
            <w:r>
              <w:rPr>
                <w:rFonts w:hint="eastAsia"/>
                <w:highlight w:val="none"/>
              </w:rPr>
              <w:t xml:space="preserve">上海市普陀区曹杨路510号南半幢9楼 </w:t>
            </w:r>
          </w:p>
        </w:tc>
      </w:tr>
      <w:tr w14:paraId="37E68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52D460">
            <w:pPr>
              <w:pStyle w:val="8"/>
              <w:rPr>
                <w:highlight w:val="none"/>
              </w:rPr>
            </w:pPr>
            <w:r>
              <w:rPr>
                <w:rFonts w:hint="eastAsia"/>
                <w:highlight w:val="none"/>
              </w:rPr>
              <w:t xml:space="preserve">办公地址： </w:t>
            </w:r>
          </w:p>
        </w:tc>
        <w:tc>
          <w:tcPr>
            <w:tcW w:w="7440" w:type="dxa"/>
            <w:shd w:val="clear" w:color="auto" w:fill="auto"/>
          </w:tcPr>
          <w:p w14:paraId="75818707">
            <w:pPr>
              <w:pStyle w:val="8"/>
              <w:rPr>
                <w:highlight w:val="none"/>
              </w:rPr>
            </w:pPr>
            <w:r>
              <w:rPr>
                <w:rFonts w:hint="eastAsia"/>
                <w:highlight w:val="none"/>
              </w:rPr>
              <w:t xml:space="preserve">上海市浦东新区福山路500号城建国际中心26楼 </w:t>
            </w:r>
          </w:p>
        </w:tc>
      </w:tr>
      <w:tr w14:paraId="4EB01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4C038">
            <w:pPr>
              <w:pStyle w:val="8"/>
              <w:rPr>
                <w:highlight w:val="none"/>
              </w:rPr>
            </w:pPr>
            <w:r>
              <w:rPr>
                <w:rFonts w:hint="eastAsia"/>
                <w:highlight w:val="none"/>
              </w:rPr>
              <w:t xml:space="preserve">法定代表人： </w:t>
            </w:r>
          </w:p>
        </w:tc>
        <w:tc>
          <w:tcPr>
            <w:tcW w:w="7440" w:type="dxa"/>
            <w:shd w:val="clear" w:color="auto" w:fill="auto"/>
          </w:tcPr>
          <w:p w14:paraId="624625D5">
            <w:pPr>
              <w:pStyle w:val="8"/>
              <w:rPr>
                <w:highlight w:val="none"/>
              </w:rPr>
            </w:pPr>
            <w:r>
              <w:rPr>
                <w:rFonts w:hint="eastAsia"/>
                <w:highlight w:val="none"/>
              </w:rPr>
              <w:t xml:space="preserve">武晓春 </w:t>
            </w:r>
          </w:p>
        </w:tc>
      </w:tr>
      <w:tr w14:paraId="28EAC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BE9009">
            <w:pPr>
              <w:pStyle w:val="8"/>
              <w:rPr>
                <w:highlight w:val="none"/>
              </w:rPr>
            </w:pPr>
            <w:r>
              <w:rPr>
                <w:rFonts w:hint="eastAsia"/>
                <w:highlight w:val="none"/>
              </w:rPr>
              <w:t xml:space="preserve">联系人： </w:t>
            </w:r>
          </w:p>
        </w:tc>
        <w:tc>
          <w:tcPr>
            <w:tcW w:w="7440" w:type="dxa"/>
            <w:shd w:val="clear" w:color="auto" w:fill="auto"/>
          </w:tcPr>
          <w:p w14:paraId="32275A96">
            <w:pPr>
              <w:pStyle w:val="8"/>
              <w:rPr>
                <w:highlight w:val="none"/>
              </w:rPr>
            </w:pPr>
            <w:r>
              <w:rPr>
                <w:rFonts w:hint="eastAsia"/>
                <w:highlight w:val="none"/>
              </w:rPr>
              <w:t xml:space="preserve">刘熠 </w:t>
            </w:r>
          </w:p>
        </w:tc>
      </w:tr>
      <w:tr w14:paraId="6DCD59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E703A0">
            <w:pPr>
              <w:pStyle w:val="8"/>
              <w:rPr>
                <w:highlight w:val="none"/>
              </w:rPr>
            </w:pPr>
            <w:r>
              <w:rPr>
                <w:rFonts w:hint="eastAsia"/>
                <w:highlight w:val="none"/>
              </w:rPr>
              <w:t xml:space="preserve">电话： </w:t>
            </w:r>
          </w:p>
        </w:tc>
        <w:tc>
          <w:tcPr>
            <w:tcW w:w="7440" w:type="dxa"/>
            <w:shd w:val="clear" w:color="auto" w:fill="auto"/>
          </w:tcPr>
          <w:p w14:paraId="4DC548FD">
            <w:pPr>
              <w:pStyle w:val="8"/>
              <w:rPr>
                <w:highlight w:val="none"/>
              </w:rPr>
            </w:pPr>
            <w:r>
              <w:rPr>
                <w:rFonts w:hint="eastAsia"/>
                <w:highlight w:val="none"/>
              </w:rPr>
              <w:t xml:space="preserve">021-68761616 </w:t>
            </w:r>
          </w:p>
        </w:tc>
      </w:tr>
      <w:tr w14:paraId="68EF6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8C792">
            <w:pPr>
              <w:pStyle w:val="8"/>
              <w:rPr>
                <w:highlight w:val="none"/>
              </w:rPr>
            </w:pPr>
            <w:r>
              <w:rPr>
                <w:rFonts w:hint="eastAsia"/>
                <w:highlight w:val="none"/>
              </w:rPr>
              <w:t xml:space="preserve">传真： </w:t>
            </w:r>
          </w:p>
        </w:tc>
        <w:tc>
          <w:tcPr>
            <w:tcW w:w="7440" w:type="dxa"/>
            <w:shd w:val="clear" w:color="auto" w:fill="auto"/>
          </w:tcPr>
          <w:p w14:paraId="57AAD839">
            <w:pPr>
              <w:pStyle w:val="8"/>
              <w:rPr>
                <w:highlight w:val="none"/>
              </w:rPr>
            </w:pPr>
            <w:r>
              <w:rPr>
                <w:rFonts w:hint="eastAsia"/>
                <w:highlight w:val="none"/>
              </w:rPr>
              <w:t xml:space="preserve">021-68767981 </w:t>
            </w:r>
          </w:p>
        </w:tc>
      </w:tr>
      <w:tr w14:paraId="58C47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2F600">
            <w:pPr>
              <w:pStyle w:val="8"/>
              <w:rPr>
                <w:highlight w:val="none"/>
              </w:rPr>
            </w:pPr>
            <w:r>
              <w:rPr>
                <w:rFonts w:hint="eastAsia"/>
                <w:highlight w:val="none"/>
              </w:rPr>
              <w:t xml:space="preserve">客户服务电话： </w:t>
            </w:r>
          </w:p>
        </w:tc>
        <w:tc>
          <w:tcPr>
            <w:tcW w:w="7440" w:type="dxa"/>
            <w:shd w:val="clear" w:color="auto" w:fill="auto"/>
          </w:tcPr>
          <w:p w14:paraId="7B423472">
            <w:pPr>
              <w:pStyle w:val="8"/>
              <w:rPr>
                <w:highlight w:val="none"/>
              </w:rPr>
            </w:pPr>
            <w:r>
              <w:rPr>
                <w:rFonts w:hint="eastAsia"/>
                <w:highlight w:val="none"/>
              </w:rPr>
              <w:t xml:space="preserve">4008888128 </w:t>
            </w:r>
          </w:p>
        </w:tc>
      </w:tr>
      <w:tr w14:paraId="3A083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9430A">
            <w:pPr>
              <w:pStyle w:val="8"/>
              <w:rPr>
                <w:highlight w:val="none"/>
              </w:rPr>
            </w:pPr>
            <w:r>
              <w:rPr>
                <w:rFonts w:hint="eastAsia"/>
                <w:highlight w:val="none"/>
              </w:rPr>
              <w:t xml:space="preserve">网址： </w:t>
            </w:r>
          </w:p>
        </w:tc>
        <w:tc>
          <w:tcPr>
            <w:tcW w:w="7440" w:type="dxa"/>
            <w:shd w:val="clear" w:color="auto" w:fill="auto"/>
          </w:tcPr>
          <w:p w14:paraId="5619858F">
            <w:pPr>
              <w:pStyle w:val="8"/>
              <w:rPr>
                <w:highlight w:val="none"/>
              </w:rPr>
            </w:pPr>
            <w:r>
              <w:rPr>
                <w:rFonts w:hint="eastAsia"/>
                <w:highlight w:val="none"/>
              </w:rPr>
              <w:t xml:space="preserve">http://www.tebon.com.cn </w:t>
            </w:r>
          </w:p>
        </w:tc>
      </w:tr>
    </w:tbl>
    <w:p w14:paraId="22C4FF17">
      <w:pPr>
        <w:pStyle w:val="8"/>
        <w:spacing w:before="0" w:beforeAutospacing="0" w:after="0" w:afterAutospacing="0" w:line="360" w:lineRule="auto"/>
        <w:ind w:firstLine="420"/>
        <w:rPr>
          <w:sz w:val="21"/>
          <w:szCs w:val="21"/>
          <w:highlight w:val="none"/>
        </w:rPr>
      </w:pPr>
      <w:r>
        <w:rPr>
          <w:rFonts w:hint="eastAsia"/>
          <w:b/>
          <w:bCs/>
          <w:sz w:val="21"/>
          <w:szCs w:val="21"/>
          <w:highlight w:val="none"/>
        </w:rPr>
        <w:t>(38)西部证券股份有限公司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1E3BA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A6BE51">
            <w:pPr>
              <w:pStyle w:val="8"/>
              <w:rPr>
                <w:highlight w:val="none"/>
              </w:rPr>
            </w:pPr>
            <w:r>
              <w:rPr>
                <w:rFonts w:hint="eastAsia"/>
                <w:highlight w:val="none"/>
              </w:rPr>
              <w:t xml:space="preserve">注册地址： </w:t>
            </w:r>
          </w:p>
        </w:tc>
        <w:tc>
          <w:tcPr>
            <w:tcW w:w="7440" w:type="dxa"/>
            <w:shd w:val="clear" w:color="auto" w:fill="auto"/>
          </w:tcPr>
          <w:p w14:paraId="6EE3D059">
            <w:pPr>
              <w:pStyle w:val="8"/>
              <w:rPr>
                <w:highlight w:val="none"/>
              </w:rPr>
            </w:pPr>
            <w:r>
              <w:rPr>
                <w:rFonts w:hint="eastAsia"/>
                <w:highlight w:val="none"/>
              </w:rPr>
              <w:t xml:space="preserve">陕西省西安市新城区东新街319号8幢10000室  </w:t>
            </w:r>
          </w:p>
        </w:tc>
      </w:tr>
      <w:tr w14:paraId="4BEC8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1F8A33">
            <w:pPr>
              <w:pStyle w:val="8"/>
              <w:rPr>
                <w:highlight w:val="none"/>
              </w:rPr>
            </w:pPr>
            <w:r>
              <w:rPr>
                <w:rFonts w:hint="eastAsia"/>
                <w:highlight w:val="none"/>
              </w:rPr>
              <w:t xml:space="preserve">办公地址： </w:t>
            </w:r>
          </w:p>
        </w:tc>
        <w:tc>
          <w:tcPr>
            <w:tcW w:w="7440" w:type="dxa"/>
            <w:shd w:val="clear" w:color="auto" w:fill="auto"/>
          </w:tcPr>
          <w:p w14:paraId="6EE04DE4">
            <w:pPr>
              <w:pStyle w:val="8"/>
              <w:rPr>
                <w:highlight w:val="none"/>
              </w:rPr>
            </w:pPr>
            <w:r>
              <w:rPr>
                <w:rFonts w:hint="eastAsia"/>
                <w:highlight w:val="none"/>
              </w:rPr>
              <w:t xml:space="preserve">西安市新城区东新街319号 </w:t>
            </w:r>
          </w:p>
        </w:tc>
      </w:tr>
      <w:tr w14:paraId="5793F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379193">
            <w:pPr>
              <w:pStyle w:val="8"/>
              <w:rPr>
                <w:highlight w:val="none"/>
              </w:rPr>
            </w:pPr>
            <w:r>
              <w:rPr>
                <w:rFonts w:hint="eastAsia"/>
                <w:highlight w:val="none"/>
              </w:rPr>
              <w:t xml:space="preserve">法定代表人： </w:t>
            </w:r>
          </w:p>
        </w:tc>
        <w:tc>
          <w:tcPr>
            <w:tcW w:w="7440" w:type="dxa"/>
            <w:shd w:val="clear" w:color="auto" w:fill="auto"/>
          </w:tcPr>
          <w:p w14:paraId="4FAE4B16">
            <w:pPr>
              <w:pStyle w:val="8"/>
              <w:rPr>
                <w:highlight w:val="none"/>
              </w:rPr>
            </w:pPr>
            <w:r>
              <w:rPr>
                <w:rFonts w:hint="eastAsia"/>
                <w:highlight w:val="none"/>
              </w:rPr>
              <w:t xml:space="preserve">徐朝晖 </w:t>
            </w:r>
          </w:p>
        </w:tc>
      </w:tr>
      <w:tr w14:paraId="3BF68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EA2BBE">
            <w:pPr>
              <w:pStyle w:val="8"/>
              <w:rPr>
                <w:highlight w:val="none"/>
              </w:rPr>
            </w:pPr>
            <w:r>
              <w:rPr>
                <w:rFonts w:hint="eastAsia"/>
                <w:highlight w:val="none"/>
              </w:rPr>
              <w:t xml:space="preserve">联系人： </w:t>
            </w:r>
          </w:p>
        </w:tc>
        <w:tc>
          <w:tcPr>
            <w:tcW w:w="7440" w:type="dxa"/>
            <w:shd w:val="clear" w:color="auto" w:fill="auto"/>
          </w:tcPr>
          <w:p w14:paraId="379DDB74">
            <w:pPr>
              <w:pStyle w:val="8"/>
              <w:rPr>
                <w:highlight w:val="none"/>
              </w:rPr>
            </w:pPr>
            <w:r>
              <w:rPr>
                <w:rFonts w:hint="eastAsia"/>
                <w:highlight w:val="none"/>
              </w:rPr>
              <w:t xml:space="preserve">张吉安 </w:t>
            </w:r>
          </w:p>
        </w:tc>
      </w:tr>
      <w:tr w14:paraId="0B218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6E7477">
            <w:pPr>
              <w:pStyle w:val="8"/>
              <w:rPr>
                <w:highlight w:val="none"/>
              </w:rPr>
            </w:pPr>
            <w:r>
              <w:rPr>
                <w:rFonts w:hint="eastAsia"/>
                <w:highlight w:val="none"/>
              </w:rPr>
              <w:t xml:space="preserve">电话： </w:t>
            </w:r>
          </w:p>
        </w:tc>
        <w:tc>
          <w:tcPr>
            <w:tcW w:w="7440" w:type="dxa"/>
            <w:shd w:val="clear" w:color="auto" w:fill="auto"/>
          </w:tcPr>
          <w:p w14:paraId="4FB9B7FA">
            <w:pPr>
              <w:pStyle w:val="8"/>
              <w:rPr>
                <w:highlight w:val="none"/>
              </w:rPr>
            </w:pPr>
            <w:r>
              <w:rPr>
                <w:rFonts w:hint="eastAsia"/>
                <w:highlight w:val="none"/>
              </w:rPr>
              <w:t xml:space="preserve">029-87211668 </w:t>
            </w:r>
          </w:p>
        </w:tc>
      </w:tr>
      <w:tr w14:paraId="4CEBA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847EA">
            <w:pPr>
              <w:pStyle w:val="8"/>
              <w:rPr>
                <w:highlight w:val="none"/>
              </w:rPr>
            </w:pPr>
            <w:r>
              <w:rPr>
                <w:rFonts w:hint="eastAsia"/>
                <w:highlight w:val="none"/>
              </w:rPr>
              <w:t xml:space="preserve">传真： </w:t>
            </w:r>
          </w:p>
        </w:tc>
        <w:tc>
          <w:tcPr>
            <w:tcW w:w="7440" w:type="dxa"/>
            <w:shd w:val="clear" w:color="auto" w:fill="auto"/>
          </w:tcPr>
          <w:p w14:paraId="37CFC8A8">
            <w:pPr>
              <w:pStyle w:val="8"/>
              <w:rPr>
                <w:highlight w:val="none"/>
              </w:rPr>
            </w:pPr>
            <w:r>
              <w:rPr>
                <w:rFonts w:hint="eastAsia"/>
                <w:highlight w:val="none"/>
              </w:rPr>
              <w:t xml:space="preserve">029-87406117 </w:t>
            </w:r>
          </w:p>
        </w:tc>
      </w:tr>
      <w:tr w14:paraId="1CD38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74D2F">
            <w:pPr>
              <w:pStyle w:val="8"/>
              <w:rPr>
                <w:highlight w:val="none"/>
              </w:rPr>
            </w:pPr>
            <w:r>
              <w:rPr>
                <w:rFonts w:hint="eastAsia"/>
                <w:highlight w:val="none"/>
              </w:rPr>
              <w:t xml:space="preserve">客户服务电话： </w:t>
            </w:r>
          </w:p>
        </w:tc>
        <w:tc>
          <w:tcPr>
            <w:tcW w:w="7440" w:type="dxa"/>
            <w:shd w:val="clear" w:color="auto" w:fill="auto"/>
          </w:tcPr>
          <w:p w14:paraId="64BA4176">
            <w:pPr>
              <w:pStyle w:val="8"/>
              <w:rPr>
                <w:highlight w:val="none"/>
              </w:rPr>
            </w:pPr>
            <w:r>
              <w:rPr>
                <w:rFonts w:hint="eastAsia"/>
                <w:highlight w:val="none"/>
              </w:rPr>
              <w:t xml:space="preserve">95582 </w:t>
            </w:r>
          </w:p>
        </w:tc>
      </w:tr>
      <w:tr w14:paraId="6B8FE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087AA13">
            <w:pPr>
              <w:pStyle w:val="8"/>
              <w:rPr>
                <w:highlight w:val="none"/>
              </w:rPr>
            </w:pPr>
            <w:r>
              <w:rPr>
                <w:rFonts w:hint="eastAsia"/>
                <w:highlight w:val="none"/>
              </w:rPr>
              <w:t xml:space="preserve">网址： </w:t>
            </w:r>
          </w:p>
        </w:tc>
        <w:tc>
          <w:tcPr>
            <w:tcW w:w="7440" w:type="dxa"/>
            <w:shd w:val="clear" w:color="auto" w:fill="auto"/>
          </w:tcPr>
          <w:p w14:paraId="5D5FD273">
            <w:pPr>
              <w:pStyle w:val="8"/>
              <w:rPr>
                <w:highlight w:val="none"/>
              </w:rPr>
            </w:pPr>
            <w:r>
              <w:rPr>
                <w:rFonts w:hint="eastAsia"/>
                <w:highlight w:val="none"/>
              </w:rPr>
              <w:t xml:space="preserve">http://www.west95582.com/ </w:t>
            </w:r>
          </w:p>
        </w:tc>
      </w:tr>
    </w:tbl>
    <w:p w14:paraId="070C27A7">
      <w:pPr>
        <w:pStyle w:val="8"/>
        <w:spacing w:before="0" w:beforeAutospacing="0" w:after="0" w:afterAutospacing="0" w:line="360" w:lineRule="auto"/>
        <w:ind w:firstLine="420"/>
        <w:rPr>
          <w:sz w:val="21"/>
          <w:szCs w:val="21"/>
          <w:highlight w:val="none"/>
        </w:rPr>
      </w:pPr>
      <w:r>
        <w:rPr>
          <w:rFonts w:hint="eastAsia"/>
          <w:b/>
          <w:bCs/>
          <w:sz w:val="21"/>
          <w:szCs w:val="21"/>
          <w:highlight w:val="none"/>
        </w:rPr>
        <w:t>(39)华福证券有限责任公司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71AF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A797A51">
            <w:pPr>
              <w:pStyle w:val="8"/>
              <w:rPr>
                <w:highlight w:val="none"/>
              </w:rPr>
            </w:pPr>
            <w:r>
              <w:rPr>
                <w:rFonts w:hint="eastAsia"/>
                <w:highlight w:val="none"/>
              </w:rPr>
              <w:t xml:space="preserve">注册地址： </w:t>
            </w:r>
          </w:p>
        </w:tc>
        <w:tc>
          <w:tcPr>
            <w:tcW w:w="7440" w:type="dxa"/>
            <w:shd w:val="clear" w:color="auto" w:fill="auto"/>
          </w:tcPr>
          <w:p w14:paraId="4FFACA5B">
            <w:pPr>
              <w:pStyle w:val="8"/>
              <w:rPr>
                <w:highlight w:val="none"/>
              </w:rPr>
            </w:pPr>
            <w:r>
              <w:rPr>
                <w:rFonts w:hint="eastAsia"/>
                <w:highlight w:val="none"/>
              </w:rPr>
              <w:t xml:space="preserve">福州市五四路157号新天地大厦7、8层 </w:t>
            </w:r>
          </w:p>
        </w:tc>
      </w:tr>
      <w:tr w14:paraId="184F0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33221">
            <w:pPr>
              <w:pStyle w:val="8"/>
              <w:rPr>
                <w:highlight w:val="none"/>
              </w:rPr>
            </w:pPr>
            <w:r>
              <w:rPr>
                <w:rFonts w:hint="eastAsia"/>
                <w:highlight w:val="none"/>
              </w:rPr>
              <w:t xml:space="preserve">办公地址： </w:t>
            </w:r>
          </w:p>
        </w:tc>
        <w:tc>
          <w:tcPr>
            <w:tcW w:w="7440" w:type="dxa"/>
            <w:shd w:val="clear" w:color="auto" w:fill="auto"/>
          </w:tcPr>
          <w:p w14:paraId="512716FB">
            <w:pPr>
              <w:pStyle w:val="8"/>
              <w:rPr>
                <w:highlight w:val="none"/>
              </w:rPr>
            </w:pPr>
            <w:r>
              <w:rPr>
                <w:rFonts w:hint="eastAsia"/>
                <w:highlight w:val="none"/>
              </w:rPr>
              <w:t xml:space="preserve">福州市五四路157号新天地大厦7至10层 </w:t>
            </w:r>
          </w:p>
        </w:tc>
      </w:tr>
      <w:tr w14:paraId="3F01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26AC0B">
            <w:pPr>
              <w:pStyle w:val="8"/>
              <w:rPr>
                <w:highlight w:val="none"/>
              </w:rPr>
            </w:pPr>
            <w:r>
              <w:rPr>
                <w:rFonts w:hint="eastAsia"/>
                <w:highlight w:val="none"/>
              </w:rPr>
              <w:t xml:space="preserve">法定代表人： </w:t>
            </w:r>
          </w:p>
        </w:tc>
        <w:tc>
          <w:tcPr>
            <w:tcW w:w="7440" w:type="dxa"/>
            <w:shd w:val="clear" w:color="auto" w:fill="auto"/>
          </w:tcPr>
          <w:p w14:paraId="015E9993">
            <w:pPr>
              <w:pStyle w:val="8"/>
              <w:rPr>
                <w:highlight w:val="none"/>
              </w:rPr>
            </w:pPr>
            <w:r>
              <w:rPr>
                <w:rFonts w:hint="eastAsia"/>
                <w:highlight w:val="none"/>
              </w:rPr>
              <w:t xml:space="preserve">黄金琳 </w:t>
            </w:r>
          </w:p>
        </w:tc>
      </w:tr>
      <w:tr w14:paraId="206F6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557837">
            <w:pPr>
              <w:pStyle w:val="8"/>
              <w:rPr>
                <w:highlight w:val="none"/>
              </w:rPr>
            </w:pPr>
            <w:r>
              <w:rPr>
                <w:rFonts w:hint="eastAsia"/>
                <w:highlight w:val="none"/>
              </w:rPr>
              <w:t xml:space="preserve">联系人： </w:t>
            </w:r>
          </w:p>
        </w:tc>
        <w:tc>
          <w:tcPr>
            <w:tcW w:w="7440" w:type="dxa"/>
            <w:shd w:val="clear" w:color="auto" w:fill="auto"/>
          </w:tcPr>
          <w:p w14:paraId="149CEB0A">
            <w:pPr>
              <w:pStyle w:val="8"/>
              <w:rPr>
                <w:highlight w:val="none"/>
              </w:rPr>
            </w:pPr>
            <w:r>
              <w:rPr>
                <w:rFonts w:hint="eastAsia"/>
                <w:highlight w:val="none"/>
              </w:rPr>
              <w:t xml:space="preserve">王虹 </w:t>
            </w:r>
          </w:p>
        </w:tc>
      </w:tr>
      <w:tr w14:paraId="53268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3E35BF">
            <w:pPr>
              <w:pStyle w:val="8"/>
              <w:rPr>
                <w:highlight w:val="none"/>
              </w:rPr>
            </w:pPr>
            <w:r>
              <w:rPr>
                <w:rFonts w:hint="eastAsia"/>
                <w:highlight w:val="none"/>
              </w:rPr>
              <w:t xml:space="preserve">电话： </w:t>
            </w:r>
          </w:p>
        </w:tc>
        <w:tc>
          <w:tcPr>
            <w:tcW w:w="7440" w:type="dxa"/>
            <w:shd w:val="clear" w:color="auto" w:fill="auto"/>
          </w:tcPr>
          <w:p w14:paraId="2487167D">
            <w:pPr>
              <w:pStyle w:val="8"/>
              <w:rPr>
                <w:highlight w:val="none"/>
              </w:rPr>
            </w:pPr>
            <w:r>
              <w:rPr>
                <w:rFonts w:hint="eastAsia"/>
                <w:highlight w:val="none"/>
              </w:rPr>
              <w:t xml:space="preserve">021-20655183 </w:t>
            </w:r>
          </w:p>
        </w:tc>
      </w:tr>
      <w:tr w14:paraId="3B14C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9B9E9">
            <w:pPr>
              <w:pStyle w:val="8"/>
              <w:rPr>
                <w:highlight w:val="none"/>
              </w:rPr>
            </w:pPr>
            <w:r>
              <w:rPr>
                <w:rFonts w:hint="eastAsia"/>
                <w:highlight w:val="none"/>
              </w:rPr>
              <w:t xml:space="preserve">传真： </w:t>
            </w:r>
          </w:p>
        </w:tc>
        <w:tc>
          <w:tcPr>
            <w:tcW w:w="7440" w:type="dxa"/>
            <w:shd w:val="clear" w:color="auto" w:fill="auto"/>
          </w:tcPr>
          <w:p w14:paraId="14F33913">
            <w:pPr>
              <w:pStyle w:val="8"/>
              <w:rPr>
                <w:highlight w:val="none"/>
              </w:rPr>
            </w:pPr>
            <w:r>
              <w:rPr>
                <w:rFonts w:hint="eastAsia"/>
                <w:highlight w:val="none"/>
              </w:rPr>
              <w:t xml:space="preserve">0591－87383610 </w:t>
            </w:r>
          </w:p>
        </w:tc>
      </w:tr>
      <w:tr w14:paraId="01F34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3ABF1">
            <w:pPr>
              <w:pStyle w:val="8"/>
              <w:rPr>
                <w:highlight w:val="none"/>
              </w:rPr>
            </w:pPr>
            <w:r>
              <w:rPr>
                <w:rFonts w:hint="eastAsia"/>
                <w:highlight w:val="none"/>
              </w:rPr>
              <w:t xml:space="preserve">客户服务电话： </w:t>
            </w:r>
          </w:p>
        </w:tc>
        <w:tc>
          <w:tcPr>
            <w:tcW w:w="7440" w:type="dxa"/>
            <w:shd w:val="clear" w:color="auto" w:fill="auto"/>
          </w:tcPr>
          <w:p w14:paraId="4EEAA9B4">
            <w:pPr>
              <w:pStyle w:val="8"/>
              <w:rPr>
                <w:highlight w:val="none"/>
              </w:rPr>
            </w:pPr>
            <w:r>
              <w:rPr>
                <w:rFonts w:hint="eastAsia"/>
                <w:highlight w:val="none"/>
              </w:rPr>
              <w:t xml:space="preserve">95547 </w:t>
            </w:r>
          </w:p>
        </w:tc>
      </w:tr>
      <w:tr w14:paraId="1BDBE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7FE60">
            <w:pPr>
              <w:pStyle w:val="8"/>
              <w:rPr>
                <w:highlight w:val="none"/>
              </w:rPr>
            </w:pPr>
            <w:r>
              <w:rPr>
                <w:rFonts w:hint="eastAsia"/>
                <w:highlight w:val="none"/>
              </w:rPr>
              <w:t xml:space="preserve">网址： </w:t>
            </w:r>
          </w:p>
        </w:tc>
        <w:tc>
          <w:tcPr>
            <w:tcW w:w="7440" w:type="dxa"/>
            <w:shd w:val="clear" w:color="auto" w:fill="auto"/>
          </w:tcPr>
          <w:p w14:paraId="72092663">
            <w:pPr>
              <w:pStyle w:val="8"/>
              <w:rPr>
                <w:highlight w:val="none"/>
              </w:rPr>
            </w:pPr>
            <w:r>
              <w:rPr>
                <w:rFonts w:hint="eastAsia"/>
                <w:highlight w:val="none"/>
              </w:rPr>
              <w:t xml:space="preserve">http://www.hfzq.com.cn </w:t>
            </w:r>
          </w:p>
        </w:tc>
      </w:tr>
    </w:tbl>
    <w:p w14:paraId="330B98DB">
      <w:pPr>
        <w:pStyle w:val="8"/>
        <w:spacing w:before="0" w:beforeAutospacing="0" w:after="0" w:afterAutospacing="0" w:line="360" w:lineRule="auto"/>
        <w:ind w:firstLine="420"/>
        <w:rPr>
          <w:sz w:val="21"/>
          <w:szCs w:val="21"/>
          <w:highlight w:val="none"/>
        </w:rPr>
      </w:pPr>
      <w:r>
        <w:rPr>
          <w:rFonts w:hint="eastAsia"/>
          <w:b/>
          <w:bCs/>
          <w:sz w:val="21"/>
          <w:szCs w:val="21"/>
          <w:highlight w:val="none"/>
        </w:rPr>
        <w:t>(40)中国国际金融股份有限公司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0D4E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3ECB0F">
            <w:pPr>
              <w:pStyle w:val="8"/>
              <w:rPr>
                <w:highlight w:val="none"/>
              </w:rPr>
            </w:pPr>
            <w:r>
              <w:rPr>
                <w:rFonts w:hint="eastAsia"/>
                <w:highlight w:val="none"/>
              </w:rPr>
              <w:t xml:space="preserve">注册地址： </w:t>
            </w:r>
          </w:p>
        </w:tc>
        <w:tc>
          <w:tcPr>
            <w:tcW w:w="7440" w:type="dxa"/>
            <w:shd w:val="clear" w:color="auto" w:fill="auto"/>
          </w:tcPr>
          <w:p w14:paraId="3894D1F1">
            <w:pPr>
              <w:pStyle w:val="8"/>
              <w:rPr>
                <w:highlight w:val="none"/>
              </w:rPr>
            </w:pPr>
            <w:r>
              <w:rPr>
                <w:rFonts w:hint="eastAsia"/>
                <w:highlight w:val="none"/>
              </w:rPr>
              <w:t xml:space="preserve">中国北京建国门外大街1号 国贸大厦2座28层 </w:t>
            </w:r>
          </w:p>
        </w:tc>
      </w:tr>
      <w:tr w14:paraId="6559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E82DF1">
            <w:pPr>
              <w:pStyle w:val="8"/>
              <w:rPr>
                <w:highlight w:val="none"/>
              </w:rPr>
            </w:pPr>
            <w:r>
              <w:rPr>
                <w:rFonts w:hint="eastAsia"/>
                <w:highlight w:val="none"/>
              </w:rPr>
              <w:t xml:space="preserve">办公地址： </w:t>
            </w:r>
          </w:p>
        </w:tc>
        <w:tc>
          <w:tcPr>
            <w:tcW w:w="7440" w:type="dxa"/>
            <w:shd w:val="clear" w:color="auto" w:fill="auto"/>
          </w:tcPr>
          <w:p w14:paraId="63630305">
            <w:pPr>
              <w:pStyle w:val="8"/>
              <w:rPr>
                <w:highlight w:val="none"/>
              </w:rPr>
            </w:pPr>
            <w:r>
              <w:rPr>
                <w:rFonts w:hint="eastAsia"/>
                <w:highlight w:val="none"/>
              </w:rPr>
              <w:t xml:space="preserve">中国北京建国门外大街1号 国贸大厦2座28层 </w:t>
            </w:r>
          </w:p>
        </w:tc>
      </w:tr>
      <w:tr w14:paraId="6770D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2CA56">
            <w:pPr>
              <w:pStyle w:val="8"/>
              <w:rPr>
                <w:highlight w:val="none"/>
              </w:rPr>
            </w:pPr>
            <w:r>
              <w:rPr>
                <w:rFonts w:hint="eastAsia"/>
                <w:highlight w:val="none"/>
              </w:rPr>
              <w:t xml:space="preserve">法定代表人： </w:t>
            </w:r>
          </w:p>
        </w:tc>
        <w:tc>
          <w:tcPr>
            <w:tcW w:w="7440" w:type="dxa"/>
            <w:shd w:val="clear" w:color="auto" w:fill="auto"/>
          </w:tcPr>
          <w:p w14:paraId="0E8811D4">
            <w:pPr>
              <w:pStyle w:val="8"/>
              <w:rPr>
                <w:highlight w:val="none"/>
              </w:rPr>
            </w:pPr>
            <w:r>
              <w:rPr>
                <w:rFonts w:hint="eastAsia"/>
                <w:highlight w:val="none"/>
              </w:rPr>
              <w:t xml:space="preserve">沈如军 </w:t>
            </w:r>
          </w:p>
        </w:tc>
      </w:tr>
      <w:tr w14:paraId="6F789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D618F1">
            <w:pPr>
              <w:pStyle w:val="8"/>
              <w:rPr>
                <w:highlight w:val="none"/>
              </w:rPr>
            </w:pPr>
            <w:r>
              <w:rPr>
                <w:rFonts w:hint="eastAsia"/>
                <w:highlight w:val="none"/>
              </w:rPr>
              <w:t xml:space="preserve">联系人： </w:t>
            </w:r>
          </w:p>
        </w:tc>
        <w:tc>
          <w:tcPr>
            <w:tcW w:w="7440" w:type="dxa"/>
            <w:shd w:val="clear" w:color="auto" w:fill="auto"/>
          </w:tcPr>
          <w:p w14:paraId="0AA6D6C4">
            <w:pPr>
              <w:pStyle w:val="8"/>
              <w:rPr>
                <w:highlight w:val="none"/>
              </w:rPr>
            </w:pPr>
            <w:r>
              <w:rPr>
                <w:rFonts w:hint="eastAsia"/>
                <w:highlight w:val="none"/>
              </w:rPr>
              <w:t xml:space="preserve">任敏 </w:t>
            </w:r>
          </w:p>
        </w:tc>
      </w:tr>
      <w:tr w14:paraId="4E058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9F1A73">
            <w:pPr>
              <w:pStyle w:val="8"/>
              <w:rPr>
                <w:highlight w:val="none"/>
              </w:rPr>
            </w:pPr>
            <w:r>
              <w:rPr>
                <w:rFonts w:hint="eastAsia"/>
                <w:highlight w:val="none"/>
              </w:rPr>
              <w:t xml:space="preserve">电话： </w:t>
            </w:r>
          </w:p>
        </w:tc>
        <w:tc>
          <w:tcPr>
            <w:tcW w:w="7440" w:type="dxa"/>
            <w:shd w:val="clear" w:color="auto" w:fill="auto"/>
          </w:tcPr>
          <w:p w14:paraId="6DFD5F9E">
            <w:pPr>
              <w:pStyle w:val="8"/>
              <w:rPr>
                <w:highlight w:val="none"/>
              </w:rPr>
            </w:pPr>
            <w:r>
              <w:rPr>
                <w:rFonts w:hint="eastAsia"/>
                <w:highlight w:val="none"/>
              </w:rPr>
              <w:t xml:space="preserve">010－65051166 </w:t>
            </w:r>
          </w:p>
        </w:tc>
      </w:tr>
      <w:tr w14:paraId="1F62B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149C1B">
            <w:pPr>
              <w:pStyle w:val="8"/>
              <w:rPr>
                <w:highlight w:val="none"/>
              </w:rPr>
            </w:pPr>
            <w:r>
              <w:rPr>
                <w:rFonts w:hint="eastAsia"/>
                <w:highlight w:val="none"/>
              </w:rPr>
              <w:t xml:space="preserve">传真： </w:t>
            </w:r>
          </w:p>
        </w:tc>
        <w:tc>
          <w:tcPr>
            <w:tcW w:w="7440" w:type="dxa"/>
            <w:shd w:val="clear" w:color="auto" w:fill="auto"/>
          </w:tcPr>
          <w:p w14:paraId="0B3B37A9">
            <w:pPr>
              <w:pStyle w:val="8"/>
              <w:rPr>
                <w:highlight w:val="none"/>
              </w:rPr>
            </w:pPr>
            <w:r>
              <w:rPr>
                <w:rFonts w:hint="eastAsia"/>
                <w:highlight w:val="none"/>
              </w:rPr>
              <w:t xml:space="preserve">010－65051156 </w:t>
            </w:r>
          </w:p>
        </w:tc>
      </w:tr>
      <w:tr w14:paraId="41507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B129F">
            <w:pPr>
              <w:pStyle w:val="8"/>
              <w:rPr>
                <w:highlight w:val="none"/>
              </w:rPr>
            </w:pPr>
            <w:r>
              <w:rPr>
                <w:rFonts w:hint="eastAsia"/>
                <w:highlight w:val="none"/>
              </w:rPr>
              <w:t xml:space="preserve">客户服务电话： </w:t>
            </w:r>
          </w:p>
        </w:tc>
        <w:tc>
          <w:tcPr>
            <w:tcW w:w="7440" w:type="dxa"/>
            <w:shd w:val="clear" w:color="auto" w:fill="auto"/>
          </w:tcPr>
          <w:p w14:paraId="7E95D86F">
            <w:pPr>
              <w:pStyle w:val="8"/>
              <w:rPr>
                <w:highlight w:val="none"/>
              </w:rPr>
            </w:pPr>
            <w:r>
              <w:rPr>
                <w:rFonts w:hint="eastAsia"/>
                <w:highlight w:val="none"/>
              </w:rPr>
              <w:t xml:space="preserve">010-65051166 </w:t>
            </w:r>
          </w:p>
        </w:tc>
      </w:tr>
      <w:tr w14:paraId="12235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42A4E4">
            <w:pPr>
              <w:pStyle w:val="8"/>
              <w:rPr>
                <w:highlight w:val="none"/>
              </w:rPr>
            </w:pPr>
            <w:r>
              <w:rPr>
                <w:rFonts w:hint="eastAsia"/>
                <w:highlight w:val="none"/>
              </w:rPr>
              <w:t xml:space="preserve">网址： </w:t>
            </w:r>
          </w:p>
        </w:tc>
        <w:tc>
          <w:tcPr>
            <w:tcW w:w="7440" w:type="dxa"/>
            <w:shd w:val="clear" w:color="auto" w:fill="auto"/>
          </w:tcPr>
          <w:p w14:paraId="4406EF8D">
            <w:pPr>
              <w:pStyle w:val="8"/>
              <w:rPr>
                <w:highlight w:val="none"/>
              </w:rPr>
            </w:pPr>
            <w:r>
              <w:rPr>
                <w:rFonts w:hint="eastAsia"/>
                <w:highlight w:val="none"/>
              </w:rPr>
              <w:t xml:space="preserve">http://www.cicc.com.cn/ </w:t>
            </w:r>
          </w:p>
        </w:tc>
      </w:tr>
    </w:tbl>
    <w:p w14:paraId="4847465D">
      <w:pPr>
        <w:pStyle w:val="8"/>
        <w:spacing w:before="0" w:beforeAutospacing="0" w:after="0" w:afterAutospacing="0" w:line="360" w:lineRule="auto"/>
        <w:ind w:firstLine="420"/>
        <w:rPr>
          <w:sz w:val="21"/>
          <w:szCs w:val="21"/>
          <w:highlight w:val="none"/>
        </w:rPr>
      </w:pPr>
      <w:r>
        <w:rPr>
          <w:rFonts w:hint="eastAsia"/>
          <w:b/>
          <w:bCs/>
          <w:sz w:val="21"/>
          <w:szCs w:val="21"/>
          <w:highlight w:val="none"/>
        </w:rPr>
        <w:t>(41)财通证券股份有限公司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2FF7B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DFFBCC">
            <w:pPr>
              <w:pStyle w:val="8"/>
              <w:rPr>
                <w:highlight w:val="none"/>
              </w:rPr>
            </w:pPr>
            <w:r>
              <w:rPr>
                <w:rFonts w:hint="eastAsia"/>
                <w:highlight w:val="none"/>
              </w:rPr>
              <w:t xml:space="preserve">注册地址： </w:t>
            </w:r>
          </w:p>
        </w:tc>
        <w:tc>
          <w:tcPr>
            <w:tcW w:w="7440" w:type="dxa"/>
            <w:shd w:val="clear" w:color="auto" w:fill="auto"/>
          </w:tcPr>
          <w:p w14:paraId="5BC3E711">
            <w:pPr>
              <w:pStyle w:val="8"/>
              <w:rPr>
                <w:highlight w:val="none"/>
              </w:rPr>
            </w:pPr>
            <w:r>
              <w:rPr>
                <w:rFonts w:hint="eastAsia"/>
                <w:highlight w:val="none"/>
              </w:rPr>
              <w:t xml:space="preserve">杭州市解放路111号 </w:t>
            </w:r>
          </w:p>
        </w:tc>
      </w:tr>
      <w:tr w14:paraId="01234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C7BD7">
            <w:pPr>
              <w:pStyle w:val="8"/>
              <w:rPr>
                <w:highlight w:val="none"/>
              </w:rPr>
            </w:pPr>
            <w:r>
              <w:rPr>
                <w:rFonts w:hint="eastAsia"/>
                <w:highlight w:val="none"/>
              </w:rPr>
              <w:t xml:space="preserve">办公地址： </w:t>
            </w:r>
          </w:p>
        </w:tc>
        <w:tc>
          <w:tcPr>
            <w:tcW w:w="7440" w:type="dxa"/>
            <w:shd w:val="clear" w:color="auto" w:fill="auto"/>
          </w:tcPr>
          <w:p w14:paraId="4B621167">
            <w:pPr>
              <w:pStyle w:val="8"/>
              <w:rPr>
                <w:highlight w:val="none"/>
              </w:rPr>
            </w:pPr>
            <w:r>
              <w:rPr>
                <w:rFonts w:hint="eastAsia"/>
                <w:highlight w:val="none"/>
              </w:rPr>
              <w:t xml:space="preserve">浙江省杭州市天目山路198号财通双冠大厦西楼1201室 </w:t>
            </w:r>
          </w:p>
        </w:tc>
      </w:tr>
      <w:tr w14:paraId="69202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A247B">
            <w:pPr>
              <w:pStyle w:val="8"/>
              <w:rPr>
                <w:highlight w:val="none"/>
              </w:rPr>
            </w:pPr>
            <w:r>
              <w:rPr>
                <w:rFonts w:hint="eastAsia"/>
                <w:highlight w:val="none"/>
              </w:rPr>
              <w:t xml:space="preserve">法定代表人： </w:t>
            </w:r>
          </w:p>
        </w:tc>
        <w:tc>
          <w:tcPr>
            <w:tcW w:w="7440" w:type="dxa"/>
            <w:shd w:val="clear" w:color="auto" w:fill="auto"/>
          </w:tcPr>
          <w:p w14:paraId="4ADF6F6E">
            <w:pPr>
              <w:pStyle w:val="8"/>
              <w:rPr>
                <w:highlight w:val="none"/>
              </w:rPr>
            </w:pPr>
            <w:r>
              <w:rPr>
                <w:rFonts w:hint="eastAsia"/>
                <w:highlight w:val="none"/>
              </w:rPr>
              <w:t xml:space="preserve">陆建强  </w:t>
            </w:r>
          </w:p>
        </w:tc>
      </w:tr>
      <w:tr w14:paraId="343F1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DF07BC">
            <w:pPr>
              <w:pStyle w:val="8"/>
              <w:rPr>
                <w:highlight w:val="none"/>
              </w:rPr>
            </w:pPr>
            <w:r>
              <w:rPr>
                <w:rFonts w:hint="eastAsia"/>
                <w:highlight w:val="none"/>
              </w:rPr>
              <w:t xml:space="preserve">联系人： </w:t>
            </w:r>
          </w:p>
        </w:tc>
        <w:tc>
          <w:tcPr>
            <w:tcW w:w="7440" w:type="dxa"/>
            <w:shd w:val="clear" w:color="auto" w:fill="auto"/>
          </w:tcPr>
          <w:p w14:paraId="4891A6D1">
            <w:pPr>
              <w:pStyle w:val="8"/>
              <w:rPr>
                <w:highlight w:val="none"/>
              </w:rPr>
            </w:pPr>
            <w:r>
              <w:rPr>
                <w:rFonts w:hint="eastAsia"/>
                <w:highlight w:val="none"/>
              </w:rPr>
              <w:t xml:space="preserve">蔡还 </w:t>
            </w:r>
          </w:p>
        </w:tc>
      </w:tr>
      <w:tr w14:paraId="3BB5B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2BF5FF">
            <w:pPr>
              <w:pStyle w:val="8"/>
              <w:rPr>
                <w:highlight w:val="none"/>
              </w:rPr>
            </w:pPr>
            <w:r>
              <w:rPr>
                <w:rFonts w:hint="eastAsia"/>
                <w:highlight w:val="none"/>
              </w:rPr>
              <w:t xml:space="preserve">电话： </w:t>
            </w:r>
          </w:p>
        </w:tc>
        <w:tc>
          <w:tcPr>
            <w:tcW w:w="7440" w:type="dxa"/>
            <w:shd w:val="clear" w:color="auto" w:fill="auto"/>
          </w:tcPr>
          <w:p w14:paraId="190C0454">
            <w:pPr>
              <w:pStyle w:val="8"/>
              <w:rPr>
                <w:highlight w:val="none"/>
              </w:rPr>
            </w:pPr>
            <w:r>
              <w:rPr>
                <w:rFonts w:hint="eastAsia"/>
                <w:highlight w:val="none"/>
              </w:rPr>
              <w:t xml:space="preserve">0571-87789160 </w:t>
            </w:r>
          </w:p>
        </w:tc>
      </w:tr>
      <w:tr w14:paraId="284D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459978">
            <w:pPr>
              <w:pStyle w:val="8"/>
              <w:rPr>
                <w:highlight w:val="none"/>
              </w:rPr>
            </w:pPr>
            <w:r>
              <w:rPr>
                <w:rFonts w:hint="eastAsia"/>
                <w:highlight w:val="none"/>
              </w:rPr>
              <w:t xml:space="preserve">传真： </w:t>
            </w:r>
          </w:p>
        </w:tc>
        <w:tc>
          <w:tcPr>
            <w:tcW w:w="7440" w:type="dxa"/>
            <w:shd w:val="clear" w:color="auto" w:fill="auto"/>
          </w:tcPr>
          <w:p w14:paraId="7BF119F6">
            <w:pPr>
              <w:pStyle w:val="8"/>
              <w:rPr>
                <w:highlight w:val="none"/>
              </w:rPr>
            </w:pPr>
            <w:r>
              <w:rPr>
                <w:rFonts w:hint="eastAsia"/>
                <w:highlight w:val="none"/>
              </w:rPr>
              <w:t xml:space="preserve">0571－85071387 </w:t>
            </w:r>
          </w:p>
        </w:tc>
      </w:tr>
      <w:tr w14:paraId="30B4F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1398AD">
            <w:pPr>
              <w:pStyle w:val="8"/>
              <w:rPr>
                <w:highlight w:val="none"/>
              </w:rPr>
            </w:pPr>
            <w:r>
              <w:rPr>
                <w:rFonts w:hint="eastAsia"/>
                <w:highlight w:val="none"/>
              </w:rPr>
              <w:t xml:space="preserve">客户服务电话： </w:t>
            </w:r>
          </w:p>
        </w:tc>
        <w:tc>
          <w:tcPr>
            <w:tcW w:w="7440" w:type="dxa"/>
            <w:shd w:val="clear" w:color="auto" w:fill="auto"/>
          </w:tcPr>
          <w:p w14:paraId="08B9D1CF">
            <w:pPr>
              <w:pStyle w:val="8"/>
              <w:rPr>
                <w:highlight w:val="none"/>
              </w:rPr>
            </w:pPr>
            <w:r>
              <w:rPr>
                <w:rFonts w:hint="eastAsia"/>
                <w:highlight w:val="none"/>
              </w:rPr>
              <w:t xml:space="preserve">95336（上海地区962336） </w:t>
            </w:r>
          </w:p>
        </w:tc>
      </w:tr>
      <w:tr w14:paraId="70C8A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5D6E19">
            <w:pPr>
              <w:pStyle w:val="8"/>
              <w:rPr>
                <w:highlight w:val="none"/>
              </w:rPr>
            </w:pPr>
            <w:r>
              <w:rPr>
                <w:rFonts w:hint="eastAsia"/>
                <w:highlight w:val="none"/>
              </w:rPr>
              <w:t xml:space="preserve">网址： </w:t>
            </w:r>
          </w:p>
        </w:tc>
        <w:tc>
          <w:tcPr>
            <w:tcW w:w="7440" w:type="dxa"/>
            <w:shd w:val="clear" w:color="auto" w:fill="auto"/>
          </w:tcPr>
          <w:p w14:paraId="120D5283">
            <w:pPr>
              <w:pStyle w:val="8"/>
              <w:rPr>
                <w:highlight w:val="none"/>
              </w:rPr>
            </w:pPr>
            <w:r>
              <w:rPr>
                <w:rFonts w:hint="eastAsia"/>
                <w:highlight w:val="none"/>
              </w:rPr>
              <w:t xml:space="preserve">http://www.ctsec.com </w:t>
            </w:r>
          </w:p>
        </w:tc>
      </w:tr>
    </w:tbl>
    <w:p w14:paraId="24A38329">
      <w:pPr>
        <w:pStyle w:val="8"/>
        <w:spacing w:before="0" w:beforeAutospacing="0" w:after="0" w:afterAutospacing="0" w:line="360" w:lineRule="auto"/>
        <w:ind w:firstLine="420"/>
        <w:rPr>
          <w:sz w:val="21"/>
          <w:szCs w:val="21"/>
          <w:highlight w:val="none"/>
        </w:rPr>
      </w:pPr>
      <w:r>
        <w:rPr>
          <w:rFonts w:hint="eastAsia"/>
          <w:b/>
          <w:bCs/>
          <w:sz w:val="21"/>
          <w:szCs w:val="21"/>
          <w:highlight w:val="none"/>
        </w:rPr>
        <w:t>(42)华鑫证券有限责任公司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2"/>
        <w:gridCol w:w="6181"/>
      </w:tblGrid>
      <w:tr w14:paraId="0BD04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F0A2E">
            <w:pPr>
              <w:pStyle w:val="8"/>
              <w:rPr>
                <w:highlight w:val="none"/>
              </w:rPr>
            </w:pPr>
            <w:r>
              <w:rPr>
                <w:rFonts w:hint="eastAsia"/>
                <w:highlight w:val="none"/>
              </w:rPr>
              <w:t xml:space="preserve">注册地址： </w:t>
            </w:r>
          </w:p>
        </w:tc>
        <w:tc>
          <w:tcPr>
            <w:tcW w:w="7440" w:type="dxa"/>
            <w:shd w:val="clear" w:color="auto" w:fill="auto"/>
          </w:tcPr>
          <w:p w14:paraId="7A7F8195">
            <w:pPr>
              <w:pStyle w:val="8"/>
              <w:rPr>
                <w:highlight w:val="none"/>
              </w:rPr>
            </w:pPr>
            <w:r>
              <w:rPr>
                <w:rFonts w:hint="eastAsia"/>
                <w:highlight w:val="none"/>
              </w:rPr>
              <w:t xml:space="preserve">深圳市福田区莲花街道福中社区深南大道2008号中国凤凰大厦1栋20C-1房 </w:t>
            </w:r>
          </w:p>
        </w:tc>
      </w:tr>
      <w:tr w14:paraId="07FBB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DC60D">
            <w:pPr>
              <w:pStyle w:val="8"/>
              <w:rPr>
                <w:highlight w:val="none"/>
              </w:rPr>
            </w:pPr>
            <w:r>
              <w:rPr>
                <w:rFonts w:hint="eastAsia"/>
                <w:highlight w:val="none"/>
              </w:rPr>
              <w:t xml:space="preserve">办公地址： </w:t>
            </w:r>
          </w:p>
        </w:tc>
        <w:tc>
          <w:tcPr>
            <w:tcW w:w="7440" w:type="dxa"/>
            <w:shd w:val="clear" w:color="auto" w:fill="auto"/>
          </w:tcPr>
          <w:p w14:paraId="2604DAA4">
            <w:pPr>
              <w:pStyle w:val="8"/>
              <w:rPr>
                <w:highlight w:val="none"/>
              </w:rPr>
            </w:pPr>
            <w:r>
              <w:rPr>
                <w:rFonts w:hint="eastAsia"/>
                <w:highlight w:val="none"/>
              </w:rPr>
              <w:t xml:space="preserve">上海市黄浦区福州路666号6楼 </w:t>
            </w:r>
          </w:p>
        </w:tc>
      </w:tr>
      <w:tr w14:paraId="1D9C7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99E059">
            <w:pPr>
              <w:pStyle w:val="8"/>
              <w:rPr>
                <w:highlight w:val="none"/>
              </w:rPr>
            </w:pPr>
            <w:r>
              <w:rPr>
                <w:rFonts w:hint="eastAsia"/>
                <w:highlight w:val="none"/>
              </w:rPr>
              <w:t xml:space="preserve">法定代表人： </w:t>
            </w:r>
          </w:p>
        </w:tc>
        <w:tc>
          <w:tcPr>
            <w:tcW w:w="7440" w:type="dxa"/>
            <w:shd w:val="clear" w:color="auto" w:fill="auto"/>
          </w:tcPr>
          <w:p w14:paraId="4A8B278A">
            <w:pPr>
              <w:pStyle w:val="8"/>
              <w:rPr>
                <w:highlight w:val="none"/>
              </w:rPr>
            </w:pPr>
            <w:r>
              <w:rPr>
                <w:rFonts w:hint="eastAsia"/>
                <w:highlight w:val="none"/>
              </w:rPr>
              <w:t xml:space="preserve">俞洋 </w:t>
            </w:r>
          </w:p>
        </w:tc>
      </w:tr>
      <w:tr w14:paraId="62D52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9E69BD">
            <w:pPr>
              <w:pStyle w:val="8"/>
              <w:rPr>
                <w:highlight w:val="none"/>
              </w:rPr>
            </w:pPr>
            <w:r>
              <w:rPr>
                <w:rFonts w:hint="eastAsia"/>
                <w:highlight w:val="none"/>
              </w:rPr>
              <w:t xml:space="preserve">联系人： </w:t>
            </w:r>
          </w:p>
        </w:tc>
        <w:tc>
          <w:tcPr>
            <w:tcW w:w="7440" w:type="dxa"/>
            <w:shd w:val="clear" w:color="auto" w:fill="auto"/>
          </w:tcPr>
          <w:p w14:paraId="6D1BA0AE">
            <w:pPr>
              <w:pStyle w:val="8"/>
              <w:rPr>
                <w:highlight w:val="none"/>
              </w:rPr>
            </w:pPr>
            <w:r>
              <w:rPr>
                <w:rFonts w:hint="eastAsia"/>
                <w:highlight w:val="none"/>
              </w:rPr>
              <w:t xml:space="preserve">刘熠 </w:t>
            </w:r>
          </w:p>
        </w:tc>
      </w:tr>
      <w:tr w14:paraId="48A8A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BF372">
            <w:pPr>
              <w:pStyle w:val="8"/>
              <w:rPr>
                <w:highlight w:val="none"/>
              </w:rPr>
            </w:pPr>
            <w:r>
              <w:rPr>
                <w:rFonts w:hint="eastAsia"/>
                <w:highlight w:val="none"/>
              </w:rPr>
              <w:t xml:space="preserve">电话： </w:t>
            </w:r>
          </w:p>
        </w:tc>
        <w:tc>
          <w:tcPr>
            <w:tcW w:w="7440" w:type="dxa"/>
            <w:shd w:val="clear" w:color="auto" w:fill="auto"/>
          </w:tcPr>
          <w:p w14:paraId="1FDDC148">
            <w:pPr>
              <w:pStyle w:val="8"/>
              <w:rPr>
                <w:highlight w:val="none"/>
              </w:rPr>
            </w:pPr>
            <w:r>
              <w:rPr>
                <w:rFonts w:hint="eastAsia"/>
                <w:highlight w:val="none"/>
              </w:rPr>
              <w:t xml:space="preserve">021-54967656 </w:t>
            </w:r>
          </w:p>
        </w:tc>
      </w:tr>
      <w:tr w14:paraId="5F5B6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1AC45A">
            <w:pPr>
              <w:pStyle w:val="8"/>
              <w:rPr>
                <w:highlight w:val="none"/>
              </w:rPr>
            </w:pPr>
            <w:r>
              <w:rPr>
                <w:rFonts w:hint="eastAsia"/>
                <w:highlight w:val="none"/>
              </w:rPr>
              <w:t xml:space="preserve">传真： </w:t>
            </w:r>
          </w:p>
        </w:tc>
        <w:tc>
          <w:tcPr>
            <w:tcW w:w="7440" w:type="dxa"/>
            <w:shd w:val="clear" w:color="auto" w:fill="auto"/>
          </w:tcPr>
          <w:p w14:paraId="23956A0E">
            <w:pPr>
              <w:pStyle w:val="8"/>
              <w:rPr>
                <w:highlight w:val="none"/>
              </w:rPr>
            </w:pPr>
            <w:r>
              <w:rPr>
                <w:rFonts w:hint="eastAsia"/>
                <w:highlight w:val="none"/>
              </w:rPr>
              <w:t xml:space="preserve">021-64333051 </w:t>
            </w:r>
          </w:p>
        </w:tc>
      </w:tr>
      <w:tr w14:paraId="03785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96EFCD">
            <w:pPr>
              <w:pStyle w:val="8"/>
              <w:rPr>
                <w:highlight w:val="none"/>
              </w:rPr>
            </w:pPr>
            <w:r>
              <w:rPr>
                <w:rFonts w:hint="eastAsia"/>
                <w:highlight w:val="none"/>
              </w:rPr>
              <w:t xml:space="preserve">客户服务电话： </w:t>
            </w:r>
          </w:p>
        </w:tc>
        <w:tc>
          <w:tcPr>
            <w:tcW w:w="7440" w:type="dxa"/>
            <w:shd w:val="clear" w:color="auto" w:fill="auto"/>
          </w:tcPr>
          <w:p w14:paraId="6834EAE0">
            <w:pPr>
              <w:pStyle w:val="8"/>
              <w:rPr>
                <w:highlight w:val="none"/>
              </w:rPr>
            </w:pPr>
            <w:r>
              <w:rPr>
                <w:rFonts w:hint="eastAsia"/>
                <w:highlight w:val="none"/>
              </w:rPr>
              <w:t xml:space="preserve">95323,021-32109999,029-68918888 </w:t>
            </w:r>
          </w:p>
        </w:tc>
      </w:tr>
      <w:tr w14:paraId="6FC18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0652E1">
            <w:pPr>
              <w:pStyle w:val="8"/>
              <w:rPr>
                <w:highlight w:val="none"/>
              </w:rPr>
            </w:pPr>
            <w:r>
              <w:rPr>
                <w:rFonts w:hint="eastAsia"/>
                <w:highlight w:val="none"/>
              </w:rPr>
              <w:t xml:space="preserve">网址： </w:t>
            </w:r>
          </w:p>
        </w:tc>
        <w:tc>
          <w:tcPr>
            <w:tcW w:w="7440" w:type="dxa"/>
            <w:shd w:val="clear" w:color="auto" w:fill="auto"/>
          </w:tcPr>
          <w:p w14:paraId="12F4727A">
            <w:pPr>
              <w:pStyle w:val="8"/>
              <w:rPr>
                <w:highlight w:val="none"/>
              </w:rPr>
            </w:pPr>
            <w:r>
              <w:rPr>
                <w:rFonts w:hint="eastAsia"/>
                <w:highlight w:val="none"/>
              </w:rPr>
              <w:t xml:space="preserve">http://www.cfsc.com.cn </w:t>
            </w:r>
          </w:p>
        </w:tc>
      </w:tr>
    </w:tbl>
    <w:p w14:paraId="50CFD24D">
      <w:pPr>
        <w:pStyle w:val="8"/>
        <w:spacing w:before="0" w:beforeAutospacing="0" w:after="0" w:afterAutospacing="0" w:line="360" w:lineRule="auto"/>
        <w:ind w:firstLine="420"/>
        <w:rPr>
          <w:sz w:val="21"/>
          <w:szCs w:val="21"/>
          <w:highlight w:val="none"/>
        </w:rPr>
      </w:pPr>
      <w:r>
        <w:rPr>
          <w:rFonts w:hint="eastAsia"/>
          <w:b/>
          <w:bCs/>
          <w:sz w:val="21"/>
          <w:szCs w:val="21"/>
          <w:highlight w:val="none"/>
        </w:rPr>
        <w:t>(43)中国中金财富证券有限公司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3"/>
        <w:gridCol w:w="6090"/>
      </w:tblGrid>
      <w:tr w14:paraId="0BB8E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4516E">
            <w:pPr>
              <w:pStyle w:val="8"/>
              <w:rPr>
                <w:highlight w:val="none"/>
              </w:rPr>
            </w:pPr>
            <w:r>
              <w:rPr>
                <w:rFonts w:hint="eastAsia"/>
                <w:highlight w:val="none"/>
              </w:rPr>
              <w:t xml:space="preserve">注册地址： </w:t>
            </w:r>
          </w:p>
        </w:tc>
        <w:tc>
          <w:tcPr>
            <w:tcW w:w="7440" w:type="dxa"/>
            <w:shd w:val="clear" w:color="auto" w:fill="auto"/>
          </w:tcPr>
          <w:p w14:paraId="11CFD093">
            <w:pPr>
              <w:pStyle w:val="8"/>
              <w:rPr>
                <w:highlight w:val="none"/>
              </w:rPr>
            </w:pPr>
            <w:r>
              <w:rPr>
                <w:rFonts w:hint="eastAsia"/>
                <w:highlight w:val="none"/>
              </w:rPr>
              <w:t xml:space="preserve">深圳市南山区粤海街道海珠社区科苑南路2666号中国华润大厦L4601-4608 </w:t>
            </w:r>
          </w:p>
        </w:tc>
      </w:tr>
      <w:tr w14:paraId="1A403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1E5A5">
            <w:pPr>
              <w:pStyle w:val="8"/>
              <w:rPr>
                <w:highlight w:val="none"/>
              </w:rPr>
            </w:pPr>
            <w:r>
              <w:rPr>
                <w:rFonts w:hint="eastAsia"/>
                <w:highlight w:val="none"/>
              </w:rPr>
              <w:t xml:space="preserve">办公地址： </w:t>
            </w:r>
          </w:p>
        </w:tc>
        <w:tc>
          <w:tcPr>
            <w:tcW w:w="7440" w:type="dxa"/>
            <w:shd w:val="clear" w:color="auto" w:fill="auto"/>
          </w:tcPr>
          <w:p w14:paraId="57F32977">
            <w:pPr>
              <w:pStyle w:val="8"/>
              <w:rPr>
                <w:highlight w:val="none"/>
              </w:rPr>
            </w:pPr>
            <w:r>
              <w:rPr>
                <w:rFonts w:hint="eastAsia"/>
                <w:highlight w:val="none"/>
              </w:rPr>
              <w:t xml:space="preserve">深圳市福田区益田路与福中路交界处荣超商务中心A栋第18-21层及第04层 </w:t>
            </w:r>
          </w:p>
        </w:tc>
      </w:tr>
      <w:tr w14:paraId="4AF18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2D353">
            <w:pPr>
              <w:pStyle w:val="8"/>
              <w:rPr>
                <w:highlight w:val="none"/>
              </w:rPr>
            </w:pPr>
            <w:r>
              <w:rPr>
                <w:rFonts w:hint="eastAsia"/>
                <w:highlight w:val="none"/>
              </w:rPr>
              <w:t xml:space="preserve">法定代表人： </w:t>
            </w:r>
          </w:p>
        </w:tc>
        <w:tc>
          <w:tcPr>
            <w:tcW w:w="7440" w:type="dxa"/>
            <w:shd w:val="clear" w:color="auto" w:fill="auto"/>
          </w:tcPr>
          <w:p w14:paraId="42AC2671">
            <w:pPr>
              <w:pStyle w:val="8"/>
              <w:rPr>
                <w:highlight w:val="none"/>
              </w:rPr>
            </w:pPr>
            <w:r>
              <w:rPr>
                <w:rFonts w:hint="eastAsia"/>
                <w:highlight w:val="none"/>
              </w:rPr>
              <w:t xml:space="preserve">高涛 </w:t>
            </w:r>
          </w:p>
        </w:tc>
      </w:tr>
      <w:tr w14:paraId="39DEB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EA829C">
            <w:pPr>
              <w:pStyle w:val="8"/>
              <w:rPr>
                <w:highlight w:val="none"/>
              </w:rPr>
            </w:pPr>
            <w:r>
              <w:rPr>
                <w:rFonts w:hint="eastAsia"/>
                <w:highlight w:val="none"/>
              </w:rPr>
              <w:t xml:space="preserve">联系人： </w:t>
            </w:r>
          </w:p>
        </w:tc>
        <w:tc>
          <w:tcPr>
            <w:tcW w:w="7440" w:type="dxa"/>
            <w:shd w:val="clear" w:color="auto" w:fill="auto"/>
          </w:tcPr>
          <w:p w14:paraId="26440034">
            <w:pPr>
              <w:pStyle w:val="8"/>
              <w:rPr>
                <w:highlight w:val="none"/>
              </w:rPr>
            </w:pPr>
            <w:r>
              <w:rPr>
                <w:rFonts w:hint="eastAsia"/>
                <w:highlight w:val="none"/>
              </w:rPr>
              <w:t xml:space="preserve">万玉琳 </w:t>
            </w:r>
          </w:p>
        </w:tc>
      </w:tr>
      <w:tr w14:paraId="7495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274BA3">
            <w:pPr>
              <w:pStyle w:val="8"/>
              <w:rPr>
                <w:highlight w:val="none"/>
              </w:rPr>
            </w:pPr>
            <w:r>
              <w:rPr>
                <w:rFonts w:hint="eastAsia"/>
                <w:highlight w:val="none"/>
              </w:rPr>
              <w:t xml:space="preserve">电话： </w:t>
            </w:r>
          </w:p>
        </w:tc>
        <w:tc>
          <w:tcPr>
            <w:tcW w:w="7440" w:type="dxa"/>
            <w:shd w:val="clear" w:color="auto" w:fill="auto"/>
          </w:tcPr>
          <w:p w14:paraId="01541A73">
            <w:pPr>
              <w:pStyle w:val="8"/>
              <w:rPr>
                <w:highlight w:val="none"/>
              </w:rPr>
            </w:pPr>
            <w:r>
              <w:rPr>
                <w:rFonts w:hint="eastAsia"/>
                <w:highlight w:val="none"/>
              </w:rPr>
              <w:t xml:space="preserve">0755-82026907 </w:t>
            </w:r>
          </w:p>
        </w:tc>
      </w:tr>
      <w:tr w14:paraId="460B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94A954">
            <w:pPr>
              <w:pStyle w:val="8"/>
              <w:rPr>
                <w:highlight w:val="none"/>
              </w:rPr>
            </w:pPr>
            <w:r>
              <w:rPr>
                <w:rFonts w:hint="eastAsia"/>
                <w:highlight w:val="none"/>
              </w:rPr>
              <w:t xml:space="preserve">传真： </w:t>
            </w:r>
          </w:p>
        </w:tc>
        <w:tc>
          <w:tcPr>
            <w:tcW w:w="7440" w:type="dxa"/>
            <w:shd w:val="clear" w:color="auto" w:fill="auto"/>
          </w:tcPr>
          <w:p w14:paraId="2A25E030">
            <w:pPr>
              <w:pStyle w:val="8"/>
              <w:rPr>
                <w:highlight w:val="none"/>
              </w:rPr>
            </w:pPr>
            <w:r>
              <w:rPr>
                <w:rFonts w:hint="eastAsia"/>
                <w:highlight w:val="none"/>
              </w:rPr>
              <w:t xml:space="preserve">0755-82026539 </w:t>
            </w:r>
          </w:p>
        </w:tc>
      </w:tr>
      <w:tr w14:paraId="3D099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2F5BF1">
            <w:pPr>
              <w:pStyle w:val="8"/>
              <w:rPr>
                <w:highlight w:val="none"/>
              </w:rPr>
            </w:pPr>
            <w:r>
              <w:rPr>
                <w:rFonts w:hint="eastAsia"/>
                <w:highlight w:val="none"/>
              </w:rPr>
              <w:t xml:space="preserve">客户服务电话： </w:t>
            </w:r>
          </w:p>
        </w:tc>
        <w:tc>
          <w:tcPr>
            <w:tcW w:w="7440" w:type="dxa"/>
            <w:shd w:val="clear" w:color="auto" w:fill="auto"/>
          </w:tcPr>
          <w:p w14:paraId="10CE15E4">
            <w:pPr>
              <w:pStyle w:val="8"/>
              <w:rPr>
                <w:highlight w:val="none"/>
              </w:rPr>
            </w:pPr>
            <w:r>
              <w:rPr>
                <w:rFonts w:hint="eastAsia"/>
                <w:highlight w:val="none"/>
              </w:rPr>
              <w:t xml:space="preserve">4006008008/95532 </w:t>
            </w:r>
          </w:p>
        </w:tc>
      </w:tr>
      <w:tr w14:paraId="570B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145825">
            <w:pPr>
              <w:pStyle w:val="8"/>
              <w:rPr>
                <w:highlight w:val="none"/>
              </w:rPr>
            </w:pPr>
            <w:r>
              <w:rPr>
                <w:rFonts w:hint="eastAsia"/>
                <w:highlight w:val="none"/>
              </w:rPr>
              <w:t xml:space="preserve">网址： </w:t>
            </w:r>
          </w:p>
        </w:tc>
        <w:tc>
          <w:tcPr>
            <w:tcW w:w="7440" w:type="dxa"/>
            <w:shd w:val="clear" w:color="auto" w:fill="auto"/>
          </w:tcPr>
          <w:p w14:paraId="1170CCC6">
            <w:pPr>
              <w:pStyle w:val="8"/>
              <w:rPr>
                <w:highlight w:val="none"/>
              </w:rPr>
            </w:pPr>
            <w:r>
              <w:rPr>
                <w:rFonts w:hint="eastAsia"/>
                <w:highlight w:val="none"/>
              </w:rPr>
              <w:t xml:space="preserve">http://www.china-invs.cn/ </w:t>
            </w:r>
          </w:p>
        </w:tc>
      </w:tr>
    </w:tbl>
    <w:p w14:paraId="5695E79B">
      <w:pPr>
        <w:pStyle w:val="8"/>
        <w:spacing w:before="0" w:beforeAutospacing="0" w:after="0" w:afterAutospacing="0" w:line="360" w:lineRule="auto"/>
        <w:ind w:firstLine="420"/>
        <w:rPr>
          <w:sz w:val="21"/>
          <w:szCs w:val="21"/>
          <w:highlight w:val="none"/>
        </w:rPr>
      </w:pPr>
      <w:r>
        <w:rPr>
          <w:rFonts w:hint="eastAsia"/>
          <w:b/>
          <w:bCs/>
          <w:sz w:val="21"/>
          <w:szCs w:val="21"/>
          <w:highlight w:val="none"/>
        </w:rPr>
        <w:t>(44)东方财富证券股份有限公司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2B945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800D198">
            <w:pPr>
              <w:pStyle w:val="8"/>
              <w:rPr>
                <w:highlight w:val="none"/>
              </w:rPr>
            </w:pPr>
            <w:r>
              <w:rPr>
                <w:rFonts w:hint="eastAsia"/>
                <w:highlight w:val="none"/>
              </w:rPr>
              <w:t xml:space="preserve">注册地址： </w:t>
            </w:r>
          </w:p>
        </w:tc>
        <w:tc>
          <w:tcPr>
            <w:tcW w:w="7440" w:type="dxa"/>
            <w:shd w:val="clear" w:color="auto" w:fill="auto"/>
          </w:tcPr>
          <w:p w14:paraId="19A00AE6">
            <w:pPr>
              <w:pStyle w:val="8"/>
              <w:rPr>
                <w:highlight w:val="none"/>
              </w:rPr>
            </w:pPr>
            <w:r>
              <w:rPr>
                <w:rFonts w:hint="eastAsia"/>
                <w:highlight w:val="none"/>
              </w:rPr>
              <w:t xml:space="preserve">西藏自治区拉萨市柳梧新区国际总部城10栋楼 </w:t>
            </w:r>
          </w:p>
        </w:tc>
      </w:tr>
      <w:tr w14:paraId="17D8E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B7F754">
            <w:pPr>
              <w:pStyle w:val="8"/>
              <w:rPr>
                <w:highlight w:val="none"/>
              </w:rPr>
            </w:pPr>
            <w:r>
              <w:rPr>
                <w:rFonts w:hint="eastAsia"/>
                <w:highlight w:val="none"/>
              </w:rPr>
              <w:t xml:space="preserve">办公地址： </w:t>
            </w:r>
          </w:p>
        </w:tc>
        <w:tc>
          <w:tcPr>
            <w:tcW w:w="7440" w:type="dxa"/>
            <w:shd w:val="clear" w:color="auto" w:fill="auto"/>
          </w:tcPr>
          <w:p w14:paraId="7A2A2AD6">
            <w:pPr>
              <w:pStyle w:val="8"/>
              <w:rPr>
                <w:highlight w:val="none"/>
              </w:rPr>
            </w:pPr>
            <w:r>
              <w:rPr>
                <w:rFonts w:hint="eastAsia"/>
                <w:highlight w:val="none"/>
              </w:rPr>
              <w:t xml:space="preserve">上海市徐汇区宛平南路88号金座东方财富大厦 </w:t>
            </w:r>
          </w:p>
        </w:tc>
      </w:tr>
      <w:tr w14:paraId="4BBBC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844B82">
            <w:pPr>
              <w:pStyle w:val="8"/>
              <w:rPr>
                <w:highlight w:val="none"/>
              </w:rPr>
            </w:pPr>
            <w:r>
              <w:rPr>
                <w:rFonts w:hint="eastAsia"/>
                <w:highlight w:val="none"/>
              </w:rPr>
              <w:t xml:space="preserve">法定代表人： </w:t>
            </w:r>
          </w:p>
        </w:tc>
        <w:tc>
          <w:tcPr>
            <w:tcW w:w="7440" w:type="dxa"/>
            <w:shd w:val="clear" w:color="auto" w:fill="auto"/>
          </w:tcPr>
          <w:p w14:paraId="1E1640ED">
            <w:pPr>
              <w:pStyle w:val="8"/>
              <w:rPr>
                <w:highlight w:val="none"/>
              </w:rPr>
            </w:pPr>
            <w:r>
              <w:rPr>
                <w:rFonts w:hint="eastAsia"/>
                <w:highlight w:val="none"/>
              </w:rPr>
              <w:t xml:space="preserve">戴彦 </w:t>
            </w:r>
          </w:p>
        </w:tc>
      </w:tr>
      <w:tr w14:paraId="6FCFD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A4C13">
            <w:pPr>
              <w:pStyle w:val="8"/>
              <w:rPr>
                <w:highlight w:val="none"/>
              </w:rPr>
            </w:pPr>
            <w:r>
              <w:rPr>
                <w:rFonts w:hint="eastAsia"/>
                <w:highlight w:val="none"/>
              </w:rPr>
              <w:t xml:space="preserve">联系人： </w:t>
            </w:r>
          </w:p>
        </w:tc>
        <w:tc>
          <w:tcPr>
            <w:tcW w:w="7440" w:type="dxa"/>
            <w:shd w:val="clear" w:color="auto" w:fill="auto"/>
          </w:tcPr>
          <w:p w14:paraId="194C7AD8">
            <w:pPr>
              <w:pStyle w:val="8"/>
              <w:rPr>
                <w:highlight w:val="none"/>
              </w:rPr>
            </w:pPr>
            <w:r>
              <w:rPr>
                <w:rFonts w:hint="eastAsia"/>
                <w:highlight w:val="none"/>
              </w:rPr>
              <w:t xml:space="preserve">付佳 </w:t>
            </w:r>
          </w:p>
        </w:tc>
      </w:tr>
      <w:tr w14:paraId="32DF6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C0E0D">
            <w:pPr>
              <w:pStyle w:val="8"/>
              <w:rPr>
                <w:highlight w:val="none"/>
              </w:rPr>
            </w:pPr>
            <w:r>
              <w:rPr>
                <w:rFonts w:hint="eastAsia"/>
                <w:highlight w:val="none"/>
              </w:rPr>
              <w:t xml:space="preserve">电话： </w:t>
            </w:r>
          </w:p>
        </w:tc>
        <w:tc>
          <w:tcPr>
            <w:tcW w:w="7440" w:type="dxa"/>
            <w:shd w:val="clear" w:color="auto" w:fill="auto"/>
          </w:tcPr>
          <w:p w14:paraId="10F62925">
            <w:pPr>
              <w:pStyle w:val="8"/>
              <w:rPr>
                <w:highlight w:val="none"/>
              </w:rPr>
            </w:pPr>
            <w:r>
              <w:rPr>
                <w:rFonts w:hint="eastAsia"/>
                <w:highlight w:val="none"/>
              </w:rPr>
              <w:t xml:space="preserve">021-23586603 </w:t>
            </w:r>
          </w:p>
        </w:tc>
      </w:tr>
      <w:tr w14:paraId="2A686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6C5231">
            <w:pPr>
              <w:pStyle w:val="8"/>
              <w:rPr>
                <w:highlight w:val="none"/>
              </w:rPr>
            </w:pPr>
            <w:r>
              <w:rPr>
                <w:rFonts w:hint="eastAsia"/>
                <w:highlight w:val="none"/>
              </w:rPr>
              <w:t xml:space="preserve">传真： </w:t>
            </w:r>
          </w:p>
        </w:tc>
        <w:tc>
          <w:tcPr>
            <w:tcW w:w="7440" w:type="dxa"/>
            <w:shd w:val="clear" w:color="auto" w:fill="auto"/>
          </w:tcPr>
          <w:p w14:paraId="2D568E06">
            <w:pPr>
              <w:pStyle w:val="8"/>
              <w:rPr>
                <w:highlight w:val="none"/>
              </w:rPr>
            </w:pPr>
            <w:r>
              <w:rPr>
                <w:rFonts w:hint="eastAsia"/>
                <w:highlight w:val="none"/>
              </w:rPr>
              <w:t xml:space="preserve">021-23586860 </w:t>
            </w:r>
          </w:p>
        </w:tc>
      </w:tr>
      <w:tr w14:paraId="4A7FC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5DAA55">
            <w:pPr>
              <w:pStyle w:val="8"/>
              <w:rPr>
                <w:highlight w:val="none"/>
              </w:rPr>
            </w:pPr>
            <w:r>
              <w:rPr>
                <w:rFonts w:hint="eastAsia"/>
                <w:highlight w:val="none"/>
              </w:rPr>
              <w:t xml:space="preserve">客户服务电话： </w:t>
            </w:r>
          </w:p>
        </w:tc>
        <w:tc>
          <w:tcPr>
            <w:tcW w:w="7440" w:type="dxa"/>
            <w:shd w:val="clear" w:color="auto" w:fill="auto"/>
          </w:tcPr>
          <w:p w14:paraId="3FF77EEF">
            <w:pPr>
              <w:pStyle w:val="8"/>
              <w:rPr>
                <w:highlight w:val="none"/>
              </w:rPr>
            </w:pPr>
            <w:r>
              <w:rPr>
                <w:rFonts w:hint="eastAsia"/>
                <w:highlight w:val="none"/>
              </w:rPr>
              <w:t xml:space="preserve">95357 </w:t>
            </w:r>
          </w:p>
        </w:tc>
      </w:tr>
      <w:tr w14:paraId="58E77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3DE476">
            <w:pPr>
              <w:pStyle w:val="8"/>
              <w:rPr>
                <w:highlight w:val="none"/>
              </w:rPr>
            </w:pPr>
            <w:r>
              <w:rPr>
                <w:rFonts w:hint="eastAsia"/>
                <w:highlight w:val="none"/>
              </w:rPr>
              <w:t xml:space="preserve">网址： </w:t>
            </w:r>
          </w:p>
        </w:tc>
        <w:tc>
          <w:tcPr>
            <w:tcW w:w="7440" w:type="dxa"/>
            <w:shd w:val="clear" w:color="auto" w:fill="auto"/>
          </w:tcPr>
          <w:p w14:paraId="7830C5C8">
            <w:pPr>
              <w:pStyle w:val="8"/>
              <w:rPr>
                <w:highlight w:val="none"/>
              </w:rPr>
            </w:pPr>
            <w:r>
              <w:rPr>
                <w:rFonts w:hint="eastAsia"/>
                <w:highlight w:val="none"/>
              </w:rPr>
              <w:t xml:space="preserve">http://www.18.cn </w:t>
            </w:r>
          </w:p>
        </w:tc>
      </w:tr>
    </w:tbl>
    <w:p w14:paraId="2160522A">
      <w:pPr>
        <w:pStyle w:val="8"/>
        <w:spacing w:before="0" w:beforeAutospacing="0" w:after="0" w:afterAutospacing="0" w:line="360" w:lineRule="auto"/>
        <w:ind w:firstLine="420"/>
        <w:rPr>
          <w:sz w:val="21"/>
          <w:szCs w:val="21"/>
          <w:highlight w:val="none"/>
        </w:rPr>
      </w:pPr>
      <w:r>
        <w:rPr>
          <w:rFonts w:hint="eastAsia"/>
          <w:b/>
          <w:bCs/>
          <w:sz w:val="21"/>
          <w:szCs w:val="21"/>
          <w:highlight w:val="none"/>
        </w:rPr>
        <w:t>(45)江海证券有限公司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7ECF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D6A3F1">
            <w:pPr>
              <w:pStyle w:val="8"/>
              <w:rPr>
                <w:highlight w:val="none"/>
              </w:rPr>
            </w:pPr>
            <w:r>
              <w:rPr>
                <w:rFonts w:hint="eastAsia"/>
                <w:highlight w:val="none"/>
              </w:rPr>
              <w:t xml:space="preserve">注册地址： </w:t>
            </w:r>
          </w:p>
        </w:tc>
        <w:tc>
          <w:tcPr>
            <w:tcW w:w="7440" w:type="dxa"/>
            <w:shd w:val="clear" w:color="auto" w:fill="auto"/>
          </w:tcPr>
          <w:p w14:paraId="33D56A93">
            <w:pPr>
              <w:pStyle w:val="8"/>
              <w:rPr>
                <w:highlight w:val="none"/>
              </w:rPr>
            </w:pPr>
            <w:r>
              <w:rPr>
                <w:rFonts w:hint="eastAsia"/>
                <w:highlight w:val="none"/>
              </w:rPr>
              <w:t xml:space="preserve">黑龙江省哈尔滨市香坊区赣水路56号 </w:t>
            </w:r>
          </w:p>
        </w:tc>
      </w:tr>
      <w:tr w14:paraId="702B6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D42766">
            <w:pPr>
              <w:pStyle w:val="8"/>
              <w:rPr>
                <w:highlight w:val="none"/>
              </w:rPr>
            </w:pPr>
            <w:r>
              <w:rPr>
                <w:rFonts w:hint="eastAsia"/>
                <w:highlight w:val="none"/>
              </w:rPr>
              <w:t xml:space="preserve">办公地址： </w:t>
            </w:r>
          </w:p>
        </w:tc>
        <w:tc>
          <w:tcPr>
            <w:tcW w:w="7440" w:type="dxa"/>
            <w:shd w:val="clear" w:color="auto" w:fill="auto"/>
          </w:tcPr>
          <w:p w14:paraId="2E019068">
            <w:pPr>
              <w:pStyle w:val="8"/>
              <w:rPr>
                <w:highlight w:val="none"/>
              </w:rPr>
            </w:pPr>
            <w:r>
              <w:rPr>
                <w:rFonts w:hint="eastAsia"/>
                <w:highlight w:val="none"/>
              </w:rPr>
              <w:t xml:space="preserve">黑龙江省哈尔滨市香坊区赣水路56号 </w:t>
            </w:r>
          </w:p>
        </w:tc>
      </w:tr>
      <w:tr w14:paraId="330EB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2D136F">
            <w:pPr>
              <w:pStyle w:val="8"/>
              <w:rPr>
                <w:highlight w:val="none"/>
              </w:rPr>
            </w:pPr>
            <w:r>
              <w:rPr>
                <w:rFonts w:hint="eastAsia"/>
                <w:highlight w:val="none"/>
              </w:rPr>
              <w:t xml:space="preserve">法定代表人： </w:t>
            </w:r>
          </w:p>
        </w:tc>
        <w:tc>
          <w:tcPr>
            <w:tcW w:w="7440" w:type="dxa"/>
            <w:shd w:val="clear" w:color="auto" w:fill="auto"/>
          </w:tcPr>
          <w:p w14:paraId="50A54759">
            <w:pPr>
              <w:pStyle w:val="8"/>
              <w:rPr>
                <w:highlight w:val="none"/>
              </w:rPr>
            </w:pPr>
            <w:r>
              <w:rPr>
                <w:rFonts w:hint="eastAsia"/>
                <w:highlight w:val="none"/>
              </w:rPr>
              <w:t xml:space="preserve">孙名扬 </w:t>
            </w:r>
          </w:p>
        </w:tc>
      </w:tr>
      <w:tr w14:paraId="66E30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F2FC17">
            <w:pPr>
              <w:pStyle w:val="8"/>
              <w:rPr>
                <w:highlight w:val="none"/>
              </w:rPr>
            </w:pPr>
            <w:r>
              <w:rPr>
                <w:rFonts w:hint="eastAsia"/>
                <w:highlight w:val="none"/>
              </w:rPr>
              <w:t xml:space="preserve">联系人： </w:t>
            </w:r>
          </w:p>
        </w:tc>
        <w:tc>
          <w:tcPr>
            <w:tcW w:w="7440" w:type="dxa"/>
            <w:shd w:val="clear" w:color="auto" w:fill="auto"/>
          </w:tcPr>
          <w:p w14:paraId="075C9B2E">
            <w:pPr>
              <w:pStyle w:val="8"/>
              <w:rPr>
                <w:highlight w:val="none"/>
              </w:rPr>
            </w:pPr>
            <w:r>
              <w:rPr>
                <w:rFonts w:hint="eastAsia"/>
                <w:highlight w:val="none"/>
              </w:rPr>
              <w:t xml:space="preserve">王金娇 </w:t>
            </w:r>
          </w:p>
        </w:tc>
      </w:tr>
      <w:tr w14:paraId="24F72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54D9F6">
            <w:pPr>
              <w:pStyle w:val="8"/>
              <w:rPr>
                <w:highlight w:val="none"/>
              </w:rPr>
            </w:pPr>
            <w:r>
              <w:rPr>
                <w:rFonts w:hint="eastAsia"/>
                <w:highlight w:val="none"/>
              </w:rPr>
              <w:t xml:space="preserve">电话： </w:t>
            </w:r>
          </w:p>
        </w:tc>
        <w:tc>
          <w:tcPr>
            <w:tcW w:w="7440" w:type="dxa"/>
            <w:shd w:val="clear" w:color="auto" w:fill="auto"/>
          </w:tcPr>
          <w:p w14:paraId="5D75F3B1">
            <w:pPr>
              <w:pStyle w:val="8"/>
              <w:rPr>
                <w:highlight w:val="none"/>
              </w:rPr>
            </w:pPr>
            <w:r>
              <w:rPr>
                <w:rFonts w:hint="eastAsia"/>
                <w:highlight w:val="none"/>
              </w:rPr>
              <w:t xml:space="preserve">0451-87765732 </w:t>
            </w:r>
          </w:p>
        </w:tc>
      </w:tr>
      <w:tr w14:paraId="1CCA7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E07AC8">
            <w:pPr>
              <w:pStyle w:val="8"/>
              <w:rPr>
                <w:highlight w:val="none"/>
              </w:rPr>
            </w:pPr>
            <w:r>
              <w:rPr>
                <w:rFonts w:hint="eastAsia"/>
                <w:highlight w:val="none"/>
              </w:rPr>
              <w:t xml:space="preserve">传真： </w:t>
            </w:r>
          </w:p>
        </w:tc>
        <w:tc>
          <w:tcPr>
            <w:tcW w:w="7440" w:type="dxa"/>
            <w:shd w:val="clear" w:color="auto" w:fill="auto"/>
          </w:tcPr>
          <w:p w14:paraId="7B26B847">
            <w:pPr>
              <w:pStyle w:val="8"/>
              <w:rPr>
                <w:highlight w:val="none"/>
              </w:rPr>
            </w:pPr>
            <w:r>
              <w:rPr>
                <w:rFonts w:hint="eastAsia"/>
                <w:highlight w:val="none"/>
              </w:rPr>
              <w:t xml:space="preserve">0451－82287211 </w:t>
            </w:r>
          </w:p>
        </w:tc>
      </w:tr>
      <w:tr w14:paraId="1C804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A6470A">
            <w:pPr>
              <w:pStyle w:val="8"/>
              <w:rPr>
                <w:highlight w:val="none"/>
              </w:rPr>
            </w:pPr>
            <w:r>
              <w:rPr>
                <w:rFonts w:hint="eastAsia"/>
                <w:highlight w:val="none"/>
              </w:rPr>
              <w:t xml:space="preserve">客户服务电话： </w:t>
            </w:r>
          </w:p>
        </w:tc>
        <w:tc>
          <w:tcPr>
            <w:tcW w:w="7440" w:type="dxa"/>
            <w:shd w:val="clear" w:color="auto" w:fill="auto"/>
          </w:tcPr>
          <w:p w14:paraId="40BE8855">
            <w:pPr>
              <w:pStyle w:val="8"/>
              <w:rPr>
                <w:highlight w:val="none"/>
              </w:rPr>
            </w:pPr>
            <w:r>
              <w:rPr>
                <w:rFonts w:hint="eastAsia"/>
                <w:highlight w:val="none"/>
              </w:rPr>
              <w:t xml:space="preserve">956007 </w:t>
            </w:r>
          </w:p>
        </w:tc>
      </w:tr>
      <w:tr w14:paraId="45E9C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8A50FB">
            <w:pPr>
              <w:pStyle w:val="8"/>
              <w:rPr>
                <w:highlight w:val="none"/>
              </w:rPr>
            </w:pPr>
            <w:r>
              <w:rPr>
                <w:rFonts w:hint="eastAsia"/>
                <w:highlight w:val="none"/>
              </w:rPr>
              <w:t xml:space="preserve">网址： </w:t>
            </w:r>
          </w:p>
        </w:tc>
        <w:tc>
          <w:tcPr>
            <w:tcW w:w="7440" w:type="dxa"/>
            <w:shd w:val="clear" w:color="auto" w:fill="auto"/>
          </w:tcPr>
          <w:p w14:paraId="1DEFFE3C">
            <w:pPr>
              <w:pStyle w:val="8"/>
              <w:rPr>
                <w:highlight w:val="none"/>
              </w:rPr>
            </w:pPr>
            <w:r>
              <w:rPr>
                <w:rFonts w:hint="eastAsia"/>
                <w:highlight w:val="none"/>
              </w:rPr>
              <w:t xml:space="preserve">http://www.jhzq.com.cn </w:t>
            </w:r>
          </w:p>
        </w:tc>
      </w:tr>
    </w:tbl>
    <w:p w14:paraId="1322B770">
      <w:pPr>
        <w:pStyle w:val="8"/>
        <w:spacing w:before="0" w:beforeAutospacing="0" w:after="0" w:afterAutospacing="0" w:line="360" w:lineRule="auto"/>
        <w:ind w:firstLine="420"/>
        <w:rPr>
          <w:sz w:val="21"/>
          <w:szCs w:val="21"/>
          <w:highlight w:val="none"/>
        </w:rPr>
      </w:pPr>
      <w:r>
        <w:rPr>
          <w:rFonts w:hint="eastAsia"/>
          <w:b/>
          <w:bCs/>
          <w:sz w:val="21"/>
          <w:szCs w:val="21"/>
          <w:highlight w:val="none"/>
        </w:rPr>
        <w:t>(46)国金证券股份有限公司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D6A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DC1ED">
            <w:pPr>
              <w:pStyle w:val="8"/>
              <w:rPr>
                <w:highlight w:val="none"/>
              </w:rPr>
            </w:pPr>
            <w:r>
              <w:rPr>
                <w:rFonts w:hint="eastAsia"/>
                <w:highlight w:val="none"/>
              </w:rPr>
              <w:t xml:space="preserve">注册地址： </w:t>
            </w:r>
          </w:p>
        </w:tc>
        <w:tc>
          <w:tcPr>
            <w:tcW w:w="7440" w:type="dxa"/>
            <w:shd w:val="clear" w:color="auto" w:fill="auto"/>
          </w:tcPr>
          <w:p w14:paraId="298FDD61">
            <w:pPr>
              <w:pStyle w:val="8"/>
              <w:rPr>
                <w:highlight w:val="none"/>
              </w:rPr>
            </w:pPr>
            <w:r>
              <w:rPr>
                <w:rFonts w:hint="eastAsia"/>
                <w:highlight w:val="none"/>
              </w:rPr>
              <w:t xml:space="preserve">四川省成都市东城根上街95号 </w:t>
            </w:r>
          </w:p>
        </w:tc>
      </w:tr>
      <w:tr w14:paraId="4493F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C852E">
            <w:pPr>
              <w:pStyle w:val="8"/>
              <w:rPr>
                <w:highlight w:val="none"/>
              </w:rPr>
            </w:pPr>
            <w:r>
              <w:rPr>
                <w:rFonts w:hint="eastAsia"/>
                <w:highlight w:val="none"/>
              </w:rPr>
              <w:t xml:space="preserve">办公地址： </w:t>
            </w:r>
          </w:p>
        </w:tc>
        <w:tc>
          <w:tcPr>
            <w:tcW w:w="7440" w:type="dxa"/>
            <w:shd w:val="clear" w:color="auto" w:fill="auto"/>
          </w:tcPr>
          <w:p w14:paraId="54B67D4A">
            <w:pPr>
              <w:pStyle w:val="8"/>
              <w:rPr>
                <w:highlight w:val="none"/>
              </w:rPr>
            </w:pPr>
            <w:r>
              <w:rPr>
                <w:rFonts w:hint="eastAsia"/>
                <w:highlight w:val="none"/>
              </w:rPr>
              <w:t xml:space="preserve">四川省成都市东城根上街95号 </w:t>
            </w:r>
          </w:p>
        </w:tc>
      </w:tr>
      <w:tr w14:paraId="062F8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22E976">
            <w:pPr>
              <w:pStyle w:val="8"/>
              <w:rPr>
                <w:highlight w:val="none"/>
              </w:rPr>
            </w:pPr>
            <w:r>
              <w:rPr>
                <w:rFonts w:hint="eastAsia"/>
                <w:highlight w:val="none"/>
              </w:rPr>
              <w:t xml:space="preserve">法定代表人： </w:t>
            </w:r>
          </w:p>
        </w:tc>
        <w:tc>
          <w:tcPr>
            <w:tcW w:w="7440" w:type="dxa"/>
            <w:shd w:val="clear" w:color="auto" w:fill="auto"/>
          </w:tcPr>
          <w:p w14:paraId="7BB07FAA">
            <w:pPr>
              <w:pStyle w:val="8"/>
              <w:rPr>
                <w:highlight w:val="none"/>
              </w:rPr>
            </w:pPr>
            <w:r>
              <w:rPr>
                <w:rFonts w:hint="eastAsia"/>
                <w:highlight w:val="none"/>
              </w:rPr>
              <w:t xml:space="preserve">冉云 </w:t>
            </w:r>
          </w:p>
        </w:tc>
      </w:tr>
      <w:tr w14:paraId="721D1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9B705E">
            <w:pPr>
              <w:pStyle w:val="8"/>
              <w:rPr>
                <w:highlight w:val="none"/>
              </w:rPr>
            </w:pPr>
            <w:r>
              <w:rPr>
                <w:rFonts w:hint="eastAsia"/>
                <w:highlight w:val="none"/>
              </w:rPr>
              <w:t xml:space="preserve">联系人： </w:t>
            </w:r>
          </w:p>
        </w:tc>
        <w:tc>
          <w:tcPr>
            <w:tcW w:w="7440" w:type="dxa"/>
            <w:shd w:val="clear" w:color="auto" w:fill="auto"/>
          </w:tcPr>
          <w:p w14:paraId="0D93A19B">
            <w:pPr>
              <w:pStyle w:val="8"/>
              <w:rPr>
                <w:highlight w:val="none"/>
              </w:rPr>
            </w:pPr>
            <w:r>
              <w:rPr>
                <w:rFonts w:hint="eastAsia"/>
                <w:highlight w:val="none"/>
              </w:rPr>
              <w:t xml:space="preserve">贾鹏 </w:t>
            </w:r>
          </w:p>
        </w:tc>
      </w:tr>
      <w:tr w14:paraId="1BD13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A22FC">
            <w:pPr>
              <w:pStyle w:val="8"/>
              <w:rPr>
                <w:highlight w:val="none"/>
              </w:rPr>
            </w:pPr>
            <w:r>
              <w:rPr>
                <w:rFonts w:hint="eastAsia"/>
                <w:highlight w:val="none"/>
              </w:rPr>
              <w:t xml:space="preserve">电话： </w:t>
            </w:r>
          </w:p>
        </w:tc>
        <w:tc>
          <w:tcPr>
            <w:tcW w:w="7440" w:type="dxa"/>
            <w:shd w:val="clear" w:color="auto" w:fill="auto"/>
          </w:tcPr>
          <w:p w14:paraId="6F1857EA">
            <w:pPr>
              <w:pStyle w:val="8"/>
              <w:rPr>
                <w:highlight w:val="none"/>
              </w:rPr>
            </w:pPr>
            <w:r>
              <w:rPr>
                <w:rFonts w:hint="eastAsia"/>
                <w:highlight w:val="none"/>
              </w:rPr>
              <w:t xml:space="preserve">028-86690057、028-86690058 </w:t>
            </w:r>
          </w:p>
        </w:tc>
      </w:tr>
      <w:tr w14:paraId="0E290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8869D">
            <w:pPr>
              <w:pStyle w:val="8"/>
              <w:rPr>
                <w:highlight w:val="none"/>
              </w:rPr>
            </w:pPr>
            <w:r>
              <w:rPr>
                <w:rFonts w:hint="eastAsia"/>
                <w:highlight w:val="none"/>
              </w:rPr>
              <w:t xml:space="preserve">传真： </w:t>
            </w:r>
          </w:p>
        </w:tc>
        <w:tc>
          <w:tcPr>
            <w:tcW w:w="7440" w:type="dxa"/>
            <w:shd w:val="clear" w:color="auto" w:fill="auto"/>
          </w:tcPr>
          <w:p w14:paraId="13A6971C">
            <w:pPr>
              <w:pStyle w:val="8"/>
              <w:rPr>
                <w:highlight w:val="none"/>
              </w:rPr>
            </w:pPr>
            <w:r>
              <w:rPr>
                <w:rFonts w:hint="eastAsia"/>
                <w:highlight w:val="none"/>
              </w:rPr>
              <w:t xml:space="preserve">028-86690126 </w:t>
            </w:r>
          </w:p>
        </w:tc>
      </w:tr>
      <w:tr w14:paraId="0B653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EDE537">
            <w:pPr>
              <w:pStyle w:val="8"/>
              <w:rPr>
                <w:highlight w:val="none"/>
              </w:rPr>
            </w:pPr>
            <w:r>
              <w:rPr>
                <w:rFonts w:hint="eastAsia"/>
                <w:highlight w:val="none"/>
              </w:rPr>
              <w:t xml:space="preserve">客户服务电话： </w:t>
            </w:r>
          </w:p>
        </w:tc>
        <w:tc>
          <w:tcPr>
            <w:tcW w:w="7440" w:type="dxa"/>
            <w:shd w:val="clear" w:color="auto" w:fill="auto"/>
          </w:tcPr>
          <w:p w14:paraId="4D2947E6">
            <w:pPr>
              <w:pStyle w:val="8"/>
              <w:rPr>
                <w:highlight w:val="none"/>
              </w:rPr>
            </w:pPr>
            <w:r>
              <w:rPr>
                <w:rFonts w:hint="eastAsia"/>
                <w:highlight w:val="none"/>
              </w:rPr>
              <w:t xml:space="preserve">4006-600109/95310 </w:t>
            </w:r>
          </w:p>
        </w:tc>
      </w:tr>
      <w:tr w14:paraId="200C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006B7A">
            <w:pPr>
              <w:pStyle w:val="8"/>
              <w:rPr>
                <w:highlight w:val="none"/>
              </w:rPr>
            </w:pPr>
            <w:r>
              <w:rPr>
                <w:rFonts w:hint="eastAsia"/>
                <w:highlight w:val="none"/>
              </w:rPr>
              <w:t xml:space="preserve">网址： </w:t>
            </w:r>
          </w:p>
        </w:tc>
        <w:tc>
          <w:tcPr>
            <w:tcW w:w="7440" w:type="dxa"/>
            <w:shd w:val="clear" w:color="auto" w:fill="auto"/>
          </w:tcPr>
          <w:p w14:paraId="431C5D9B">
            <w:pPr>
              <w:pStyle w:val="8"/>
              <w:rPr>
                <w:highlight w:val="none"/>
              </w:rPr>
            </w:pPr>
            <w:r>
              <w:rPr>
                <w:rFonts w:hint="eastAsia"/>
                <w:highlight w:val="none"/>
              </w:rPr>
              <w:t xml:space="preserve">http://www.gjzq.com.cn </w:t>
            </w:r>
          </w:p>
        </w:tc>
      </w:tr>
    </w:tbl>
    <w:p w14:paraId="5EBC75AF">
      <w:pPr>
        <w:pStyle w:val="8"/>
        <w:spacing w:before="0" w:beforeAutospacing="0" w:after="0" w:afterAutospacing="0" w:line="360" w:lineRule="auto"/>
        <w:ind w:firstLine="420"/>
        <w:rPr>
          <w:sz w:val="21"/>
          <w:szCs w:val="21"/>
          <w:highlight w:val="none"/>
        </w:rPr>
      </w:pPr>
      <w:r>
        <w:rPr>
          <w:rFonts w:hint="eastAsia"/>
          <w:b/>
          <w:bCs/>
          <w:sz w:val="21"/>
          <w:szCs w:val="21"/>
          <w:highlight w:val="none"/>
        </w:rPr>
        <w:t>(47)华宝证券股份有限公司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77"/>
        <w:gridCol w:w="6076"/>
      </w:tblGrid>
      <w:tr w14:paraId="088F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1E072A">
            <w:pPr>
              <w:pStyle w:val="8"/>
              <w:rPr>
                <w:highlight w:val="none"/>
              </w:rPr>
            </w:pPr>
            <w:r>
              <w:rPr>
                <w:rFonts w:hint="eastAsia"/>
                <w:highlight w:val="none"/>
              </w:rPr>
              <w:t xml:space="preserve">注册地址： </w:t>
            </w:r>
          </w:p>
        </w:tc>
        <w:tc>
          <w:tcPr>
            <w:tcW w:w="7440" w:type="dxa"/>
            <w:shd w:val="clear" w:color="auto" w:fill="auto"/>
          </w:tcPr>
          <w:p w14:paraId="5B96670C">
            <w:pPr>
              <w:pStyle w:val="8"/>
              <w:rPr>
                <w:highlight w:val="none"/>
              </w:rPr>
            </w:pPr>
            <w:r>
              <w:rPr>
                <w:rFonts w:hint="eastAsia"/>
                <w:highlight w:val="none"/>
              </w:rPr>
              <w:t xml:space="preserve">上海市浦东新区世纪大道100号上海环球金融中心57楼 </w:t>
            </w:r>
          </w:p>
        </w:tc>
      </w:tr>
      <w:tr w14:paraId="34559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08F861">
            <w:pPr>
              <w:pStyle w:val="8"/>
              <w:rPr>
                <w:highlight w:val="none"/>
              </w:rPr>
            </w:pPr>
            <w:r>
              <w:rPr>
                <w:rFonts w:hint="eastAsia"/>
                <w:highlight w:val="none"/>
              </w:rPr>
              <w:t xml:space="preserve">办公地址： </w:t>
            </w:r>
          </w:p>
        </w:tc>
        <w:tc>
          <w:tcPr>
            <w:tcW w:w="7440" w:type="dxa"/>
            <w:shd w:val="clear" w:color="auto" w:fill="auto"/>
          </w:tcPr>
          <w:p w14:paraId="2B00232B">
            <w:pPr>
              <w:pStyle w:val="8"/>
              <w:rPr>
                <w:highlight w:val="none"/>
              </w:rPr>
            </w:pPr>
            <w:r>
              <w:rPr>
                <w:rFonts w:hint="eastAsia"/>
                <w:highlight w:val="none"/>
              </w:rPr>
              <w:t xml:space="preserve">上海市浦东新区世纪大道100号上海环球金融中心57楼 </w:t>
            </w:r>
          </w:p>
        </w:tc>
      </w:tr>
      <w:tr w14:paraId="4D160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106A2">
            <w:pPr>
              <w:pStyle w:val="8"/>
              <w:rPr>
                <w:highlight w:val="none"/>
              </w:rPr>
            </w:pPr>
            <w:r>
              <w:rPr>
                <w:rFonts w:hint="eastAsia"/>
                <w:highlight w:val="none"/>
              </w:rPr>
              <w:t xml:space="preserve">法定代表人： </w:t>
            </w:r>
          </w:p>
        </w:tc>
        <w:tc>
          <w:tcPr>
            <w:tcW w:w="7440" w:type="dxa"/>
            <w:shd w:val="clear" w:color="auto" w:fill="auto"/>
          </w:tcPr>
          <w:p w14:paraId="04F14B95">
            <w:pPr>
              <w:pStyle w:val="8"/>
              <w:rPr>
                <w:highlight w:val="none"/>
              </w:rPr>
            </w:pPr>
            <w:r>
              <w:rPr>
                <w:rFonts w:hint="eastAsia"/>
                <w:highlight w:val="none"/>
              </w:rPr>
              <w:t xml:space="preserve">刘加海 </w:t>
            </w:r>
          </w:p>
        </w:tc>
      </w:tr>
      <w:tr w14:paraId="3272E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0B06C">
            <w:pPr>
              <w:pStyle w:val="8"/>
              <w:rPr>
                <w:highlight w:val="none"/>
              </w:rPr>
            </w:pPr>
            <w:r>
              <w:rPr>
                <w:rFonts w:hint="eastAsia"/>
                <w:highlight w:val="none"/>
              </w:rPr>
              <w:t xml:space="preserve">联系人： </w:t>
            </w:r>
          </w:p>
        </w:tc>
        <w:tc>
          <w:tcPr>
            <w:tcW w:w="7440" w:type="dxa"/>
            <w:shd w:val="clear" w:color="auto" w:fill="auto"/>
          </w:tcPr>
          <w:p w14:paraId="7B515DA1">
            <w:pPr>
              <w:pStyle w:val="8"/>
              <w:rPr>
                <w:highlight w:val="none"/>
              </w:rPr>
            </w:pPr>
            <w:r>
              <w:rPr>
                <w:rFonts w:hint="eastAsia"/>
                <w:highlight w:val="none"/>
              </w:rPr>
              <w:t xml:space="preserve">刘闻川 </w:t>
            </w:r>
          </w:p>
        </w:tc>
      </w:tr>
      <w:tr w14:paraId="26B4D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B5C248">
            <w:pPr>
              <w:pStyle w:val="8"/>
              <w:rPr>
                <w:highlight w:val="none"/>
              </w:rPr>
            </w:pPr>
            <w:r>
              <w:rPr>
                <w:rFonts w:hint="eastAsia"/>
                <w:highlight w:val="none"/>
              </w:rPr>
              <w:t xml:space="preserve">电话： </w:t>
            </w:r>
          </w:p>
        </w:tc>
        <w:tc>
          <w:tcPr>
            <w:tcW w:w="7440" w:type="dxa"/>
            <w:shd w:val="clear" w:color="auto" w:fill="auto"/>
          </w:tcPr>
          <w:p w14:paraId="75967024">
            <w:pPr>
              <w:pStyle w:val="8"/>
              <w:rPr>
                <w:highlight w:val="none"/>
              </w:rPr>
            </w:pPr>
            <w:r>
              <w:rPr>
                <w:rFonts w:hint="eastAsia"/>
                <w:highlight w:val="none"/>
              </w:rPr>
              <w:t xml:space="preserve">021-68777222   </w:t>
            </w:r>
          </w:p>
        </w:tc>
      </w:tr>
      <w:tr w14:paraId="10D70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CF724D">
            <w:pPr>
              <w:pStyle w:val="8"/>
              <w:rPr>
                <w:highlight w:val="none"/>
              </w:rPr>
            </w:pPr>
            <w:r>
              <w:rPr>
                <w:rFonts w:hint="eastAsia"/>
                <w:highlight w:val="none"/>
              </w:rPr>
              <w:t xml:space="preserve">传真： </w:t>
            </w:r>
          </w:p>
        </w:tc>
        <w:tc>
          <w:tcPr>
            <w:tcW w:w="7440" w:type="dxa"/>
            <w:shd w:val="clear" w:color="auto" w:fill="auto"/>
          </w:tcPr>
          <w:p w14:paraId="2EFD83DF">
            <w:pPr>
              <w:pStyle w:val="8"/>
              <w:rPr>
                <w:highlight w:val="none"/>
              </w:rPr>
            </w:pPr>
            <w:r>
              <w:rPr>
                <w:rFonts w:hint="eastAsia"/>
                <w:highlight w:val="none"/>
              </w:rPr>
              <w:t xml:space="preserve">021－68777822 </w:t>
            </w:r>
          </w:p>
        </w:tc>
      </w:tr>
      <w:tr w14:paraId="42AD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35AD1">
            <w:pPr>
              <w:pStyle w:val="8"/>
              <w:rPr>
                <w:highlight w:val="none"/>
              </w:rPr>
            </w:pPr>
            <w:r>
              <w:rPr>
                <w:rFonts w:hint="eastAsia"/>
                <w:highlight w:val="none"/>
              </w:rPr>
              <w:t xml:space="preserve">客户服务电话： </w:t>
            </w:r>
          </w:p>
        </w:tc>
        <w:tc>
          <w:tcPr>
            <w:tcW w:w="7440" w:type="dxa"/>
            <w:shd w:val="clear" w:color="auto" w:fill="auto"/>
          </w:tcPr>
          <w:p w14:paraId="4191BFCE">
            <w:pPr>
              <w:pStyle w:val="8"/>
              <w:rPr>
                <w:highlight w:val="none"/>
              </w:rPr>
            </w:pPr>
            <w:r>
              <w:rPr>
                <w:rFonts w:hint="eastAsia"/>
                <w:highlight w:val="none"/>
              </w:rPr>
              <w:t xml:space="preserve">4008209898;021-38929908 </w:t>
            </w:r>
          </w:p>
        </w:tc>
      </w:tr>
      <w:tr w14:paraId="3A0C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021BCF">
            <w:pPr>
              <w:pStyle w:val="8"/>
              <w:rPr>
                <w:highlight w:val="none"/>
              </w:rPr>
            </w:pPr>
            <w:r>
              <w:rPr>
                <w:rFonts w:hint="eastAsia"/>
                <w:highlight w:val="none"/>
              </w:rPr>
              <w:t xml:space="preserve">网址： </w:t>
            </w:r>
          </w:p>
        </w:tc>
        <w:tc>
          <w:tcPr>
            <w:tcW w:w="7440" w:type="dxa"/>
            <w:shd w:val="clear" w:color="auto" w:fill="auto"/>
          </w:tcPr>
          <w:p w14:paraId="32B2B600">
            <w:pPr>
              <w:pStyle w:val="8"/>
              <w:rPr>
                <w:highlight w:val="none"/>
              </w:rPr>
            </w:pPr>
            <w:r>
              <w:rPr>
                <w:rFonts w:hint="eastAsia"/>
                <w:highlight w:val="none"/>
              </w:rPr>
              <w:t xml:space="preserve">http://www.cnhbstock.com </w:t>
            </w:r>
          </w:p>
        </w:tc>
      </w:tr>
    </w:tbl>
    <w:p w14:paraId="17B718F1">
      <w:pPr>
        <w:pStyle w:val="8"/>
        <w:spacing w:before="0" w:beforeAutospacing="0" w:after="0" w:afterAutospacing="0" w:line="360" w:lineRule="auto"/>
        <w:ind w:firstLine="420"/>
        <w:rPr>
          <w:sz w:val="21"/>
          <w:szCs w:val="21"/>
          <w:highlight w:val="none"/>
        </w:rPr>
      </w:pPr>
      <w:r>
        <w:rPr>
          <w:rFonts w:hint="eastAsia"/>
          <w:b/>
          <w:bCs/>
          <w:sz w:val="21"/>
          <w:szCs w:val="21"/>
          <w:highlight w:val="none"/>
        </w:rPr>
        <w:t>(48)爱建证券有限责任公司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23D04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907DC4">
            <w:pPr>
              <w:pStyle w:val="8"/>
              <w:rPr>
                <w:highlight w:val="none"/>
              </w:rPr>
            </w:pPr>
            <w:r>
              <w:rPr>
                <w:rFonts w:hint="eastAsia"/>
                <w:highlight w:val="none"/>
              </w:rPr>
              <w:t xml:space="preserve">注册地址： </w:t>
            </w:r>
          </w:p>
        </w:tc>
        <w:tc>
          <w:tcPr>
            <w:tcW w:w="7440" w:type="dxa"/>
            <w:shd w:val="clear" w:color="auto" w:fill="auto"/>
          </w:tcPr>
          <w:p w14:paraId="16E046BF">
            <w:pPr>
              <w:pStyle w:val="8"/>
              <w:rPr>
                <w:highlight w:val="none"/>
              </w:rPr>
            </w:pPr>
            <w:r>
              <w:rPr>
                <w:rFonts w:hint="eastAsia"/>
                <w:highlight w:val="none"/>
              </w:rPr>
              <w:t xml:space="preserve">中国（上海）自由贸易试验区世纪大道1600号1幢32楼 </w:t>
            </w:r>
          </w:p>
        </w:tc>
      </w:tr>
      <w:tr w14:paraId="47DB1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A227AA">
            <w:pPr>
              <w:pStyle w:val="8"/>
              <w:rPr>
                <w:highlight w:val="none"/>
              </w:rPr>
            </w:pPr>
            <w:r>
              <w:rPr>
                <w:rFonts w:hint="eastAsia"/>
                <w:highlight w:val="none"/>
              </w:rPr>
              <w:t xml:space="preserve">办公地址： </w:t>
            </w:r>
          </w:p>
        </w:tc>
        <w:tc>
          <w:tcPr>
            <w:tcW w:w="7440" w:type="dxa"/>
            <w:shd w:val="clear" w:color="auto" w:fill="auto"/>
          </w:tcPr>
          <w:p w14:paraId="187C9007">
            <w:pPr>
              <w:pStyle w:val="8"/>
              <w:rPr>
                <w:highlight w:val="none"/>
              </w:rPr>
            </w:pPr>
            <w:r>
              <w:rPr>
                <w:rFonts w:hint="eastAsia"/>
                <w:highlight w:val="none"/>
              </w:rPr>
              <w:t xml:space="preserve">上海市浦东新区世纪大道1600号32楼 </w:t>
            </w:r>
          </w:p>
        </w:tc>
      </w:tr>
      <w:tr w14:paraId="2C883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C6B79">
            <w:pPr>
              <w:pStyle w:val="8"/>
              <w:rPr>
                <w:highlight w:val="none"/>
              </w:rPr>
            </w:pPr>
            <w:r>
              <w:rPr>
                <w:rFonts w:hint="eastAsia"/>
                <w:highlight w:val="none"/>
              </w:rPr>
              <w:t xml:space="preserve">法定代表人： </w:t>
            </w:r>
          </w:p>
        </w:tc>
        <w:tc>
          <w:tcPr>
            <w:tcW w:w="7440" w:type="dxa"/>
            <w:shd w:val="clear" w:color="auto" w:fill="auto"/>
          </w:tcPr>
          <w:p w14:paraId="32EF3A64">
            <w:pPr>
              <w:pStyle w:val="8"/>
              <w:rPr>
                <w:highlight w:val="none"/>
              </w:rPr>
            </w:pPr>
            <w:r>
              <w:rPr>
                <w:rFonts w:hint="eastAsia"/>
                <w:highlight w:val="none"/>
              </w:rPr>
              <w:t xml:space="preserve">祝健 </w:t>
            </w:r>
          </w:p>
        </w:tc>
      </w:tr>
      <w:tr w14:paraId="3C8EB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DD432">
            <w:pPr>
              <w:pStyle w:val="8"/>
              <w:rPr>
                <w:highlight w:val="none"/>
              </w:rPr>
            </w:pPr>
            <w:r>
              <w:rPr>
                <w:rFonts w:hint="eastAsia"/>
                <w:highlight w:val="none"/>
              </w:rPr>
              <w:t xml:space="preserve">联系人： </w:t>
            </w:r>
          </w:p>
        </w:tc>
        <w:tc>
          <w:tcPr>
            <w:tcW w:w="7440" w:type="dxa"/>
            <w:shd w:val="clear" w:color="auto" w:fill="auto"/>
          </w:tcPr>
          <w:p w14:paraId="5A6981F0">
            <w:pPr>
              <w:pStyle w:val="8"/>
              <w:rPr>
                <w:highlight w:val="none"/>
              </w:rPr>
            </w:pPr>
            <w:r>
              <w:rPr>
                <w:rFonts w:hint="eastAsia"/>
                <w:highlight w:val="none"/>
              </w:rPr>
              <w:t xml:space="preserve">姚盛盛 </w:t>
            </w:r>
          </w:p>
        </w:tc>
      </w:tr>
      <w:tr w14:paraId="49D53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092107">
            <w:pPr>
              <w:pStyle w:val="8"/>
              <w:rPr>
                <w:highlight w:val="none"/>
              </w:rPr>
            </w:pPr>
            <w:r>
              <w:rPr>
                <w:rFonts w:hint="eastAsia"/>
                <w:highlight w:val="none"/>
              </w:rPr>
              <w:t xml:space="preserve">电话： </w:t>
            </w:r>
          </w:p>
        </w:tc>
        <w:tc>
          <w:tcPr>
            <w:tcW w:w="7440" w:type="dxa"/>
            <w:shd w:val="clear" w:color="auto" w:fill="auto"/>
          </w:tcPr>
          <w:p w14:paraId="14DBEC90">
            <w:pPr>
              <w:pStyle w:val="8"/>
              <w:rPr>
                <w:highlight w:val="none"/>
              </w:rPr>
            </w:pPr>
            <w:r>
              <w:rPr>
                <w:rFonts w:hint="eastAsia"/>
                <w:highlight w:val="none"/>
              </w:rPr>
              <w:t xml:space="preserve">021-32229888 </w:t>
            </w:r>
          </w:p>
        </w:tc>
      </w:tr>
      <w:tr w14:paraId="24183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0483F">
            <w:pPr>
              <w:pStyle w:val="8"/>
              <w:rPr>
                <w:highlight w:val="none"/>
              </w:rPr>
            </w:pPr>
            <w:r>
              <w:rPr>
                <w:rFonts w:hint="eastAsia"/>
                <w:highlight w:val="none"/>
              </w:rPr>
              <w:t xml:space="preserve">传真： </w:t>
            </w:r>
          </w:p>
        </w:tc>
        <w:tc>
          <w:tcPr>
            <w:tcW w:w="7440" w:type="dxa"/>
            <w:shd w:val="clear" w:color="auto" w:fill="auto"/>
          </w:tcPr>
          <w:p w14:paraId="50E262C9">
            <w:pPr>
              <w:pStyle w:val="8"/>
              <w:rPr>
                <w:highlight w:val="none"/>
              </w:rPr>
            </w:pPr>
            <w:r>
              <w:rPr>
                <w:rFonts w:hint="eastAsia"/>
                <w:highlight w:val="none"/>
              </w:rPr>
              <w:t xml:space="preserve">021- 68728703 </w:t>
            </w:r>
          </w:p>
        </w:tc>
      </w:tr>
      <w:tr w14:paraId="2288A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CC2664">
            <w:pPr>
              <w:pStyle w:val="8"/>
              <w:rPr>
                <w:highlight w:val="none"/>
              </w:rPr>
            </w:pPr>
            <w:r>
              <w:rPr>
                <w:rFonts w:hint="eastAsia"/>
                <w:highlight w:val="none"/>
              </w:rPr>
              <w:t xml:space="preserve">客户服务电话： </w:t>
            </w:r>
          </w:p>
        </w:tc>
        <w:tc>
          <w:tcPr>
            <w:tcW w:w="7440" w:type="dxa"/>
            <w:shd w:val="clear" w:color="auto" w:fill="auto"/>
          </w:tcPr>
          <w:p w14:paraId="546AB1F8">
            <w:pPr>
              <w:pStyle w:val="8"/>
              <w:rPr>
                <w:highlight w:val="none"/>
              </w:rPr>
            </w:pPr>
            <w:r>
              <w:rPr>
                <w:rFonts w:hint="eastAsia"/>
                <w:highlight w:val="none"/>
              </w:rPr>
              <w:t xml:space="preserve">4001-962-502 </w:t>
            </w:r>
          </w:p>
        </w:tc>
      </w:tr>
      <w:tr w14:paraId="6D103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8C46AF">
            <w:pPr>
              <w:pStyle w:val="8"/>
              <w:rPr>
                <w:highlight w:val="none"/>
              </w:rPr>
            </w:pPr>
            <w:r>
              <w:rPr>
                <w:rFonts w:hint="eastAsia"/>
                <w:highlight w:val="none"/>
              </w:rPr>
              <w:t xml:space="preserve">网址： </w:t>
            </w:r>
          </w:p>
        </w:tc>
        <w:tc>
          <w:tcPr>
            <w:tcW w:w="7440" w:type="dxa"/>
            <w:shd w:val="clear" w:color="auto" w:fill="auto"/>
          </w:tcPr>
          <w:p w14:paraId="67CFE956">
            <w:pPr>
              <w:pStyle w:val="8"/>
              <w:rPr>
                <w:highlight w:val="none"/>
              </w:rPr>
            </w:pPr>
            <w:r>
              <w:rPr>
                <w:rFonts w:hint="eastAsia"/>
                <w:highlight w:val="none"/>
              </w:rPr>
              <w:t xml:space="preserve">http://www.ajzq.com </w:t>
            </w:r>
          </w:p>
        </w:tc>
      </w:tr>
    </w:tbl>
    <w:p w14:paraId="22BDE506">
      <w:pPr>
        <w:pStyle w:val="8"/>
        <w:spacing w:before="0" w:beforeAutospacing="0" w:after="0" w:afterAutospacing="0" w:line="360" w:lineRule="auto"/>
        <w:ind w:firstLine="420"/>
        <w:rPr>
          <w:sz w:val="21"/>
          <w:szCs w:val="21"/>
          <w:highlight w:val="none"/>
        </w:rPr>
      </w:pPr>
      <w:r>
        <w:rPr>
          <w:rFonts w:hint="eastAsia"/>
          <w:b/>
          <w:bCs/>
          <w:sz w:val="21"/>
          <w:szCs w:val="21"/>
          <w:highlight w:val="none"/>
        </w:rPr>
        <w:t>(49)国新证券股份有限公司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49698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F13C9A">
            <w:pPr>
              <w:pStyle w:val="8"/>
              <w:rPr>
                <w:highlight w:val="none"/>
              </w:rPr>
            </w:pPr>
            <w:r>
              <w:rPr>
                <w:rFonts w:hint="eastAsia"/>
                <w:highlight w:val="none"/>
              </w:rPr>
              <w:t xml:space="preserve">注册地址： </w:t>
            </w:r>
          </w:p>
        </w:tc>
        <w:tc>
          <w:tcPr>
            <w:tcW w:w="7440" w:type="dxa"/>
            <w:shd w:val="clear" w:color="auto" w:fill="auto"/>
          </w:tcPr>
          <w:p w14:paraId="4E32C477">
            <w:pPr>
              <w:pStyle w:val="8"/>
              <w:rPr>
                <w:highlight w:val="none"/>
              </w:rPr>
            </w:pPr>
            <w:r>
              <w:rPr>
                <w:rFonts w:hint="eastAsia"/>
                <w:highlight w:val="none"/>
              </w:rPr>
              <w:t xml:space="preserve">北京市西城区车公庄大街4号2幢1层A2112室 </w:t>
            </w:r>
          </w:p>
        </w:tc>
      </w:tr>
      <w:tr w14:paraId="5CCCE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04F9AD">
            <w:pPr>
              <w:pStyle w:val="8"/>
              <w:rPr>
                <w:highlight w:val="none"/>
              </w:rPr>
            </w:pPr>
            <w:r>
              <w:rPr>
                <w:rFonts w:hint="eastAsia"/>
                <w:highlight w:val="none"/>
              </w:rPr>
              <w:t xml:space="preserve">办公地址： </w:t>
            </w:r>
          </w:p>
        </w:tc>
        <w:tc>
          <w:tcPr>
            <w:tcW w:w="7440" w:type="dxa"/>
            <w:shd w:val="clear" w:color="auto" w:fill="auto"/>
          </w:tcPr>
          <w:p w14:paraId="6795D516">
            <w:pPr>
              <w:pStyle w:val="8"/>
              <w:rPr>
                <w:highlight w:val="none"/>
              </w:rPr>
            </w:pPr>
            <w:r>
              <w:rPr>
                <w:rFonts w:hint="eastAsia"/>
                <w:highlight w:val="none"/>
              </w:rPr>
              <w:t xml:space="preserve">北京市朝阳区朝阳门北大街18号中国人保寿险大厦12层 </w:t>
            </w:r>
          </w:p>
        </w:tc>
      </w:tr>
      <w:tr w14:paraId="635D1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91B95">
            <w:pPr>
              <w:pStyle w:val="8"/>
              <w:rPr>
                <w:highlight w:val="none"/>
              </w:rPr>
            </w:pPr>
            <w:r>
              <w:rPr>
                <w:rFonts w:hint="eastAsia"/>
                <w:highlight w:val="none"/>
              </w:rPr>
              <w:t xml:space="preserve">法定代表人： </w:t>
            </w:r>
          </w:p>
        </w:tc>
        <w:tc>
          <w:tcPr>
            <w:tcW w:w="7440" w:type="dxa"/>
            <w:shd w:val="clear" w:color="auto" w:fill="auto"/>
          </w:tcPr>
          <w:p w14:paraId="2CEAD43D">
            <w:pPr>
              <w:pStyle w:val="8"/>
              <w:rPr>
                <w:highlight w:val="none"/>
              </w:rPr>
            </w:pPr>
            <w:r>
              <w:rPr>
                <w:rFonts w:hint="eastAsia"/>
                <w:highlight w:val="none"/>
              </w:rPr>
              <w:t xml:space="preserve">张海文 </w:t>
            </w:r>
          </w:p>
        </w:tc>
      </w:tr>
      <w:tr w14:paraId="5CA3D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D9A78C">
            <w:pPr>
              <w:pStyle w:val="8"/>
              <w:rPr>
                <w:highlight w:val="none"/>
              </w:rPr>
            </w:pPr>
            <w:r>
              <w:rPr>
                <w:rFonts w:hint="eastAsia"/>
                <w:highlight w:val="none"/>
              </w:rPr>
              <w:t xml:space="preserve">联系人： </w:t>
            </w:r>
          </w:p>
        </w:tc>
        <w:tc>
          <w:tcPr>
            <w:tcW w:w="7440" w:type="dxa"/>
            <w:shd w:val="clear" w:color="auto" w:fill="auto"/>
          </w:tcPr>
          <w:p w14:paraId="59E280E6">
            <w:pPr>
              <w:pStyle w:val="8"/>
              <w:rPr>
                <w:highlight w:val="none"/>
              </w:rPr>
            </w:pPr>
            <w:r>
              <w:rPr>
                <w:rFonts w:hint="eastAsia"/>
                <w:highlight w:val="none"/>
              </w:rPr>
              <w:t xml:space="preserve">孙燕波 </w:t>
            </w:r>
          </w:p>
        </w:tc>
      </w:tr>
      <w:tr w14:paraId="5D763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DC1B30">
            <w:pPr>
              <w:pStyle w:val="8"/>
              <w:rPr>
                <w:highlight w:val="none"/>
              </w:rPr>
            </w:pPr>
            <w:r>
              <w:rPr>
                <w:rFonts w:hint="eastAsia"/>
                <w:highlight w:val="none"/>
              </w:rPr>
              <w:t xml:space="preserve">电话： </w:t>
            </w:r>
          </w:p>
        </w:tc>
        <w:tc>
          <w:tcPr>
            <w:tcW w:w="7440" w:type="dxa"/>
            <w:shd w:val="clear" w:color="auto" w:fill="auto"/>
          </w:tcPr>
          <w:p w14:paraId="26A60D5F">
            <w:pPr>
              <w:pStyle w:val="8"/>
              <w:rPr>
                <w:highlight w:val="none"/>
              </w:rPr>
            </w:pPr>
            <w:r>
              <w:rPr>
                <w:rFonts w:hint="eastAsia"/>
                <w:highlight w:val="none"/>
              </w:rPr>
              <w:t xml:space="preserve">010-85556048 </w:t>
            </w:r>
          </w:p>
        </w:tc>
      </w:tr>
      <w:tr w14:paraId="20622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9D063">
            <w:pPr>
              <w:pStyle w:val="8"/>
              <w:rPr>
                <w:highlight w:val="none"/>
              </w:rPr>
            </w:pPr>
            <w:r>
              <w:rPr>
                <w:rFonts w:hint="eastAsia"/>
                <w:highlight w:val="none"/>
              </w:rPr>
              <w:t xml:space="preserve">客户服务电话： </w:t>
            </w:r>
          </w:p>
        </w:tc>
        <w:tc>
          <w:tcPr>
            <w:tcW w:w="7440" w:type="dxa"/>
            <w:shd w:val="clear" w:color="auto" w:fill="auto"/>
          </w:tcPr>
          <w:p w14:paraId="1BDFB555">
            <w:pPr>
              <w:pStyle w:val="8"/>
              <w:rPr>
                <w:highlight w:val="none"/>
              </w:rPr>
            </w:pPr>
            <w:r>
              <w:rPr>
                <w:rFonts w:hint="eastAsia"/>
                <w:highlight w:val="none"/>
              </w:rPr>
              <w:t xml:space="preserve">95390  </w:t>
            </w:r>
          </w:p>
        </w:tc>
      </w:tr>
      <w:tr w14:paraId="25ED5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542DE">
            <w:pPr>
              <w:pStyle w:val="8"/>
              <w:rPr>
                <w:highlight w:val="none"/>
              </w:rPr>
            </w:pPr>
            <w:r>
              <w:rPr>
                <w:rFonts w:hint="eastAsia"/>
                <w:highlight w:val="none"/>
              </w:rPr>
              <w:t xml:space="preserve">网址： </w:t>
            </w:r>
          </w:p>
        </w:tc>
        <w:tc>
          <w:tcPr>
            <w:tcW w:w="7440" w:type="dxa"/>
            <w:shd w:val="clear" w:color="auto" w:fill="auto"/>
          </w:tcPr>
          <w:p w14:paraId="41D4ACF4">
            <w:pPr>
              <w:pStyle w:val="8"/>
              <w:rPr>
                <w:highlight w:val="none"/>
              </w:rPr>
            </w:pPr>
            <w:r>
              <w:rPr>
                <w:rFonts w:hint="eastAsia"/>
                <w:highlight w:val="none"/>
              </w:rPr>
              <w:t xml:space="preserve">http://www.crsec.com.cn </w:t>
            </w:r>
          </w:p>
        </w:tc>
      </w:tr>
    </w:tbl>
    <w:p w14:paraId="60526775">
      <w:pPr>
        <w:pStyle w:val="8"/>
        <w:spacing w:before="0" w:beforeAutospacing="0" w:after="0" w:afterAutospacing="0" w:line="360" w:lineRule="auto"/>
        <w:ind w:firstLine="420"/>
        <w:rPr>
          <w:sz w:val="21"/>
          <w:szCs w:val="21"/>
          <w:highlight w:val="none"/>
        </w:rPr>
      </w:pPr>
      <w:r>
        <w:rPr>
          <w:rFonts w:hint="eastAsia"/>
          <w:b/>
          <w:bCs/>
          <w:sz w:val="21"/>
          <w:szCs w:val="21"/>
          <w:highlight w:val="none"/>
        </w:rPr>
        <w:t>(50)财达证券股份有限公司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6039"/>
      </w:tblGrid>
      <w:tr w14:paraId="72E54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AD7EBDF">
            <w:pPr>
              <w:pStyle w:val="8"/>
              <w:rPr>
                <w:highlight w:val="none"/>
              </w:rPr>
            </w:pPr>
            <w:r>
              <w:rPr>
                <w:rFonts w:hint="eastAsia"/>
                <w:highlight w:val="none"/>
              </w:rPr>
              <w:t xml:space="preserve">注册地址： </w:t>
            </w:r>
          </w:p>
        </w:tc>
        <w:tc>
          <w:tcPr>
            <w:tcW w:w="7440" w:type="dxa"/>
            <w:shd w:val="clear" w:color="auto" w:fill="auto"/>
          </w:tcPr>
          <w:p w14:paraId="63FD902F">
            <w:pPr>
              <w:pStyle w:val="8"/>
              <w:rPr>
                <w:highlight w:val="none"/>
              </w:rPr>
            </w:pPr>
            <w:r>
              <w:rPr>
                <w:rFonts w:hint="eastAsia"/>
                <w:highlight w:val="none"/>
              </w:rPr>
              <w:t xml:space="preserve">河北省石家庄市桥西区自强路35号庄家金融大厦23至26层 </w:t>
            </w:r>
          </w:p>
        </w:tc>
      </w:tr>
      <w:tr w14:paraId="486D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9D6B8">
            <w:pPr>
              <w:pStyle w:val="8"/>
              <w:rPr>
                <w:highlight w:val="none"/>
              </w:rPr>
            </w:pPr>
            <w:r>
              <w:rPr>
                <w:rFonts w:hint="eastAsia"/>
                <w:highlight w:val="none"/>
              </w:rPr>
              <w:t xml:space="preserve">办公地址： </w:t>
            </w:r>
          </w:p>
        </w:tc>
        <w:tc>
          <w:tcPr>
            <w:tcW w:w="7440" w:type="dxa"/>
            <w:shd w:val="clear" w:color="auto" w:fill="auto"/>
          </w:tcPr>
          <w:p w14:paraId="5949F276">
            <w:pPr>
              <w:pStyle w:val="8"/>
              <w:rPr>
                <w:highlight w:val="none"/>
              </w:rPr>
            </w:pPr>
            <w:r>
              <w:rPr>
                <w:rFonts w:hint="eastAsia"/>
                <w:highlight w:val="none"/>
              </w:rPr>
              <w:t xml:space="preserve">河北省石家庄市桥西区自强路35号庄家金融大厦23至26层 </w:t>
            </w:r>
          </w:p>
        </w:tc>
      </w:tr>
      <w:tr w14:paraId="4085E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1ABAF7">
            <w:pPr>
              <w:pStyle w:val="8"/>
              <w:rPr>
                <w:highlight w:val="none"/>
              </w:rPr>
            </w:pPr>
            <w:r>
              <w:rPr>
                <w:rFonts w:hint="eastAsia"/>
                <w:highlight w:val="none"/>
              </w:rPr>
              <w:t xml:space="preserve">法定代表人： </w:t>
            </w:r>
          </w:p>
        </w:tc>
        <w:tc>
          <w:tcPr>
            <w:tcW w:w="7440" w:type="dxa"/>
            <w:shd w:val="clear" w:color="auto" w:fill="auto"/>
          </w:tcPr>
          <w:p w14:paraId="765B50D5">
            <w:pPr>
              <w:pStyle w:val="8"/>
              <w:rPr>
                <w:highlight w:val="none"/>
              </w:rPr>
            </w:pPr>
            <w:r>
              <w:rPr>
                <w:rFonts w:hint="eastAsia"/>
                <w:highlight w:val="none"/>
              </w:rPr>
              <w:t xml:space="preserve">翟建强 </w:t>
            </w:r>
          </w:p>
        </w:tc>
      </w:tr>
      <w:tr w14:paraId="3075C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06E694">
            <w:pPr>
              <w:pStyle w:val="8"/>
              <w:rPr>
                <w:highlight w:val="none"/>
              </w:rPr>
            </w:pPr>
            <w:r>
              <w:rPr>
                <w:rFonts w:hint="eastAsia"/>
                <w:highlight w:val="none"/>
              </w:rPr>
              <w:t xml:space="preserve">联系人： </w:t>
            </w:r>
          </w:p>
        </w:tc>
        <w:tc>
          <w:tcPr>
            <w:tcW w:w="7440" w:type="dxa"/>
            <w:shd w:val="clear" w:color="auto" w:fill="auto"/>
          </w:tcPr>
          <w:p w14:paraId="098B963C">
            <w:pPr>
              <w:pStyle w:val="8"/>
              <w:rPr>
                <w:highlight w:val="none"/>
              </w:rPr>
            </w:pPr>
            <w:r>
              <w:rPr>
                <w:rFonts w:hint="eastAsia"/>
                <w:highlight w:val="none"/>
              </w:rPr>
              <w:t xml:space="preserve">刘亚静 </w:t>
            </w:r>
          </w:p>
        </w:tc>
      </w:tr>
      <w:tr w14:paraId="63D24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CC1E9F">
            <w:pPr>
              <w:pStyle w:val="8"/>
              <w:rPr>
                <w:highlight w:val="none"/>
              </w:rPr>
            </w:pPr>
            <w:r>
              <w:rPr>
                <w:rFonts w:hint="eastAsia"/>
                <w:highlight w:val="none"/>
              </w:rPr>
              <w:t xml:space="preserve">电话： </w:t>
            </w:r>
          </w:p>
        </w:tc>
        <w:tc>
          <w:tcPr>
            <w:tcW w:w="7440" w:type="dxa"/>
            <w:shd w:val="clear" w:color="auto" w:fill="auto"/>
          </w:tcPr>
          <w:p w14:paraId="09AB115A">
            <w:pPr>
              <w:pStyle w:val="8"/>
              <w:rPr>
                <w:highlight w:val="none"/>
              </w:rPr>
            </w:pPr>
            <w:r>
              <w:rPr>
                <w:rFonts w:hint="eastAsia"/>
                <w:highlight w:val="none"/>
              </w:rPr>
              <w:t xml:space="preserve">0311-66006393 </w:t>
            </w:r>
          </w:p>
        </w:tc>
      </w:tr>
      <w:tr w14:paraId="18B0F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EDA5FF">
            <w:pPr>
              <w:pStyle w:val="8"/>
              <w:rPr>
                <w:highlight w:val="none"/>
              </w:rPr>
            </w:pPr>
            <w:r>
              <w:rPr>
                <w:rFonts w:hint="eastAsia"/>
                <w:highlight w:val="none"/>
              </w:rPr>
              <w:t xml:space="preserve">传真： </w:t>
            </w:r>
          </w:p>
        </w:tc>
        <w:tc>
          <w:tcPr>
            <w:tcW w:w="7440" w:type="dxa"/>
            <w:shd w:val="clear" w:color="auto" w:fill="auto"/>
          </w:tcPr>
          <w:p w14:paraId="1987F83C">
            <w:pPr>
              <w:pStyle w:val="8"/>
              <w:rPr>
                <w:highlight w:val="none"/>
              </w:rPr>
            </w:pPr>
            <w:r>
              <w:rPr>
                <w:rFonts w:hint="eastAsia"/>
                <w:highlight w:val="none"/>
              </w:rPr>
              <w:t xml:space="preserve">0311-66006249 </w:t>
            </w:r>
          </w:p>
        </w:tc>
      </w:tr>
      <w:tr w14:paraId="1AD15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1D255">
            <w:pPr>
              <w:pStyle w:val="8"/>
              <w:rPr>
                <w:highlight w:val="none"/>
              </w:rPr>
            </w:pPr>
            <w:r>
              <w:rPr>
                <w:rFonts w:hint="eastAsia"/>
                <w:highlight w:val="none"/>
              </w:rPr>
              <w:t xml:space="preserve">客户服务电话： </w:t>
            </w:r>
          </w:p>
        </w:tc>
        <w:tc>
          <w:tcPr>
            <w:tcW w:w="7440" w:type="dxa"/>
            <w:shd w:val="clear" w:color="auto" w:fill="auto"/>
          </w:tcPr>
          <w:p w14:paraId="6A46CD1C">
            <w:pPr>
              <w:pStyle w:val="8"/>
              <w:rPr>
                <w:highlight w:val="none"/>
              </w:rPr>
            </w:pPr>
            <w:r>
              <w:rPr>
                <w:rFonts w:hint="eastAsia"/>
                <w:highlight w:val="none"/>
              </w:rPr>
              <w:t xml:space="preserve">4006128888 </w:t>
            </w:r>
          </w:p>
        </w:tc>
      </w:tr>
      <w:tr w14:paraId="1CFB5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4D151A">
            <w:pPr>
              <w:pStyle w:val="8"/>
              <w:rPr>
                <w:highlight w:val="none"/>
              </w:rPr>
            </w:pPr>
            <w:r>
              <w:rPr>
                <w:rFonts w:hint="eastAsia"/>
                <w:highlight w:val="none"/>
              </w:rPr>
              <w:t xml:space="preserve">网址： </w:t>
            </w:r>
          </w:p>
        </w:tc>
        <w:tc>
          <w:tcPr>
            <w:tcW w:w="7440" w:type="dxa"/>
            <w:shd w:val="clear" w:color="auto" w:fill="auto"/>
          </w:tcPr>
          <w:p w14:paraId="568BC699">
            <w:pPr>
              <w:pStyle w:val="8"/>
              <w:rPr>
                <w:highlight w:val="none"/>
              </w:rPr>
            </w:pPr>
            <w:r>
              <w:rPr>
                <w:rFonts w:hint="eastAsia"/>
                <w:highlight w:val="none"/>
              </w:rPr>
              <w:t xml:space="preserve">http://www.S10000.com </w:t>
            </w:r>
          </w:p>
        </w:tc>
      </w:tr>
    </w:tbl>
    <w:p w14:paraId="1BDED824">
      <w:pPr>
        <w:pStyle w:val="8"/>
        <w:spacing w:before="0" w:beforeAutospacing="0" w:after="0" w:afterAutospacing="0" w:line="360" w:lineRule="auto"/>
        <w:ind w:firstLine="420"/>
        <w:rPr>
          <w:sz w:val="21"/>
          <w:szCs w:val="21"/>
          <w:highlight w:val="none"/>
        </w:rPr>
      </w:pPr>
      <w:r>
        <w:rPr>
          <w:rFonts w:hint="eastAsia"/>
          <w:b/>
          <w:bCs/>
          <w:sz w:val="21"/>
          <w:szCs w:val="21"/>
          <w:highlight w:val="none"/>
        </w:rPr>
        <w:t>(51)万和证券股份有限公司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7"/>
        <w:gridCol w:w="6016"/>
      </w:tblGrid>
      <w:tr w14:paraId="3B831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0191C">
            <w:pPr>
              <w:pStyle w:val="8"/>
              <w:rPr>
                <w:highlight w:val="none"/>
              </w:rPr>
            </w:pPr>
            <w:r>
              <w:rPr>
                <w:rFonts w:hint="eastAsia"/>
                <w:highlight w:val="none"/>
              </w:rPr>
              <w:t xml:space="preserve">注册地址： </w:t>
            </w:r>
          </w:p>
        </w:tc>
        <w:tc>
          <w:tcPr>
            <w:tcW w:w="7440" w:type="dxa"/>
            <w:shd w:val="clear" w:color="auto" w:fill="auto"/>
          </w:tcPr>
          <w:p w14:paraId="64FE7E4F">
            <w:pPr>
              <w:pStyle w:val="8"/>
              <w:rPr>
                <w:highlight w:val="none"/>
              </w:rPr>
            </w:pPr>
            <w:r>
              <w:rPr>
                <w:rFonts w:hint="eastAsia"/>
                <w:highlight w:val="none"/>
              </w:rPr>
              <w:t xml:space="preserve">海南省海口市南沙路49号通信广场二楼 </w:t>
            </w:r>
          </w:p>
        </w:tc>
      </w:tr>
      <w:tr w14:paraId="3A681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F40E7D">
            <w:pPr>
              <w:pStyle w:val="8"/>
              <w:rPr>
                <w:highlight w:val="none"/>
              </w:rPr>
            </w:pPr>
            <w:r>
              <w:rPr>
                <w:rFonts w:hint="eastAsia"/>
                <w:highlight w:val="none"/>
              </w:rPr>
              <w:t xml:space="preserve">办公地址： </w:t>
            </w:r>
          </w:p>
        </w:tc>
        <w:tc>
          <w:tcPr>
            <w:tcW w:w="7440" w:type="dxa"/>
            <w:shd w:val="clear" w:color="auto" w:fill="auto"/>
          </w:tcPr>
          <w:p w14:paraId="0B82A6D7">
            <w:pPr>
              <w:pStyle w:val="8"/>
              <w:rPr>
                <w:highlight w:val="none"/>
              </w:rPr>
            </w:pPr>
            <w:r>
              <w:rPr>
                <w:rFonts w:hint="eastAsia"/>
                <w:highlight w:val="none"/>
              </w:rPr>
              <w:t xml:space="preserve">深圳市福田区深南大道7028号时代科技大厦20层西厅 </w:t>
            </w:r>
          </w:p>
        </w:tc>
      </w:tr>
      <w:tr w14:paraId="57329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0EC28">
            <w:pPr>
              <w:pStyle w:val="8"/>
              <w:rPr>
                <w:highlight w:val="none"/>
              </w:rPr>
            </w:pPr>
            <w:r>
              <w:rPr>
                <w:rFonts w:hint="eastAsia"/>
                <w:highlight w:val="none"/>
              </w:rPr>
              <w:t xml:space="preserve">法定代表人： </w:t>
            </w:r>
          </w:p>
        </w:tc>
        <w:tc>
          <w:tcPr>
            <w:tcW w:w="7440" w:type="dxa"/>
            <w:shd w:val="clear" w:color="auto" w:fill="auto"/>
          </w:tcPr>
          <w:p w14:paraId="11143895">
            <w:pPr>
              <w:pStyle w:val="8"/>
              <w:rPr>
                <w:highlight w:val="none"/>
              </w:rPr>
            </w:pPr>
            <w:r>
              <w:rPr>
                <w:rFonts w:hint="eastAsia"/>
                <w:highlight w:val="none"/>
              </w:rPr>
              <w:t xml:space="preserve">甘卫斌 </w:t>
            </w:r>
          </w:p>
        </w:tc>
      </w:tr>
      <w:tr w14:paraId="694DB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35DE8">
            <w:pPr>
              <w:pStyle w:val="8"/>
              <w:rPr>
                <w:highlight w:val="none"/>
              </w:rPr>
            </w:pPr>
            <w:r>
              <w:rPr>
                <w:rFonts w:hint="eastAsia"/>
                <w:highlight w:val="none"/>
              </w:rPr>
              <w:t xml:space="preserve">联系人： </w:t>
            </w:r>
          </w:p>
        </w:tc>
        <w:tc>
          <w:tcPr>
            <w:tcW w:w="7440" w:type="dxa"/>
            <w:shd w:val="clear" w:color="auto" w:fill="auto"/>
          </w:tcPr>
          <w:p w14:paraId="23E5C11B">
            <w:pPr>
              <w:pStyle w:val="8"/>
              <w:rPr>
                <w:highlight w:val="none"/>
              </w:rPr>
            </w:pPr>
            <w:r>
              <w:rPr>
                <w:rFonts w:hint="eastAsia"/>
                <w:highlight w:val="none"/>
              </w:rPr>
              <w:t xml:space="preserve">张雷 </w:t>
            </w:r>
          </w:p>
        </w:tc>
      </w:tr>
      <w:tr w14:paraId="34670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7889D">
            <w:pPr>
              <w:pStyle w:val="8"/>
              <w:rPr>
                <w:highlight w:val="none"/>
              </w:rPr>
            </w:pPr>
            <w:r>
              <w:rPr>
                <w:rFonts w:hint="eastAsia"/>
                <w:highlight w:val="none"/>
              </w:rPr>
              <w:t xml:space="preserve">电话： </w:t>
            </w:r>
          </w:p>
        </w:tc>
        <w:tc>
          <w:tcPr>
            <w:tcW w:w="7440" w:type="dxa"/>
            <w:shd w:val="clear" w:color="auto" w:fill="auto"/>
          </w:tcPr>
          <w:p w14:paraId="1B86EDC9">
            <w:pPr>
              <w:pStyle w:val="8"/>
              <w:rPr>
                <w:highlight w:val="none"/>
              </w:rPr>
            </w:pPr>
            <w:r>
              <w:rPr>
                <w:rFonts w:hint="eastAsia"/>
                <w:highlight w:val="none"/>
              </w:rPr>
              <w:t xml:space="preserve">0755-82830333 </w:t>
            </w:r>
          </w:p>
        </w:tc>
      </w:tr>
      <w:tr w14:paraId="05128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A838DF">
            <w:pPr>
              <w:pStyle w:val="8"/>
              <w:rPr>
                <w:highlight w:val="none"/>
              </w:rPr>
            </w:pPr>
            <w:r>
              <w:rPr>
                <w:rFonts w:hint="eastAsia"/>
                <w:highlight w:val="none"/>
              </w:rPr>
              <w:t xml:space="preserve">传真： </w:t>
            </w:r>
          </w:p>
        </w:tc>
        <w:tc>
          <w:tcPr>
            <w:tcW w:w="7440" w:type="dxa"/>
            <w:shd w:val="clear" w:color="auto" w:fill="auto"/>
          </w:tcPr>
          <w:p w14:paraId="268480F1">
            <w:pPr>
              <w:pStyle w:val="8"/>
              <w:rPr>
                <w:highlight w:val="none"/>
              </w:rPr>
            </w:pPr>
            <w:r>
              <w:rPr>
                <w:rFonts w:hint="eastAsia"/>
                <w:highlight w:val="none"/>
              </w:rPr>
              <w:t xml:space="preserve">0755-25170093 </w:t>
            </w:r>
          </w:p>
        </w:tc>
      </w:tr>
      <w:tr w14:paraId="65810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4D5707">
            <w:pPr>
              <w:pStyle w:val="8"/>
              <w:rPr>
                <w:highlight w:val="none"/>
              </w:rPr>
            </w:pPr>
            <w:r>
              <w:rPr>
                <w:rFonts w:hint="eastAsia"/>
                <w:highlight w:val="none"/>
              </w:rPr>
              <w:t xml:space="preserve">客户服务电话： </w:t>
            </w:r>
          </w:p>
        </w:tc>
        <w:tc>
          <w:tcPr>
            <w:tcW w:w="7440" w:type="dxa"/>
            <w:shd w:val="clear" w:color="auto" w:fill="auto"/>
          </w:tcPr>
          <w:p w14:paraId="2AE57B3A">
            <w:pPr>
              <w:pStyle w:val="8"/>
              <w:rPr>
                <w:highlight w:val="none"/>
              </w:rPr>
            </w:pPr>
            <w:r>
              <w:rPr>
                <w:rFonts w:hint="eastAsia"/>
                <w:highlight w:val="none"/>
              </w:rPr>
              <w:t xml:space="preserve">4008-882-882 </w:t>
            </w:r>
          </w:p>
        </w:tc>
      </w:tr>
      <w:tr w14:paraId="35AF8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CABD70">
            <w:pPr>
              <w:pStyle w:val="8"/>
              <w:rPr>
                <w:highlight w:val="none"/>
              </w:rPr>
            </w:pPr>
            <w:r>
              <w:rPr>
                <w:rFonts w:hint="eastAsia"/>
                <w:highlight w:val="none"/>
              </w:rPr>
              <w:t xml:space="preserve">网址： </w:t>
            </w:r>
          </w:p>
        </w:tc>
        <w:tc>
          <w:tcPr>
            <w:tcW w:w="7440" w:type="dxa"/>
            <w:shd w:val="clear" w:color="auto" w:fill="auto"/>
          </w:tcPr>
          <w:p w14:paraId="3D6C72D8">
            <w:pPr>
              <w:pStyle w:val="8"/>
              <w:rPr>
                <w:highlight w:val="none"/>
              </w:rPr>
            </w:pPr>
            <w:r>
              <w:rPr>
                <w:rFonts w:hint="eastAsia"/>
                <w:highlight w:val="none"/>
              </w:rPr>
              <w:t xml:space="preserve">http://www.vanho.cn </w:t>
            </w:r>
          </w:p>
        </w:tc>
      </w:tr>
    </w:tbl>
    <w:p w14:paraId="1BE58AD0">
      <w:pPr>
        <w:pStyle w:val="8"/>
        <w:spacing w:before="0" w:beforeAutospacing="0" w:after="0" w:afterAutospacing="0" w:line="360" w:lineRule="auto"/>
        <w:ind w:firstLine="420"/>
        <w:rPr>
          <w:sz w:val="21"/>
          <w:szCs w:val="21"/>
          <w:highlight w:val="none"/>
        </w:rPr>
      </w:pPr>
      <w:r>
        <w:rPr>
          <w:rFonts w:hint="eastAsia"/>
          <w:b/>
          <w:bCs/>
          <w:sz w:val="21"/>
          <w:szCs w:val="21"/>
          <w:highlight w:val="none"/>
        </w:rPr>
        <w:t>(52)开源证券股份有限公司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5"/>
        <w:gridCol w:w="6028"/>
      </w:tblGrid>
      <w:tr w14:paraId="36C5F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092C91">
            <w:pPr>
              <w:pStyle w:val="8"/>
              <w:rPr>
                <w:highlight w:val="none"/>
              </w:rPr>
            </w:pPr>
            <w:r>
              <w:rPr>
                <w:rFonts w:hint="eastAsia"/>
                <w:highlight w:val="none"/>
              </w:rPr>
              <w:t xml:space="preserve">注册地址： </w:t>
            </w:r>
          </w:p>
        </w:tc>
        <w:tc>
          <w:tcPr>
            <w:tcW w:w="7440" w:type="dxa"/>
            <w:shd w:val="clear" w:color="auto" w:fill="auto"/>
          </w:tcPr>
          <w:p w14:paraId="604F46BB">
            <w:pPr>
              <w:pStyle w:val="8"/>
              <w:rPr>
                <w:highlight w:val="none"/>
              </w:rPr>
            </w:pPr>
            <w:r>
              <w:rPr>
                <w:rFonts w:hint="eastAsia"/>
                <w:highlight w:val="none"/>
              </w:rPr>
              <w:t xml:space="preserve">陕西省西安市高新区锦业路1号都市之门B座5层 </w:t>
            </w:r>
          </w:p>
        </w:tc>
      </w:tr>
      <w:tr w14:paraId="5B548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1427F2">
            <w:pPr>
              <w:pStyle w:val="8"/>
              <w:rPr>
                <w:highlight w:val="none"/>
              </w:rPr>
            </w:pPr>
            <w:r>
              <w:rPr>
                <w:rFonts w:hint="eastAsia"/>
                <w:highlight w:val="none"/>
              </w:rPr>
              <w:t xml:space="preserve">办公地址： </w:t>
            </w:r>
          </w:p>
        </w:tc>
        <w:tc>
          <w:tcPr>
            <w:tcW w:w="7440" w:type="dxa"/>
            <w:shd w:val="clear" w:color="auto" w:fill="auto"/>
          </w:tcPr>
          <w:p w14:paraId="326DBC7F">
            <w:pPr>
              <w:pStyle w:val="8"/>
              <w:rPr>
                <w:highlight w:val="none"/>
              </w:rPr>
            </w:pPr>
            <w:r>
              <w:rPr>
                <w:rFonts w:hint="eastAsia"/>
                <w:highlight w:val="none"/>
              </w:rPr>
              <w:t xml:space="preserve">陕西省西安市高新区锦业路1号都市之门B座5层 </w:t>
            </w:r>
          </w:p>
        </w:tc>
      </w:tr>
      <w:tr w14:paraId="48C35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2D761">
            <w:pPr>
              <w:pStyle w:val="8"/>
              <w:rPr>
                <w:highlight w:val="none"/>
              </w:rPr>
            </w:pPr>
            <w:r>
              <w:rPr>
                <w:rFonts w:hint="eastAsia"/>
                <w:highlight w:val="none"/>
              </w:rPr>
              <w:t xml:space="preserve">法定代表人： </w:t>
            </w:r>
          </w:p>
        </w:tc>
        <w:tc>
          <w:tcPr>
            <w:tcW w:w="7440" w:type="dxa"/>
            <w:shd w:val="clear" w:color="auto" w:fill="auto"/>
          </w:tcPr>
          <w:p w14:paraId="1692C678">
            <w:pPr>
              <w:pStyle w:val="8"/>
              <w:rPr>
                <w:highlight w:val="none"/>
              </w:rPr>
            </w:pPr>
            <w:r>
              <w:rPr>
                <w:rFonts w:hint="eastAsia"/>
                <w:highlight w:val="none"/>
              </w:rPr>
              <w:t xml:space="preserve">李刚 </w:t>
            </w:r>
          </w:p>
        </w:tc>
      </w:tr>
      <w:tr w14:paraId="76F09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CF70C3">
            <w:pPr>
              <w:pStyle w:val="8"/>
              <w:rPr>
                <w:highlight w:val="none"/>
              </w:rPr>
            </w:pPr>
            <w:r>
              <w:rPr>
                <w:rFonts w:hint="eastAsia"/>
                <w:highlight w:val="none"/>
              </w:rPr>
              <w:t xml:space="preserve">联系人： </w:t>
            </w:r>
          </w:p>
        </w:tc>
        <w:tc>
          <w:tcPr>
            <w:tcW w:w="7440" w:type="dxa"/>
            <w:shd w:val="clear" w:color="auto" w:fill="auto"/>
          </w:tcPr>
          <w:p w14:paraId="062C6E96">
            <w:pPr>
              <w:pStyle w:val="8"/>
              <w:rPr>
                <w:highlight w:val="none"/>
              </w:rPr>
            </w:pPr>
            <w:r>
              <w:rPr>
                <w:rFonts w:hint="eastAsia"/>
                <w:highlight w:val="none"/>
              </w:rPr>
              <w:t xml:space="preserve">张蕊 </w:t>
            </w:r>
          </w:p>
        </w:tc>
      </w:tr>
      <w:tr w14:paraId="14075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E0A8D">
            <w:pPr>
              <w:pStyle w:val="8"/>
              <w:rPr>
                <w:highlight w:val="none"/>
              </w:rPr>
            </w:pPr>
            <w:r>
              <w:rPr>
                <w:rFonts w:hint="eastAsia"/>
                <w:highlight w:val="none"/>
              </w:rPr>
              <w:t xml:space="preserve">电话： </w:t>
            </w:r>
          </w:p>
        </w:tc>
        <w:tc>
          <w:tcPr>
            <w:tcW w:w="7440" w:type="dxa"/>
            <w:shd w:val="clear" w:color="auto" w:fill="auto"/>
          </w:tcPr>
          <w:p w14:paraId="0EB5B723">
            <w:pPr>
              <w:pStyle w:val="8"/>
              <w:rPr>
                <w:highlight w:val="none"/>
              </w:rPr>
            </w:pPr>
            <w:r>
              <w:rPr>
                <w:rFonts w:hint="eastAsia"/>
                <w:highlight w:val="none"/>
              </w:rPr>
              <w:t xml:space="preserve">029-88365809  </w:t>
            </w:r>
          </w:p>
        </w:tc>
      </w:tr>
      <w:tr w14:paraId="4BF2C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60C6E8">
            <w:pPr>
              <w:pStyle w:val="8"/>
              <w:rPr>
                <w:highlight w:val="none"/>
              </w:rPr>
            </w:pPr>
            <w:r>
              <w:rPr>
                <w:rFonts w:hint="eastAsia"/>
                <w:highlight w:val="none"/>
              </w:rPr>
              <w:t xml:space="preserve">传真： </w:t>
            </w:r>
          </w:p>
        </w:tc>
        <w:tc>
          <w:tcPr>
            <w:tcW w:w="7440" w:type="dxa"/>
            <w:shd w:val="clear" w:color="auto" w:fill="auto"/>
          </w:tcPr>
          <w:p w14:paraId="3EF50027">
            <w:pPr>
              <w:pStyle w:val="8"/>
              <w:rPr>
                <w:highlight w:val="none"/>
              </w:rPr>
            </w:pPr>
            <w:r>
              <w:rPr>
                <w:rFonts w:hint="eastAsia"/>
                <w:highlight w:val="none"/>
              </w:rPr>
              <w:t xml:space="preserve">86-29-88365835 </w:t>
            </w:r>
          </w:p>
        </w:tc>
      </w:tr>
      <w:tr w14:paraId="0CB0E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60379F">
            <w:pPr>
              <w:pStyle w:val="8"/>
              <w:rPr>
                <w:highlight w:val="none"/>
              </w:rPr>
            </w:pPr>
            <w:r>
              <w:rPr>
                <w:rFonts w:hint="eastAsia"/>
                <w:highlight w:val="none"/>
              </w:rPr>
              <w:t xml:space="preserve">客户服务电话： </w:t>
            </w:r>
          </w:p>
        </w:tc>
        <w:tc>
          <w:tcPr>
            <w:tcW w:w="7440" w:type="dxa"/>
            <w:shd w:val="clear" w:color="auto" w:fill="auto"/>
          </w:tcPr>
          <w:p w14:paraId="25DF18C9">
            <w:pPr>
              <w:pStyle w:val="8"/>
              <w:rPr>
                <w:highlight w:val="none"/>
              </w:rPr>
            </w:pPr>
            <w:r>
              <w:rPr>
                <w:rFonts w:hint="eastAsia"/>
                <w:highlight w:val="none"/>
              </w:rPr>
              <w:t xml:space="preserve">95325 /400-860-8866 </w:t>
            </w:r>
          </w:p>
        </w:tc>
      </w:tr>
      <w:tr w14:paraId="0450EE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648070">
            <w:pPr>
              <w:pStyle w:val="8"/>
              <w:rPr>
                <w:highlight w:val="none"/>
              </w:rPr>
            </w:pPr>
            <w:r>
              <w:rPr>
                <w:rFonts w:hint="eastAsia"/>
                <w:highlight w:val="none"/>
              </w:rPr>
              <w:t xml:space="preserve">网址： </w:t>
            </w:r>
          </w:p>
        </w:tc>
        <w:tc>
          <w:tcPr>
            <w:tcW w:w="7440" w:type="dxa"/>
            <w:shd w:val="clear" w:color="auto" w:fill="auto"/>
          </w:tcPr>
          <w:p w14:paraId="4C01F190">
            <w:pPr>
              <w:pStyle w:val="8"/>
              <w:rPr>
                <w:highlight w:val="none"/>
              </w:rPr>
            </w:pPr>
            <w:r>
              <w:rPr>
                <w:rFonts w:hint="eastAsia"/>
                <w:highlight w:val="none"/>
              </w:rPr>
              <w:t xml:space="preserve">http://www.kysec.cn/ </w:t>
            </w:r>
          </w:p>
        </w:tc>
      </w:tr>
    </w:tbl>
    <w:p w14:paraId="6DCE2A2D">
      <w:pPr>
        <w:pStyle w:val="8"/>
        <w:spacing w:before="0" w:beforeAutospacing="0" w:after="0" w:afterAutospacing="0" w:line="360" w:lineRule="auto"/>
        <w:ind w:firstLine="420"/>
        <w:rPr>
          <w:sz w:val="21"/>
          <w:szCs w:val="21"/>
          <w:highlight w:val="none"/>
        </w:rPr>
      </w:pPr>
      <w:r>
        <w:rPr>
          <w:rFonts w:hint="eastAsia"/>
          <w:b/>
          <w:bCs/>
          <w:sz w:val="21"/>
          <w:szCs w:val="21"/>
          <w:highlight w:val="none"/>
        </w:rPr>
        <w:t>(53)华金证券股份有限公司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5C040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E00E8">
            <w:pPr>
              <w:pStyle w:val="8"/>
              <w:rPr>
                <w:highlight w:val="none"/>
              </w:rPr>
            </w:pPr>
            <w:r>
              <w:rPr>
                <w:rFonts w:hint="eastAsia"/>
                <w:highlight w:val="none"/>
              </w:rPr>
              <w:t xml:space="preserve">注册地址： </w:t>
            </w:r>
          </w:p>
        </w:tc>
        <w:tc>
          <w:tcPr>
            <w:tcW w:w="7440" w:type="dxa"/>
            <w:shd w:val="clear" w:color="auto" w:fill="auto"/>
          </w:tcPr>
          <w:p w14:paraId="2C1B2694">
            <w:pPr>
              <w:pStyle w:val="8"/>
              <w:rPr>
                <w:highlight w:val="none"/>
              </w:rPr>
            </w:pPr>
            <w:r>
              <w:rPr>
                <w:rFonts w:hint="eastAsia"/>
                <w:highlight w:val="none"/>
              </w:rPr>
              <w:t xml:space="preserve">上海市静安区天目西路128号1902室 </w:t>
            </w:r>
          </w:p>
        </w:tc>
      </w:tr>
      <w:tr w14:paraId="0DF36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1887DF">
            <w:pPr>
              <w:pStyle w:val="8"/>
              <w:rPr>
                <w:highlight w:val="none"/>
              </w:rPr>
            </w:pPr>
            <w:r>
              <w:rPr>
                <w:rFonts w:hint="eastAsia"/>
                <w:highlight w:val="none"/>
              </w:rPr>
              <w:t xml:space="preserve">办公地址： </w:t>
            </w:r>
          </w:p>
        </w:tc>
        <w:tc>
          <w:tcPr>
            <w:tcW w:w="7440" w:type="dxa"/>
            <w:shd w:val="clear" w:color="auto" w:fill="auto"/>
          </w:tcPr>
          <w:p w14:paraId="1D66C734">
            <w:pPr>
              <w:pStyle w:val="8"/>
              <w:rPr>
                <w:highlight w:val="none"/>
              </w:rPr>
            </w:pPr>
            <w:r>
              <w:rPr>
                <w:rFonts w:hint="eastAsia"/>
                <w:highlight w:val="none"/>
              </w:rPr>
              <w:t xml:space="preserve">上海市浦东新区杨高南路759号27层（陆家嘴世纪金融广场2号楼） </w:t>
            </w:r>
          </w:p>
        </w:tc>
      </w:tr>
      <w:tr w14:paraId="0A7DE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0EE5C">
            <w:pPr>
              <w:pStyle w:val="8"/>
              <w:rPr>
                <w:highlight w:val="none"/>
              </w:rPr>
            </w:pPr>
            <w:r>
              <w:rPr>
                <w:rFonts w:hint="eastAsia"/>
                <w:highlight w:val="none"/>
              </w:rPr>
              <w:t xml:space="preserve">法定代表人： </w:t>
            </w:r>
          </w:p>
        </w:tc>
        <w:tc>
          <w:tcPr>
            <w:tcW w:w="7440" w:type="dxa"/>
            <w:shd w:val="clear" w:color="auto" w:fill="auto"/>
          </w:tcPr>
          <w:p w14:paraId="13498597">
            <w:pPr>
              <w:pStyle w:val="8"/>
              <w:rPr>
                <w:highlight w:val="none"/>
              </w:rPr>
            </w:pPr>
            <w:r>
              <w:rPr>
                <w:rFonts w:hint="eastAsia"/>
                <w:highlight w:val="none"/>
              </w:rPr>
              <w:t xml:space="preserve">燕文波 </w:t>
            </w:r>
          </w:p>
        </w:tc>
      </w:tr>
      <w:tr w14:paraId="1F485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F53156">
            <w:pPr>
              <w:pStyle w:val="8"/>
              <w:rPr>
                <w:highlight w:val="none"/>
              </w:rPr>
            </w:pPr>
            <w:r>
              <w:rPr>
                <w:rFonts w:hint="eastAsia"/>
                <w:highlight w:val="none"/>
              </w:rPr>
              <w:t xml:space="preserve">联系人： </w:t>
            </w:r>
          </w:p>
        </w:tc>
        <w:tc>
          <w:tcPr>
            <w:tcW w:w="7440" w:type="dxa"/>
            <w:shd w:val="clear" w:color="auto" w:fill="auto"/>
          </w:tcPr>
          <w:p w14:paraId="740B325B">
            <w:pPr>
              <w:pStyle w:val="8"/>
              <w:rPr>
                <w:highlight w:val="none"/>
              </w:rPr>
            </w:pPr>
            <w:r>
              <w:rPr>
                <w:rFonts w:hint="eastAsia"/>
                <w:highlight w:val="none"/>
              </w:rPr>
              <w:t xml:space="preserve">秦臻 </w:t>
            </w:r>
          </w:p>
        </w:tc>
      </w:tr>
      <w:tr w14:paraId="0EF81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79C82F">
            <w:pPr>
              <w:pStyle w:val="8"/>
              <w:rPr>
                <w:highlight w:val="none"/>
              </w:rPr>
            </w:pPr>
            <w:r>
              <w:rPr>
                <w:rFonts w:hint="eastAsia"/>
                <w:highlight w:val="none"/>
              </w:rPr>
              <w:t xml:space="preserve">电话： </w:t>
            </w:r>
          </w:p>
        </w:tc>
        <w:tc>
          <w:tcPr>
            <w:tcW w:w="7440" w:type="dxa"/>
            <w:shd w:val="clear" w:color="auto" w:fill="auto"/>
          </w:tcPr>
          <w:p w14:paraId="51A82762">
            <w:pPr>
              <w:pStyle w:val="8"/>
              <w:rPr>
                <w:highlight w:val="none"/>
              </w:rPr>
            </w:pPr>
            <w:r>
              <w:rPr>
                <w:rFonts w:hint="eastAsia"/>
                <w:highlight w:val="none"/>
              </w:rPr>
              <w:t xml:space="preserve">021-20655588 </w:t>
            </w:r>
          </w:p>
        </w:tc>
      </w:tr>
      <w:tr w14:paraId="04DFC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0C76E7">
            <w:pPr>
              <w:pStyle w:val="8"/>
              <w:rPr>
                <w:highlight w:val="none"/>
              </w:rPr>
            </w:pPr>
            <w:r>
              <w:rPr>
                <w:rFonts w:hint="eastAsia"/>
                <w:highlight w:val="none"/>
              </w:rPr>
              <w:t xml:space="preserve">传真： </w:t>
            </w:r>
          </w:p>
        </w:tc>
        <w:tc>
          <w:tcPr>
            <w:tcW w:w="7440" w:type="dxa"/>
            <w:shd w:val="clear" w:color="auto" w:fill="auto"/>
          </w:tcPr>
          <w:p w14:paraId="57A836E3">
            <w:pPr>
              <w:pStyle w:val="8"/>
              <w:rPr>
                <w:highlight w:val="none"/>
              </w:rPr>
            </w:pPr>
            <w:r>
              <w:rPr>
                <w:rFonts w:hint="eastAsia"/>
                <w:highlight w:val="none"/>
              </w:rPr>
              <w:t xml:space="preserve">021-50390850 </w:t>
            </w:r>
          </w:p>
        </w:tc>
      </w:tr>
      <w:tr w14:paraId="6400A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76D603">
            <w:pPr>
              <w:pStyle w:val="8"/>
              <w:rPr>
                <w:highlight w:val="none"/>
              </w:rPr>
            </w:pPr>
            <w:r>
              <w:rPr>
                <w:rFonts w:hint="eastAsia"/>
                <w:highlight w:val="none"/>
              </w:rPr>
              <w:t xml:space="preserve">客户服务电话： </w:t>
            </w:r>
          </w:p>
        </w:tc>
        <w:tc>
          <w:tcPr>
            <w:tcW w:w="7440" w:type="dxa"/>
            <w:shd w:val="clear" w:color="auto" w:fill="auto"/>
          </w:tcPr>
          <w:p w14:paraId="0A44CD01">
            <w:pPr>
              <w:pStyle w:val="8"/>
              <w:rPr>
                <w:highlight w:val="none"/>
              </w:rPr>
            </w:pPr>
            <w:r>
              <w:rPr>
                <w:rFonts w:hint="eastAsia"/>
                <w:highlight w:val="none"/>
              </w:rPr>
              <w:t xml:space="preserve">956011 </w:t>
            </w:r>
          </w:p>
        </w:tc>
      </w:tr>
      <w:tr w14:paraId="1926F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FC6E3B">
            <w:pPr>
              <w:pStyle w:val="8"/>
              <w:rPr>
                <w:highlight w:val="none"/>
              </w:rPr>
            </w:pPr>
            <w:r>
              <w:rPr>
                <w:rFonts w:hint="eastAsia"/>
                <w:highlight w:val="none"/>
              </w:rPr>
              <w:t xml:space="preserve">网址： </w:t>
            </w:r>
          </w:p>
        </w:tc>
        <w:tc>
          <w:tcPr>
            <w:tcW w:w="7440" w:type="dxa"/>
            <w:shd w:val="clear" w:color="auto" w:fill="auto"/>
          </w:tcPr>
          <w:p w14:paraId="358753F3">
            <w:pPr>
              <w:pStyle w:val="8"/>
              <w:rPr>
                <w:highlight w:val="none"/>
              </w:rPr>
            </w:pPr>
            <w:r>
              <w:rPr>
                <w:rFonts w:hint="eastAsia"/>
                <w:highlight w:val="none"/>
              </w:rPr>
              <w:t xml:space="preserve">https://www.huajinsc.cn </w:t>
            </w:r>
          </w:p>
        </w:tc>
      </w:tr>
    </w:tbl>
    <w:p w14:paraId="771FB3AA">
      <w:pPr>
        <w:pStyle w:val="8"/>
        <w:spacing w:before="0" w:beforeAutospacing="0" w:after="0" w:afterAutospacing="0" w:line="360" w:lineRule="auto"/>
        <w:ind w:firstLine="420"/>
        <w:rPr>
          <w:sz w:val="21"/>
          <w:szCs w:val="21"/>
          <w:highlight w:val="none"/>
        </w:rPr>
      </w:pPr>
      <w:r>
        <w:rPr>
          <w:rFonts w:hint="eastAsia"/>
          <w:b/>
          <w:bCs/>
          <w:sz w:val="21"/>
          <w:szCs w:val="21"/>
          <w:highlight w:val="none"/>
        </w:rPr>
        <w:t>(54)联储证券股份有限公司</w:t>
      </w:r>
    </w:p>
    <w:tbl>
      <w:tblPr>
        <w:tblStyle w:val="10"/>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0"/>
        <w:gridCol w:w="6063"/>
      </w:tblGrid>
      <w:tr w14:paraId="7307E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1BD18D">
            <w:pPr>
              <w:pStyle w:val="8"/>
              <w:rPr>
                <w:highlight w:val="none"/>
              </w:rPr>
            </w:pPr>
            <w:r>
              <w:rPr>
                <w:rFonts w:hint="eastAsia"/>
                <w:highlight w:val="none"/>
              </w:rPr>
              <w:t xml:space="preserve">注册地址： </w:t>
            </w:r>
          </w:p>
        </w:tc>
        <w:tc>
          <w:tcPr>
            <w:tcW w:w="7440" w:type="dxa"/>
            <w:shd w:val="clear" w:color="auto" w:fill="auto"/>
          </w:tcPr>
          <w:p w14:paraId="067D54B3">
            <w:pPr>
              <w:pStyle w:val="8"/>
              <w:rPr>
                <w:highlight w:val="none"/>
              </w:rPr>
            </w:pPr>
            <w:r>
              <w:rPr>
                <w:rFonts w:hint="eastAsia"/>
                <w:highlight w:val="none"/>
              </w:rPr>
              <w:t xml:space="preserve">深圳市福田区华强北路圣廷苑酒店B座26楼 </w:t>
            </w:r>
          </w:p>
        </w:tc>
      </w:tr>
      <w:tr w14:paraId="3EC7F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44E584">
            <w:pPr>
              <w:pStyle w:val="8"/>
              <w:rPr>
                <w:highlight w:val="none"/>
              </w:rPr>
            </w:pPr>
            <w:r>
              <w:rPr>
                <w:rFonts w:hint="eastAsia"/>
                <w:highlight w:val="none"/>
              </w:rPr>
              <w:t xml:space="preserve">办公地址： </w:t>
            </w:r>
          </w:p>
        </w:tc>
        <w:tc>
          <w:tcPr>
            <w:tcW w:w="7440" w:type="dxa"/>
            <w:shd w:val="clear" w:color="auto" w:fill="auto"/>
          </w:tcPr>
          <w:p w14:paraId="563EFF1B">
            <w:pPr>
              <w:pStyle w:val="8"/>
              <w:rPr>
                <w:highlight w:val="none"/>
              </w:rPr>
            </w:pPr>
            <w:r>
              <w:rPr>
                <w:rFonts w:hint="eastAsia"/>
                <w:highlight w:val="none"/>
              </w:rPr>
              <w:t xml:space="preserve">深圳市福田区华强北路圣廷苑酒店B座26楼 </w:t>
            </w:r>
          </w:p>
        </w:tc>
      </w:tr>
      <w:tr w14:paraId="6B85D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A0E10C">
            <w:pPr>
              <w:pStyle w:val="8"/>
              <w:rPr>
                <w:highlight w:val="none"/>
              </w:rPr>
            </w:pPr>
            <w:r>
              <w:rPr>
                <w:rFonts w:hint="eastAsia"/>
                <w:highlight w:val="none"/>
              </w:rPr>
              <w:t xml:space="preserve">法定代表人： </w:t>
            </w:r>
          </w:p>
        </w:tc>
        <w:tc>
          <w:tcPr>
            <w:tcW w:w="7440" w:type="dxa"/>
            <w:shd w:val="clear" w:color="auto" w:fill="auto"/>
          </w:tcPr>
          <w:p w14:paraId="74CF5992">
            <w:pPr>
              <w:pStyle w:val="8"/>
              <w:rPr>
                <w:highlight w:val="none"/>
              </w:rPr>
            </w:pPr>
            <w:r>
              <w:rPr>
                <w:rFonts w:hint="eastAsia"/>
                <w:highlight w:val="none"/>
              </w:rPr>
              <w:t xml:space="preserve">吕春卫 </w:t>
            </w:r>
          </w:p>
        </w:tc>
      </w:tr>
      <w:tr w14:paraId="5EA4B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861383">
            <w:pPr>
              <w:pStyle w:val="8"/>
              <w:rPr>
                <w:highlight w:val="none"/>
              </w:rPr>
            </w:pPr>
            <w:r>
              <w:rPr>
                <w:rFonts w:hint="eastAsia"/>
                <w:highlight w:val="none"/>
              </w:rPr>
              <w:t xml:space="preserve">联系人： </w:t>
            </w:r>
          </w:p>
        </w:tc>
        <w:tc>
          <w:tcPr>
            <w:tcW w:w="7440" w:type="dxa"/>
            <w:shd w:val="clear" w:color="auto" w:fill="auto"/>
          </w:tcPr>
          <w:p w14:paraId="4D3D6B5D">
            <w:pPr>
              <w:pStyle w:val="8"/>
              <w:rPr>
                <w:highlight w:val="none"/>
              </w:rPr>
            </w:pPr>
            <w:r>
              <w:rPr>
                <w:rFonts w:hint="eastAsia"/>
                <w:highlight w:val="none"/>
              </w:rPr>
              <w:t xml:space="preserve">张婉婷 </w:t>
            </w:r>
          </w:p>
        </w:tc>
      </w:tr>
      <w:tr w14:paraId="1A18C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8A2CD">
            <w:pPr>
              <w:pStyle w:val="8"/>
              <w:rPr>
                <w:highlight w:val="none"/>
              </w:rPr>
            </w:pPr>
            <w:r>
              <w:rPr>
                <w:rFonts w:hint="eastAsia"/>
                <w:highlight w:val="none"/>
              </w:rPr>
              <w:t xml:space="preserve">电话： </w:t>
            </w:r>
          </w:p>
        </w:tc>
        <w:tc>
          <w:tcPr>
            <w:tcW w:w="7440" w:type="dxa"/>
            <w:shd w:val="clear" w:color="auto" w:fill="auto"/>
          </w:tcPr>
          <w:p w14:paraId="30929B90">
            <w:pPr>
              <w:pStyle w:val="8"/>
              <w:rPr>
                <w:highlight w:val="none"/>
              </w:rPr>
            </w:pPr>
            <w:r>
              <w:rPr>
                <w:rFonts w:hint="eastAsia"/>
                <w:highlight w:val="none"/>
              </w:rPr>
              <w:t xml:space="preserve">010-86499765  </w:t>
            </w:r>
          </w:p>
        </w:tc>
      </w:tr>
      <w:tr w14:paraId="53CC9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8D054">
            <w:pPr>
              <w:pStyle w:val="8"/>
              <w:rPr>
                <w:highlight w:val="none"/>
              </w:rPr>
            </w:pPr>
            <w:r>
              <w:rPr>
                <w:rFonts w:hint="eastAsia"/>
                <w:highlight w:val="none"/>
              </w:rPr>
              <w:t xml:space="preserve">传真： </w:t>
            </w:r>
          </w:p>
        </w:tc>
        <w:tc>
          <w:tcPr>
            <w:tcW w:w="7440" w:type="dxa"/>
            <w:shd w:val="clear" w:color="auto" w:fill="auto"/>
          </w:tcPr>
          <w:p w14:paraId="2DAE3AF9">
            <w:pPr>
              <w:pStyle w:val="8"/>
              <w:rPr>
                <w:highlight w:val="none"/>
              </w:rPr>
            </w:pPr>
            <w:r>
              <w:rPr>
                <w:rFonts w:hint="eastAsia"/>
                <w:highlight w:val="none"/>
              </w:rPr>
              <w:t xml:space="preserve">0755-82075835 </w:t>
            </w:r>
          </w:p>
        </w:tc>
      </w:tr>
      <w:tr w14:paraId="3A457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3DB80">
            <w:pPr>
              <w:pStyle w:val="8"/>
              <w:rPr>
                <w:highlight w:val="none"/>
              </w:rPr>
            </w:pPr>
            <w:r>
              <w:rPr>
                <w:rFonts w:hint="eastAsia"/>
                <w:highlight w:val="none"/>
              </w:rPr>
              <w:t xml:space="preserve">客户服务电话： </w:t>
            </w:r>
          </w:p>
        </w:tc>
        <w:tc>
          <w:tcPr>
            <w:tcW w:w="7440" w:type="dxa"/>
            <w:shd w:val="clear" w:color="auto" w:fill="auto"/>
          </w:tcPr>
          <w:p w14:paraId="42FB2177">
            <w:pPr>
              <w:pStyle w:val="8"/>
              <w:rPr>
                <w:highlight w:val="none"/>
              </w:rPr>
            </w:pPr>
            <w:r>
              <w:rPr>
                <w:rFonts w:hint="eastAsia"/>
                <w:highlight w:val="none"/>
              </w:rPr>
              <w:t xml:space="preserve">4006206868/010-56177851 </w:t>
            </w:r>
          </w:p>
        </w:tc>
      </w:tr>
      <w:tr w14:paraId="14862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FAAB10">
            <w:pPr>
              <w:pStyle w:val="8"/>
              <w:rPr>
                <w:highlight w:val="none"/>
              </w:rPr>
            </w:pPr>
            <w:r>
              <w:rPr>
                <w:rFonts w:hint="eastAsia"/>
                <w:highlight w:val="none"/>
              </w:rPr>
              <w:t xml:space="preserve">网址： </w:t>
            </w:r>
          </w:p>
        </w:tc>
        <w:tc>
          <w:tcPr>
            <w:tcW w:w="7440" w:type="dxa"/>
            <w:shd w:val="clear" w:color="auto" w:fill="auto"/>
          </w:tcPr>
          <w:p w14:paraId="3FF3FDA0">
            <w:pPr>
              <w:pStyle w:val="8"/>
              <w:rPr>
                <w:highlight w:val="none"/>
              </w:rPr>
            </w:pPr>
            <w:r>
              <w:rPr>
                <w:rFonts w:hint="eastAsia"/>
                <w:highlight w:val="none"/>
              </w:rPr>
              <w:t xml:space="preserve">http://www.lczq.com/ </w:t>
            </w:r>
          </w:p>
        </w:tc>
      </w:tr>
    </w:tbl>
    <w:p w14:paraId="0EC69272">
      <w:pPr>
        <w:rPr>
          <w:rFonts w:ascii="宋体" w:hAnsi="宋体" w:eastAsia="宋体"/>
          <w:sz w:val="24"/>
          <w:szCs w:val="24"/>
          <w:highlight w:val="none"/>
        </w:rPr>
      </w:pPr>
      <w:bookmarkStart w:id="46" w:name="field_0_allproxysaletables_1_end"/>
      <w:bookmarkEnd w:id="46"/>
      <w:r>
        <w:rPr>
          <w:rFonts w:ascii="宋体" w:hAnsi="宋体" w:eastAsia="宋体"/>
          <w:highlight w:val="none"/>
        </w:rPr>
        <w:t xml:space="preserve">  </w:t>
      </w:r>
    </w:p>
    <w:p w14:paraId="7897D7A6">
      <w:pPr>
        <w:pStyle w:val="8"/>
        <w:spacing w:before="0" w:beforeAutospacing="0" w:after="0" w:afterAutospacing="0" w:line="360" w:lineRule="auto"/>
        <w:ind w:firstLine="420"/>
        <w:rPr>
          <w:sz w:val="21"/>
          <w:szCs w:val="21"/>
          <w:highlight w:val="none"/>
        </w:rPr>
      </w:pPr>
    </w:p>
    <w:p w14:paraId="1B9ABB0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2．二级市场交易代理券商   </w:t>
      </w:r>
    </w:p>
    <w:p w14:paraId="0B25B0D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包括具有经纪业务资格及上海证券交易所会员资格的所有证券公司。   </w:t>
      </w:r>
    </w:p>
    <w:p w14:paraId="042B9658">
      <w:pPr>
        <w:pStyle w:val="8"/>
        <w:spacing w:before="0" w:beforeAutospacing="0" w:after="0" w:afterAutospacing="0" w:line="360" w:lineRule="auto"/>
        <w:ind w:firstLine="420"/>
        <w:rPr>
          <w:sz w:val="21"/>
          <w:szCs w:val="21"/>
          <w:highlight w:val="none"/>
        </w:rPr>
      </w:pPr>
      <w:r>
        <w:rPr>
          <w:rFonts w:hint="eastAsia"/>
          <w:sz w:val="21"/>
          <w:szCs w:val="21"/>
          <w:highlight w:val="none"/>
        </w:rPr>
        <w:t>3．基金管理人可根据有关法律法规，选择其他符合要求的机构代理发售本基金，并及</w:t>
      </w:r>
      <w:bookmarkStart w:id="47" w:name="chapter_level1_7_56_section_2_end"/>
      <w:bookmarkEnd w:id="47"/>
      <w:r>
        <w:rPr>
          <w:rFonts w:hint="eastAsia"/>
          <w:sz w:val="21"/>
          <w:szCs w:val="21"/>
          <w:highlight w:val="none"/>
        </w:rPr>
        <w:t xml:space="preserve">时公告。   </w:t>
      </w:r>
    </w:p>
    <w:p w14:paraId="77A75282">
      <w:pPr>
        <w:pStyle w:val="8"/>
        <w:spacing w:before="0" w:beforeAutospacing="0" w:after="0" w:afterAutospacing="0" w:line="360" w:lineRule="auto"/>
        <w:ind w:firstLine="420"/>
        <w:rPr>
          <w:sz w:val="21"/>
          <w:szCs w:val="21"/>
          <w:highlight w:val="none"/>
        </w:rPr>
      </w:pPr>
      <w:bookmarkStart w:id="48" w:name="chapter_level1_7_56_section_3"/>
      <w:bookmarkEnd w:id="48"/>
      <w:r>
        <w:rPr>
          <w:rStyle w:val="12"/>
          <w:rFonts w:hint="eastAsia"/>
          <w:sz w:val="21"/>
          <w:szCs w:val="21"/>
          <w:highlight w:val="none"/>
        </w:rPr>
        <w:t>二、登记机构</w:t>
      </w:r>
    </w:p>
    <w:p w14:paraId="529932A7">
      <w:pPr>
        <w:pStyle w:val="8"/>
        <w:spacing w:before="0" w:beforeAutospacing="0" w:after="0" w:afterAutospacing="0" w:line="360" w:lineRule="auto"/>
        <w:ind w:firstLine="420"/>
        <w:rPr>
          <w:sz w:val="21"/>
          <w:szCs w:val="21"/>
          <w:highlight w:val="none"/>
        </w:rPr>
      </w:pPr>
      <w:bookmarkStart w:id="49" w:name="field_0_registercompanyinfo_1_start"/>
      <w:bookmarkEnd w:id="49"/>
      <w:r>
        <w:rPr>
          <w:rFonts w:hint="eastAsia"/>
          <w:sz w:val="21"/>
          <w:szCs w:val="21"/>
          <w:highlight w:val="none"/>
        </w:rPr>
        <w:t xml:space="preserve">名称：中国证券登记结算有限责任公司  </w:t>
      </w:r>
    </w:p>
    <w:p w14:paraId="71DA496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注册地址：北京市西城区太平桥大街17号 </w:t>
      </w:r>
    </w:p>
    <w:p w14:paraId="15087C6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办公地址：北京市西城区太平桥大街17号 </w:t>
      </w:r>
    </w:p>
    <w:p w14:paraId="69A9C77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法定代表人：于文强 </w:t>
      </w:r>
    </w:p>
    <w:p w14:paraId="2698744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电  话：0755-25946013 </w:t>
      </w:r>
    </w:p>
    <w:p w14:paraId="60694CB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传  真：0755-25987122 </w:t>
      </w:r>
    </w:p>
    <w:p w14:paraId="7268897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联系人：严峰 </w:t>
      </w:r>
      <w:bookmarkStart w:id="50" w:name="field_0_registercompanyinfo_1_end"/>
      <w:bookmarkEnd w:id="50"/>
      <w:r>
        <w:rPr>
          <w:rFonts w:hint="eastAsia"/>
          <w:sz w:val="21"/>
          <w:szCs w:val="21"/>
          <w:highlight w:val="none"/>
        </w:rPr>
        <w:t xml:space="preserve">  </w:t>
      </w:r>
    </w:p>
    <w:p w14:paraId="0E93F69C">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三、出具法律意见书的律师事务所</w:t>
      </w:r>
    </w:p>
    <w:p w14:paraId="2C183E4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名称：上海源泰律师事务所 </w:t>
      </w:r>
    </w:p>
    <w:p w14:paraId="53563EA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注册地址：上海市浦东新区浦东南路256号华夏银行大厦14楼 </w:t>
      </w:r>
    </w:p>
    <w:p w14:paraId="1A8575E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办公地址：上海市浦东新区浦东南路256号华夏银行大厦14楼 </w:t>
      </w:r>
    </w:p>
    <w:p w14:paraId="7BA888D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负责人：廖海 </w:t>
      </w:r>
    </w:p>
    <w:p w14:paraId="4DD5695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电话：021- 51150298 </w:t>
      </w:r>
    </w:p>
    <w:p w14:paraId="105BB22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传真：021- 51150398 </w:t>
      </w:r>
    </w:p>
    <w:p w14:paraId="59AEBF4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联系人：刘佳 </w:t>
      </w:r>
    </w:p>
    <w:p w14:paraId="2A77B8D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经办律师：刘佳、刘翠 </w:t>
      </w:r>
    </w:p>
    <w:p w14:paraId="5CAF5EAE">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四、审计基金财产的会计师事务所</w:t>
      </w:r>
    </w:p>
    <w:p w14:paraId="001A83C9">
      <w:pPr>
        <w:pStyle w:val="8"/>
        <w:spacing w:before="0" w:beforeAutospacing="0" w:after="0" w:afterAutospacing="0" w:line="360" w:lineRule="auto"/>
        <w:ind w:firstLine="420"/>
        <w:rPr>
          <w:sz w:val="21"/>
          <w:szCs w:val="21"/>
          <w:highlight w:val="none"/>
        </w:rPr>
      </w:pPr>
      <w:bookmarkStart w:id="51" w:name="field_0_accountingcompanyinfo_1_start"/>
      <w:bookmarkEnd w:id="51"/>
      <w:r>
        <w:rPr>
          <w:rFonts w:hint="eastAsia"/>
          <w:sz w:val="21"/>
          <w:szCs w:val="21"/>
          <w:highlight w:val="none"/>
        </w:rPr>
        <w:t xml:space="preserve">名称：容诚会计师事务所（特殊普通合伙） </w:t>
      </w:r>
    </w:p>
    <w:p w14:paraId="5E5976A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住所：北京市西城区阜成门外大街22号1幢10层1001-1至1001-26 </w:t>
      </w:r>
    </w:p>
    <w:p w14:paraId="5497DC4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办公地址：北京市西城区阜成门外大街22号1幢10层1001-1至1001-26 </w:t>
      </w:r>
    </w:p>
    <w:p w14:paraId="2430E9E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执行事务合伙人：刘维、肖厚发 </w:t>
      </w:r>
    </w:p>
    <w:p w14:paraId="49CBDC5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联系电话：010-66001391 </w:t>
      </w:r>
    </w:p>
    <w:p w14:paraId="7B2F58A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传真：010-66001392 </w:t>
      </w:r>
    </w:p>
    <w:p w14:paraId="05F5516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联系人：吴琳杰 </w:t>
      </w:r>
    </w:p>
    <w:p w14:paraId="702AA0AF">
      <w:pPr>
        <w:pStyle w:val="8"/>
        <w:spacing w:before="0" w:beforeAutospacing="0" w:after="0" w:afterAutospacing="0" w:line="360" w:lineRule="auto"/>
        <w:ind w:firstLine="420"/>
        <w:rPr>
          <w:sz w:val="21"/>
          <w:szCs w:val="21"/>
          <w:highlight w:val="none"/>
        </w:rPr>
      </w:pPr>
      <w:bookmarkStart w:id="52" w:name="chapter_level1_7_56_section_3_end"/>
      <w:bookmarkEnd w:id="52"/>
      <w:r>
        <w:rPr>
          <w:rFonts w:hint="eastAsia"/>
          <w:sz w:val="21"/>
          <w:szCs w:val="21"/>
          <w:highlight w:val="none"/>
        </w:rPr>
        <w:t xml:space="preserve">经办注册会计师：薛竞 吴琳杰 </w:t>
      </w:r>
      <w:bookmarkStart w:id="53" w:name="field_0_accountingcompanyinfo_1_end"/>
      <w:bookmarkEnd w:id="53"/>
      <w:r>
        <w:rPr>
          <w:rFonts w:hint="eastAsia"/>
          <w:sz w:val="21"/>
          <w:szCs w:val="21"/>
          <w:highlight w:val="none"/>
        </w:rPr>
        <w:t xml:space="preserve">  </w:t>
      </w:r>
    </w:p>
    <w:p w14:paraId="3079F4E2">
      <w:pPr>
        <w:widowControl/>
        <w:jc w:val="left"/>
        <w:rPr>
          <w:rFonts w:ascii="宋体" w:hAnsi="宋体" w:eastAsia="宋体"/>
          <w:highlight w:val="none"/>
        </w:rPr>
      </w:pPr>
      <w:r>
        <w:rPr>
          <w:rFonts w:ascii="宋体" w:hAnsi="宋体" w:eastAsia="宋体"/>
          <w:highlight w:val="none"/>
        </w:rPr>
        <w:br w:type="page"/>
      </w:r>
    </w:p>
    <w:p w14:paraId="7B609E4F">
      <w:pPr>
        <w:pStyle w:val="2"/>
        <w:jc w:val="center"/>
        <w:rPr>
          <w:rFonts w:ascii="宋体" w:hAnsi="宋体" w:eastAsia="宋体"/>
          <w:sz w:val="30"/>
          <w:highlight w:val="none"/>
        </w:rPr>
      </w:pPr>
      <w:bookmarkStart w:id="54" w:name="_Toc207933747"/>
      <w:bookmarkStart w:id="55" w:name="chapter_level1_9_58"/>
      <w:r>
        <w:rPr>
          <w:rFonts w:hint="eastAsia" w:ascii="宋体" w:hAnsi="宋体" w:eastAsia="宋体"/>
          <w:sz w:val="30"/>
          <w:highlight w:val="none"/>
        </w:rPr>
        <w:t>第六部分 基金的募集与基金合同的生效</w:t>
      </w:r>
      <w:bookmarkEnd w:id="54"/>
      <w:bookmarkEnd w:id="55"/>
    </w:p>
    <w:p w14:paraId="3D155687">
      <w:pPr>
        <w:pStyle w:val="8"/>
        <w:spacing w:before="0" w:beforeAutospacing="0" w:after="0" w:afterAutospacing="0" w:line="360" w:lineRule="auto"/>
        <w:ind w:firstLine="420"/>
        <w:rPr>
          <w:sz w:val="21"/>
          <w:szCs w:val="21"/>
          <w:highlight w:val="none"/>
        </w:rPr>
      </w:pPr>
      <w:bookmarkStart w:id="56" w:name="chapter_level1_9_58_section_1"/>
      <w:bookmarkEnd w:id="56"/>
      <w:r>
        <w:rPr>
          <w:rFonts w:hint="eastAsia"/>
          <w:b/>
          <w:bCs/>
          <w:sz w:val="21"/>
          <w:szCs w:val="21"/>
          <w:highlight w:val="none"/>
        </w:rPr>
        <w:t>一．基金的募集</w:t>
      </w:r>
    </w:p>
    <w:p w14:paraId="5355F6AF">
      <w:pPr>
        <w:pStyle w:val="8"/>
        <w:spacing w:before="0" w:beforeAutospacing="0" w:after="0" w:afterAutospacing="0" w:line="360" w:lineRule="auto"/>
        <w:ind w:firstLine="420"/>
        <w:rPr>
          <w:sz w:val="21"/>
          <w:szCs w:val="21"/>
          <w:highlight w:val="none"/>
        </w:rPr>
      </w:pPr>
      <w:r>
        <w:rPr>
          <w:rFonts w:hint="eastAsia"/>
          <w:sz w:val="21"/>
          <w:szCs w:val="21"/>
          <w:highlight w:val="none"/>
        </w:rPr>
        <w:t>基金管理人按照《基金法》、《运作办法》、《销售办法》、基金合同及其他有关规定募集本基金，并经中国证监会</w:t>
      </w:r>
      <w:bookmarkStart w:id="57" w:name="field_2343_approveddate_2"/>
      <w:r>
        <w:rPr>
          <w:sz w:val="21"/>
          <w:szCs w:val="21"/>
          <w:highlight w:val="none"/>
        </w:rPr>
        <w:t>2021年2月3日</w:t>
      </w:r>
      <w:bookmarkEnd w:id="57"/>
      <w:r>
        <w:rPr>
          <w:rFonts w:hint="eastAsia"/>
          <w:sz w:val="21"/>
          <w:szCs w:val="21"/>
          <w:highlight w:val="none"/>
        </w:rPr>
        <w:t>证监许可</w:t>
      </w:r>
      <w:bookmarkStart w:id="58" w:name="field_2343_lotnumber_2"/>
      <w:r>
        <w:rPr>
          <w:sz w:val="21"/>
          <w:szCs w:val="21"/>
          <w:highlight w:val="none"/>
        </w:rPr>
        <w:t>[2021]375</w:t>
      </w:r>
      <w:bookmarkEnd w:id="58"/>
      <w:r>
        <w:rPr>
          <w:rFonts w:hint="eastAsia"/>
          <w:sz w:val="21"/>
          <w:szCs w:val="21"/>
          <w:highlight w:val="none"/>
        </w:rPr>
        <w:t xml:space="preserve">号文准予募集注册。 </w:t>
      </w:r>
    </w:p>
    <w:p w14:paraId="1E8F32DF">
      <w:pPr>
        <w:pStyle w:val="8"/>
        <w:spacing w:before="0" w:beforeAutospacing="0" w:after="0" w:afterAutospacing="0" w:line="360" w:lineRule="auto"/>
        <w:ind w:firstLine="420"/>
        <w:rPr>
          <w:sz w:val="21"/>
          <w:szCs w:val="21"/>
          <w:highlight w:val="none"/>
        </w:rPr>
      </w:pPr>
      <w:r>
        <w:rPr>
          <w:rFonts w:hint="eastAsia"/>
          <w:sz w:val="21"/>
          <w:szCs w:val="21"/>
          <w:highlight w:val="none"/>
        </w:rPr>
        <w:t>本基金募集期自</w:t>
      </w:r>
      <w:bookmarkStart w:id="59" w:name="field_58_raisebegindate_1"/>
      <w:r>
        <w:rPr>
          <w:sz w:val="21"/>
          <w:szCs w:val="21"/>
          <w:highlight w:val="none"/>
        </w:rPr>
        <w:t>2021年3月29日</w:t>
      </w:r>
      <w:bookmarkEnd w:id="59"/>
      <w:r>
        <w:rPr>
          <w:rFonts w:hint="eastAsia"/>
          <w:sz w:val="21"/>
          <w:szCs w:val="21"/>
          <w:highlight w:val="none"/>
        </w:rPr>
        <w:t>至</w:t>
      </w:r>
      <w:bookmarkStart w:id="60" w:name="field_58_raiseenddate_1"/>
      <w:r>
        <w:rPr>
          <w:sz w:val="21"/>
          <w:szCs w:val="21"/>
          <w:highlight w:val="none"/>
        </w:rPr>
        <w:t>2021年4月30日</w:t>
      </w:r>
      <w:bookmarkEnd w:id="60"/>
      <w:r>
        <w:rPr>
          <w:rFonts w:hint="eastAsia"/>
          <w:sz w:val="21"/>
          <w:szCs w:val="21"/>
          <w:highlight w:val="none"/>
        </w:rPr>
        <w:t>期间，基金份额共募集</w:t>
      </w:r>
      <w:bookmarkStart w:id="61" w:name="field_58_raisetotal_1"/>
      <w:r>
        <w:rPr>
          <w:sz w:val="21"/>
          <w:szCs w:val="21"/>
          <w:highlight w:val="none"/>
        </w:rPr>
        <w:t>325,479,850.00</w:t>
      </w:r>
      <w:bookmarkEnd w:id="61"/>
      <w:r>
        <w:rPr>
          <w:rFonts w:hint="eastAsia"/>
          <w:sz w:val="21"/>
          <w:szCs w:val="21"/>
          <w:highlight w:val="none"/>
        </w:rPr>
        <w:t>份（含利息结转的份额），募集有效认购总户数为</w:t>
      </w:r>
      <w:bookmarkStart w:id="62" w:name="field_58_effectivetotal_1"/>
      <w:r>
        <w:rPr>
          <w:sz w:val="21"/>
          <w:szCs w:val="21"/>
          <w:highlight w:val="none"/>
        </w:rPr>
        <w:t>3,952</w:t>
      </w:r>
      <w:bookmarkEnd w:id="62"/>
      <w:r>
        <w:rPr>
          <w:rFonts w:hint="eastAsia"/>
          <w:sz w:val="21"/>
          <w:szCs w:val="21"/>
          <w:highlight w:val="none"/>
        </w:rPr>
        <w:t xml:space="preserve">户。 </w:t>
      </w:r>
    </w:p>
    <w:p w14:paraId="4E0354F6">
      <w:pPr>
        <w:pStyle w:val="8"/>
        <w:spacing w:before="0" w:beforeAutospacing="0" w:after="0" w:afterAutospacing="0" w:line="360" w:lineRule="auto"/>
        <w:ind w:firstLine="420"/>
        <w:rPr>
          <w:sz w:val="21"/>
          <w:szCs w:val="21"/>
          <w:highlight w:val="none"/>
        </w:rPr>
      </w:pPr>
      <w:r>
        <w:rPr>
          <w:rFonts w:hint="eastAsia"/>
          <w:sz w:val="21"/>
          <w:szCs w:val="21"/>
          <w:highlight w:val="none"/>
        </w:rPr>
        <w:t>本基金的运作方式为</w:t>
      </w:r>
      <w:bookmarkStart w:id="63" w:name="field_58_operation_1"/>
      <w:r>
        <w:rPr>
          <w:rFonts w:hint="eastAsia"/>
          <w:sz w:val="21"/>
          <w:szCs w:val="21"/>
          <w:highlight w:val="none"/>
        </w:rPr>
        <w:t>交易型开放式</w:t>
      </w:r>
      <w:bookmarkEnd w:id="63"/>
      <w:r>
        <w:rPr>
          <w:rFonts w:hint="eastAsia"/>
          <w:sz w:val="21"/>
          <w:szCs w:val="21"/>
          <w:highlight w:val="none"/>
        </w:rPr>
        <w:t>，存续期间为</w:t>
      </w:r>
      <w:bookmarkStart w:id="64" w:name="field_58_duration_1"/>
      <w:r>
        <w:rPr>
          <w:rFonts w:hint="eastAsia"/>
          <w:sz w:val="21"/>
          <w:szCs w:val="21"/>
          <w:highlight w:val="none"/>
        </w:rPr>
        <w:t>不定期</w:t>
      </w:r>
      <w:bookmarkEnd w:id="64"/>
      <w:r>
        <w:rPr>
          <w:rFonts w:hint="eastAsia"/>
          <w:sz w:val="21"/>
          <w:szCs w:val="21"/>
          <w:highlight w:val="none"/>
        </w:rPr>
        <w:t xml:space="preserve">。 </w:t>
      </w:r>
    </w:p>
    <w:p w14:paraId="6F29B380">
      <w:pPr>
        <w:pStyle w:val="8"/>
        <w:spacing w:before="0" w:beforeAutospacing="0" w:after="0" w:afterAutospacing="0" w:line="360" w:lineRule="auto"/>
        <w:ind w:firstLine="420"/>
        <w:rPr>
          <w:sz w:val="21"/>
          <w:szCs w:val="21"/>
          <w:highlight w:val="none"/>
        </w:rPr>
      </w:pPr>
      <w:r>
        <w:rPr>
          <w:rFonts w:hint="eastAsia"/>
          <w:b/>
          <w:bCs/>
          <w:sz w:val="21"/>
          <w:szCs w:val="21"/>
          <w:highlight w:val="none"/>
        </w:rPr>
        <w:t>二、基金合同的生效</w:t>
      </w:r>
    </w:p>
    <w:p w14:paraId="61FBBB39">
      <w:pPr>
        <w:pStyle w:val="8"/>
        <w:spacing w:before="0" w:beforeAutospacing="0" w:after="0" w:afterAutospacing="0" w:line="360" w:lineRule="auto"/>
        <w:ind w:firstLine="420"/>
        <w:rPr>
          <w:sz w:val="21"/>
          <w:szCs w:val="21"/>
          <w:highlight w:val="none"/>
        </w:rPr>
      </w:pPr>
      <w:bookmarkStart w:id="65" w:name="chapter_level1_9_58_section_1_end"/>
      <w:bookmarkEnd w:id="65"/>
      <w:r>
        <w:rPr>
          <w:rFonts w:hint="eastAsia"/>
          <w:sz w:val="21"/>
          <w:szCs w:val="21"/>
          <w:highlight w:val="none"/>
        </w:rPr>
        <w:t>本基金的基金合同已于</w:t>
      </w:r>
      <w:bookmarkStart w:id="66" w:name="field_0_foundday_1"/>
      <w:r>
        <w:rPr>
          <w:sz w:val="21"/>
          <w:szCs w:val="21"/>
          <w:highlight w:val="none"/>
        </w:rPr>
        <w:t>2021年5月11日</w:t>
      </w:r>
      <w:bookmarkEnd w:id="66"/>
      <w:r>
        <w:rPr>
          <w:rFonts w:hint="eastAsia"/>
          <w:sz w:val="21"/>
          <w:szCs w:val="21"/>
          <w:highlight w:val="none"/>
        </w:rPr>
        <w:t xml:space="preserve">正式生效。 </w:t>
      </w:r>
    </w:p>
    <w:p w14:paraId="208A10AC">
      <w:pPr>
        <w:pStyle w:val="8"/>
        <w:spacing w:before="0" w:beforeAutospacing="0" w:after="0" w:afterAutospacing="0" w:line="360" w:lineRule="auto"/>
        <w:ind w:firstLine="420"/>
        <w:rPr>
          <w:sz w:val="21"/>
          <w:szCs w:val="21"/>
          <w:highlight w:val="none"/>
        </w:rPr>
      </w:pPr>
      <w:bookmarkStart w:id="67" w:name="chapter_level1_9_58_section_2"/>
      <w:bookmarkEnd w:id="67"/>
      <w:r>
        <w:rPr>
          <w:rStyle w:val="12"/>
          <w:rFonts w:hint="eastAsia"/>
          <w:sz w:val="21"/>
          <w:szCs w:val="21"/>
          <w:highlight w:val="none"/>
        </w:rPr>
        <w:t>三、基金存续期内的基金份额持有人数量和资产规模</w:t>
      </w:r>
    </w:p>
    <w:p w14:paraId="13957B4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合同》生效后，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 </w:t>
      </w:r>
    </w:p>
    <w:p w14:paraId="27620F52">
      <w:pPr>
        <w:pStyle w:val="8"/>
        <w:spacing w:before="0" w:beforeAutospacing="0" w:after="0" w:afterAutospacing="0" w:line="360" w:lineRule="auto"/>
        <w:ind w:firstLine="420"/>
        <w:rPr>
          <w:sz w:val="21"/>
          <w:szCs w:val="21"/>
          <w:highlight w:val="none"/>
        </w:rPr>
      </w:pPr>
      <w:bookmarkStart w:id="68" w:name="chapter_level1_9_58_section_2_end"/>
      <w:bookmarkEnd w:id="68"/>
      <w:r>
        <w:rPr>
          <w:rFonts w:hint="eastAsia"/>
          <w:sz w:val="21"/>
          <w:szCs w:val="21"/>
          <w:highlight w:val="none"/>
        </w:rPr>
        <w:t xml:space="preserve">法律法规或中国证监会另有规定时，从其规定。 </w:t>
      </w:r>
    </w:p>
    <w:p w14:paraId="248AD1A1">
      <w:pPr>
        <w:widowControl/>
        <w:jc w:val="left"/>
        <w:rPr>
          <w:rFonts w:ascii="宋体" w:hAnsi="宋体" w:eastAsia="宋体"/>
          <w:highlight w:val="none"/>
        </w:rPr>
      </w:pPr>
      <w:r>
        <w:rPr>
          <w:rFonts w:ascii="宋体" w:hAnsi="宋体" w:eastAsia="宋体"/>
          <w:highlight w:val="none"/>
        </w:rPr>
        <w:br w:type="page"/>
      </w:r>
    </w:p>
    <w:p w14:paraId="3DBEEF4D">
      <w:pPr>
        <w:pStyle w:val="2"/>
        <w:jc w:val="center"/>
        <w:rPr>
          <w:rFonts w:ascii="宋体" w:hAnsi="宋体" w:eastAsia="宋体"/>
          <w:sz w:val="30"/>
          <w:highlight w:val="none"/>
        </w:rPr>
      </w:pPr>
      <w:bookmarkStart w:id="69" w:name="_Toc207933748"/>
      <w:bookmarkStart w:id="70" w:name="chapter_level1_10_56175"/>
      <w:r>
        <w:rPr>
          <w:rFonts w:hint="eastAsia" w:ascii="宋体" w:hAnsi="宋体" w:eastAsia="宋体"/>
          <w:sz w:val="30"/>
          <w:highlight w:val="none"/>
        </w:rPr>
        <w:t>第七部分  基金的份额折算与变更登记</w:t>
      </w:r>
      <w:bookmarkEnd w:id="69"/>
      <w:bookmarkEnd w:id="70"/>
    </w:p>
    <w:p w14:paraId="2C75D9D0">
      <w:pPr>
        <w:pStyle w:val="8"/>
        <w:spacing w:before="0" w:beforeAutospacing="0" w:after="0" w:afterAutospacing="0" w:line="360" w:lineRule="auto"/>
        <w:ind w:firstLine="420"/>
        <w:rPr>
          <w:sz w:val="21"/>
          <w:szCs w:val="21"/>
          <w:highlight w:val="none"/>
        </w:rPr>
      </w:pPr>
      <w:bookmarkStart w:id="71" w:name="chapter_level1_10_56175_section_1"/>
      <w:bookmarkEnd w:id="71"/>
      <w:r>
        <w:rPr>
          <w:rFonts w:hint="eastAsia"/>
          <w:sz w:val="21"/>
          <w:szCs w:val="21"/>
          <w:highlight w:val="none"/>
        </w:rPr>
        <w:t xml:space="preserve">基金合同生效后，本基金可以进行份额折算。 </w:t>
      </w:r>
    </w:p>
    <w:p w14:paraId="70906B9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一、基金份额折算的时间 </w:t>
      </w:r>
    </w:p>
    <w:p w14:paraId="7BAA4BE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基金管理人应事先确定基金份额折算日，并依照《信息披露办法》的有关规定进行公告。 </w:t>
      </w:r>
    </w:p>
    <w:p w14:paraId="1052D70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二、基金份额折算的原则 </w:t>
      </w:r>
    </w:p>
    <w:p w14:paraId="0E5D68C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基金份额折算由基金管理人向登记机构申请办理，并由登记机构进行基金份额的变更登记。 </w:t>
      </w:r>
    </w:p>
    <w:p w14:paraId="45112E7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折算后，本基金的基金份额总额与基金份额持有人持有的基金份额数额将发生调整，但调整后的基金份额持有人持有的基金份额占基金份额总额的比例不发生变化。基金份额折算对基金份额持有人的权益无实质性影响（因尾数处理而产生的损益不视为实质性影响）。基金份额折算后，基金份额持有人将按照折算后的基金份额享有权利并承担义务。 </w:t>
      </w:r>
    </w:p>
    <w:p w14:paraId="06A973B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如果基金份额折算过程中发生不可抗力，基金管理人可延迟办理基金份额折算。 </w:t>
      </w:r>
    </w:p>
    <w:p w14:paraId="3128713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三、基金份额折算的方法 </w:t>
      </w:r>
    </w:p>
    <w:p w14:paraId="02ED105B">
      <w:pPr>
        <w:pStyle w:val="8"/>
        <w:spacing w:before="0" w:beforeAutospacing="0" w:after="0" w:afterAutospacing="0" w:line="360" w:lineRule="auto"/>
        <w:ind w:firstLine="420"/>
        <w:rPr>
          <w:sz w:val="21"/>
          <w:szCs w:val="21"/>
          <w:highlight w:val="none"/>
        </w:rPr>
      </w:pPr>
      <w:bookmarkStart w:id="72" w:name="chapter_level1_10_56175_section_1_end"/>
      <w:bookmarkEnd w:id="72"/>
      <w:r>
        <w:rPr>
          <w:rFonts w:hint="eastAsia"/>
          <w:sz w:val="21"/>
          <w:szCs w:val="21"/>
          <w:highlight w:val="none"/>
        </w:rPr>
        <w:t xml:space="preserve">基金份额折算的具体方法在份额折算公告中列示。 </w:t>
      </w:r>
    </w:p>
    <w:p w14:paraId="51C955A3">
      <w:pPr>
        <w:widowControl/>
        <w:jc w:val="left"/>
        <w:rPr>
          <w:rFonts w:ascii="宋体" w:hAnsi="宋体" w:eastAsia="宋体"/>
          <w:highlight w:val="none"/>
        </w:rPr>
      </w:pPr>
      <w:r>
        <w:rPr>
          <w:rFonts w:ascii="宋体" w:hAnsi="宋体" w:eastAsia="宋体"/>
          <w:highlight w:val="none"/>
        </w:rPr>
        <w:br w:type="page"/>
      </w:r>
    </w:p>
    <w:p w14:paraId="51570CB1">
      <w:pPr>
        <w:pStyle w:val="2"/>
        <w:jc w:val="center"/>
        <w:rPr>
          <w:rFonts w:ascii="宋体" w:hAnsi="宋体" w:eastAsia="宋体"/>
          <w:sz w:val="30"/>
          <w:highlight w:val="none"/>
        </w:rPr>
      </w:pPr>
      <w:bookmarkStart w:id="73" w:name="chapter_level1_11_56176"/>
      <w:bookmarkStart w:id="74" w:name="_Toc207933749"/>
      <w:r>
        <w:rPr>
          <w:rFonts w:hint="eastAsia" w:ascii="宋体" w:hAnsi="宋体" w:eastAsia="宋体"/>
          <w:sz w:val="30"/>
          <w:highlight w:val="none"/>
        </w:rPr>
        <w:t>第八部分  基金份额的上市交易</w:t>
      </w:r>
      <w:bookmarkEnd w:id="73"/>
      <w:bookmarkEnd w:id="74"/>
    </w:p>
    <w:p w14:paraId="079176E5">
      <w:pPr>
        <w:pStyle w:val="8"/>
        <w:spacing w:before="0" w:beforeAutospacing="0" w:after="0" w:afterAutospacing="0" w:line="360" w:lineRule="auto"/>
        <w:ind w:firstLine="420"/>
        <w:rPr>
          <w:sz w:val="21"/>
          <w:szCs w:val="21"/>
          <w:highlight w:val="none"/>
        </w:rPr>
      </w:pPr>
      <w:bookmarkStart w:id="75" w:name="chapter_level1_11_56176_section_1"/>
      <w:bookmarkEnd w:id="75"/>
      <w:r>
        <w:rPr>
          <w:rStyle w:val="12"/>
          <w:rFonts w:hint="eastAsia"/>
          <w:sz w:val="21"/>
          <w:szCs w:val="21"/>
          <w:highlight w:val="none"/>
        </w:rPr>
        <w:t>一、基金上市</w:t>
      </w:r>
    </w:p>
    <w:p w14:paraId="4E30A9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基金合同生效后，如基金具备如下条件，在符合上海证券交易所相关规定的条件下，本基金可申请在上海证券交易所上市交易。 </w:t>
      </w:r>
    </w:p>
    <w:p w14:paraId="39FBA84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1、本基金场内资产净值不少于2亿元； </w:t>
      </w:r>
    </w:p>
    <w:p w14:paraId="24D734C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2、本基金场内份额持有人不少于1000人； </w:t>
      </w:r>
    </w:p>
    <w:p w14:paraId="14175F8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3、符合上海证券交易所规定的其他条件。 </w:t>
      </w:r>
    </w:p>
    <w:p w14:paraId="4919544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基金上市前，基金管理人应与上海证券交易所签订上市协议书。基金获准在上海证券交易所上市的，基金管理人应按照相关规定发布基金上市交易公告书。 </w:t>
      </w:r>
    </w:p>
    <w:p w14:paraId="07189D74">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二、基金份额的上市交易</w:t>
      </w:r>
    </w:p>
    <w:p w14:paraId="1DAA4C8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基金份额在上海证券交易所的上市交易应遵照《上海证券交易所交易规则》、《上海证券交易所证券投资基金上市规则》、《上海证券交易所交易型开放式指数基金业务实施细则》等有关规定。 </w:t>
      </w:r>
    </w:p>
    <w:p w14:paraId="3A2AD194">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三、上市交易的时间</w:t>
      </w:r>
    </w:p>
    <w:p w14:paraId="68D8482A">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本基金的基金份额于2021年5月20日在上海证券交易所上市交易。</w:t>
      </w:r>
    </w:p>
    <w:p w14:paraId="7C772499">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四、终止上市交易</w:t>
      </w:r>
    </w:p>
    <w:p w14:paraId="20C8961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基金份额上市交易后，有下列情形的，上海证券交易所可终止基金的上市交易： </w:t>
      </w:r>
    </w:p>
    <w:p w14:paraId="513C255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1、不再具备本部分第一条规定的上市条件； </w:t>
      </w:r>
    </w:p>
    <w:p w14:paraId="06E4D25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2、基金合同终止； </w:t>
      </w:r>
    </w:p>
    <w:p w14:paraId="392FB41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3、基金份额持有人大会决定终止上市； </w:t>
      </w:r>
    </w:p>
    <w:p w14:paraId="587CE3C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4、基金合同约定的终止上市的其他情形； </w:t>
      </w:r>
    </w:p>
    <w:p w14:paraId="4A31D26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5、上海证券交易所认为应当终止上市的其他情形。 </w:t>
      </w:r>
    </w:p>
    <w:p w14:paraId="480D7A2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基金管理人应当在收到上海证券交易所终止基金上市的决定之日起依照《信息披露办法》发布基金终止上市公告。 </w:t>
      </w:r>
    </w:p>
    <w:p w14:paraId="240F69C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若因上述1、4、5项等原因使本基金不再具备上市条件而被上海证券交易所终止上市的，本基金将由交易型开放式基金变更为跟踪标的指数的非上市的开放式基金，而无需召开基金份额持有人大会。若届时本基金管理人已有以该指数作为标的指数的指数基金，则本基金将本着维护投资者合法权益的原则，履行适当的程序后与该指数基金合并或选取其他合适的指数作为标的指数。 </w:t>
      </w:r>
    </w:p>
    <w:p w14:paraId="157800A8">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五、基金份额参考净值的计算与公告</w:t>
      </w:r>
    </w:p>
    <w:p w14:paraId="3B173E9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或基金管理人委托的机构在开市后根据基金管理人提供的申购赎回清单和组合证券内各只证券的实时成交数据及汇率数据计算并通过上海证券交易所发布的基金份额参考净值，供投资人交易、申购、赎回基金份额时参考。 </w:t>
      </w:r>
    </w:p>
    <w:p w14:paraId="17C55A9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（1）基金份额参考净值的计算公式： </w:t>
      </w:r>
    </w:p>
    <w:p w14:paraId="16E0C5D8">
      <w:pPr>
        <w:pStyle w:val="8"/>
        <w:spacing w:before="0" w:beforeAutospacing="0" w:after="0" w:afterAutospacing="0" w:line="360" w:lineRule="auto"/>
        <w:ind w:firstLine="420"/>
        <w:rPr>
          <w:sz w:val="21"/>
          <w:szCs w:val="21"/>
          <w:highlight w:val="none"/>
        </w:rPr>
      </w:pPr>
      <w:r>
        <w:rPr>
          <w:rFonts w:hint="eastAsia"/>
          <w:sz w:val="21"/>
          <w:szCs w:val="21"/>
          <w:highlight w:val="none"/>
        </w:rPr>
        <w:t>基金份额参考净值＝（申购赎回清单中必须用现金替代的固定替代金额总额＋申购赎回清单中</w:t>
      </w:r>
      <w:r>
        <w:rPr>
          <w:rFonts w:hint="eastAsia"/>
          <w:sz w:val="21"/>
          <w:szCs w:val="21"/>
          <w:highlight w:val="none"/>
          <w:lang w:val="en-US" w:eastAsia="zh-CN"/>
        </w:rPr>
        <w:t>可以</w:t>
      </w:r>
      <w:r>
        <w:rPr>
          <w:rFonts w:hint="eastAsia"/>
          <w:sz w:val="21"/>
          <w:szCs w:val="21"/>
          <w:highlight w:val="none"/>
        </w:rPr>
        <w:t xml:space="preserve">现金替代成份证券的数量、最新成交价以及汇率公允价的乘积之和＋申购赎回清单中的预估现金部分）／最小申购赎回单位所对应的基金份额  </w:t>
      </w:r>
    </w:p>
    <w:p w14:paraId="7921DCD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（2）汇率公允价包括指数公司在发布和计算境外指数产品中采用的实时汇率价格、基金管理人审慎决定的其他公允价格等。 </w:t>
      </w:r>
    </w:p>
    <w:p w14:paraId="27C1A77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（3）基金份额参考净值的计算以四舍五入的方法保留小数点后4位。  </w:t>
      </w:r>
    </w:p>
    <w:p w14:paraId="3CFF975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（4）上海证券交易所和基金管理人可以调整基金份额参考净值的计算方法及保留的小数点位数，并予以公告。 </w:t>
      </w:r>
    </w:p>
    <w:p w14:paraId="59A44BE0">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六、若上海证券交易所、中国证券登记结算有限责任公司增加了基金上市交易的新功能，基金管理人可以在履行适当的程序后增加相应功能。</w:t>
      </w:r>
    </w:p>
    <w:p w14:paraId="42561B98">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七、在对基金份额持有人利益无实质性不利影响的前提下，基金管理人在与基金托管人协商一致后，可申请在其他证券交易所同时挂牌交易，而无需召开基金份额持有人大会审议。</w:t>
      </w:r>
    </w:p>
    <w:p w14:paraId="47DBD8CF">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八、相关法律法规、中国证监会、登记机构及上海证券交易所对基金上市交易的规则等相关规定内容进行调整的，基金合同相应予以修改，并按照新规定执行，且此项修改无</w:t>
      </w:r>
      <w:bookmarkStart w:id="76" w:name="chapter_level1_11_56176_section_1_end"/>
      <w:bookmarkEnd w:id="76"/>
      <w:r>
        <w:rPr>
          <w:rStyle w:val="12"/>
          <w:rFonts w:hint="eastAsia"/>
          <w:sz w:val="21"/>
          <w:szCs w:val="21"/>
          <w:highlight w:val="none"/>
        </w:rPr>
        <w:t>须召开基金份额持有人大会。</w:t>
      </w:r>
    </w:p>
    <w:p w14:paraId="403CAAFA">
      <w:pPr>
        <w:widowControl/>
        <w:jc w:val="left"/>
        <w:rPr>
          <w:rFonts w:ascii="宋体" w:hAnsi="宋体" w:eastAsia="宋体"/>
          <w:highlight w:val="none"/>
        </w:rPr>
      </w:pPr>
      <w:r>
        <w:rPr>
          <w:rFonts w:ascii="宋体" w:hAnsi="宋体" w:eastAsia="宋体"/>
          <w:highlight w:val="none"/>
        </w:rPr>
        <w:br w:type="page"/>
      </w:r>
    </w:p>
    <w:p w14:paraId="4E9BDEA6">
      <w:pPr>
        <w:pStyle w:val="2"/>
        <w:jc w:val="center"/>
        <w:rPr>
          <w:rFonts w:ascii="宋体" w:hAnsi="宋体" w:eastAsia="宋体"/>
          <w:sz w:val="30"/>
          <w:highlight w:val="none"/>
        </w:rPr>
      </w:pPr>
      <w:bookmarkStart w:id="77" w:name="_Toc207933750"/>
      <w:bookmarkStart w:id="78" w:name="chapter_level1_12_56178"/>
      <w:r>
        <w:rPr>
          <w:rFonts w:hint="eastAsia" w:ascii="宋体" w:hAnsi="宋体" w:eastAsia="宋体"/>
          <w:sz w:val="30"/>
          <w:highlight w:val="none"/>
        </w:rPr>
        <w:t>第九部分 基金转型的情况</w:t>
      </w:r>
      <w:bookmarkEnd w:id="77"/>
      <w:bookmarkEnd w:id="78"/>
    </w:p>
    <w:p w14:paraId="1057FFCE">
      <w:pPr>
        <w:pStyle w:val="8"/>
        <w:spacing w:before="0" w:beforeAutospacing="0" w:after="0" w:afterAutospacing="0" w:line="360" w:lineRule="auto"/>
        <w:ind w:firstLine="420"/>
        <w:rPr>
          <w:sz w:val="21"/>
          <w:szCs w:val="21"/>
          <w:highlight w:val="none"/>
        </w:rPr>
      </w:pPr>
      <w:bookmarkStart w:id="79" w:name="chapter_level1_12_56178_section_1"/>
      <w:bookmarkEnd w:id="79"/>
      <w:r>
        <w:rPr>
          <w:rFonts w:hint="eastAsia"/>
          <w:sz w:val="21"/>
          <w:szCs w:val="21"/>
          <w:highlight w:val="none"/>
        </w:rPr>
        <w:t>一、当本基金发生《上海证券交易所证券投资基金上市规则》规定的因不再具备上市条件而应当终止上市的情形时，在不违反法律法规及对基金份额持有人利益无实质性不利影响的前提下，经履行适当的程序后，本基金将转型为非上市的开放式指数基金，基金名称变更为“博时恒生港股通</w:t>
      </w:r>
      <w:r>
        <w:rPr>
          <w:rFonts w:hint="eastAsia"/>
          <w:sz w:val="21"/>
          <w:szCs w:val="21"/>
          <w:highlight w:val="none"/>
          <w:lang w:eastAsia="zh-CN"/>
        </w:rPr>
        <w:t>红利</w:t>
      </w:r>
      <w:r>
        <w:rPr>
          <w:rFonts w:hint="eastAsia"/>
          <w:sz w:val="21"/>
          <w:szCs w:val="21"/>
          <w:highlight w:val="none"/>
        </w:rPr>
        <w:t xml:space="preserve">指数证券投资基金”，无需召开基金份额持有人大会。若届时本基金管理人已有以该指数作为标的指数的指数基金，基金管理人将本着维护基金份额持有人合法权益的原则，履行适当的程序后可以选取其他合适的指数作为标的指数。 </w:t>
      </w:r>
    </w:p>
    <w:p w14:paraId="027F8A6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基金转型并终止上市后，对于场内份额的处理、申购赎回等规则由基金管理人提前制定并公告。 </w:t>
      </w:r>
    </w:p>
    <w:p w14:paraId="5D16F4A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二、转型后“基金的投资”部分将相应修订以下内容，其他部分由基金管理人根据转型后的实际情况相应调整 </w:t>
      </w:r>
    </w:p>
    <w:p w14:paraId="3189FAE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（一）投资目标 </w:t>
      </w:r>
    </w:p>
    <w:p w14:paraId="4427BE19">
      <w:pPr>
        <w:pStyle w:val="8"/>
        <w:spacing w:before="0" w:beforeAutospacing="0" w:after="0" w:afterAutospacing="0" w:line="360" w:lineRule="auto"/>
        <w:ind w:firstLine="420"/>
        <w:rPr>
          <w:sz w:val="21"/>
          <w:szCs w:val="21"/>
          <w:highlight w:val="none"/>
        </w:rPr>
      </w:pPr>
      <w:bookmarkStart w:id="80" w:name="field_60_investmenttarget_1_start"/>
      <w:bookmarkEnd w:id="80"/>
      <w:r>
        <w:rPr>
          <w:rFonts w:hint="eastAsia"/>
          <w:sz w:val="21"/>
          <w:szCs w:val="21"/>
          <w:highlight w:val="none"/>
        </w:rPr>
        <w:t xml:space="preserve">紧密跟踪标的指数，追求跟踪偏离度和跟踪误差的最小化。 </w:t>
      </w:r>
      <w:bookmarkStart w:id="81" w:name="field_60_investmenttarget_1_end"/>
      <w:bookmarkEnd w:id="81"/>
      <w:r>
        <w:rPr>
          <w:rFonts w:hint="eastAsia"/>
          <w:sz w:val="21"/>
          <w:szCs w:val="21"/>
          <w:highlight w:val="none"/>
        </w:rPr>
        <w:t xml:space="preserve">  </w:t>
      </w:r>
    </w:p>
    <w:p w14:paraId="4D38E79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（二）基金的投资范围 </w:t>
      </w:r>
    </w:p>
    <w:p w14:paraId="07D6499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本基金主要投资于标的指数成份股和备选成份股（含存托凭证）。 </w:t>
      </w:r>
    </w:p>
    <w:p w14:paraId="5F80074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为更好地实现基金的投资目标，本基金可少量投资于依法发行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46A82F9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根据法律法规的规定参与融资及转融通证券出借业务。未来在法律法规允许的前提下，本基金可根据相关法律法规规定参与融券业务。本基金根据相关法律法规或中国证监会要求履行相关手续后，还可以投资于法律法规或中国证监会未来允许基金投资的其他金融工具。 </w:t>
      </w:r>
    </w:p>
    <w:p w14:paraId="3AF9E4D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于标的指数成份股和备选成份股（含存托凭证）的资产比例不低于基金资产净值的90%；每个交易日日终在扣除国债期货、股指期货和股票期权合约需缴纳的交易保证金后，保持不低于基金资产净值5%的现金或者到期日在一年以内的政府债券，其中现金不包括结算备付金、存出保证金和应收申购款等；国债期货、股指期货、股票期权及其他金融工具的投资比例依照法律法规或监管机构的规定执行。  </w:t>
      </w:r>
    </w:p>
    <w:p w14:paraId="3CBDA3C1">
      <w:pPr>
        <w:pStyle w:val="8"/>
        <w:spacing w:before="0" w:beforeAutospacing="0" w:after="0" w:afterAutospacing="0" w:line="360" w:lineRule="auto"/>
        <w:ind w:firstLine="420"/>
        <w:rPr>
          <w:sz w:val="21"/>
          <w:szCs w:val="21"/>
          <w:highlight w:val="none"/>
        </w:rPr>
      </w:pPr>
      <w:r>
        <w:rPr>
          <w:rFonts w:hint="eastAsia"/>
          <w:sz w:val="21"/>
          <w:szCs w:val="21"/>
          <w:highlight w:val="none"/>
        </w:rPr>
        <w:t>若法律法规的相关规定发生变更或监管机构允许，本基金管理人在履行适当程序后，可对上述资产配置比例进行调整。</w:t>
      </w:r>
    </w:p>
    <w:p w14:paraId="0DC2000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（三）投资策略 </w:t>
      </w:r>
    </w:p>
    <w:p w14:paraId="181E92C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1、组合复制策略  </w:t>
      </w:r>
    </w:p>
    <w:p w14:paraId="7C8E8CE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14:paraId="18F39E4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  </w:t>
      </w:r>
    </w:p>
    <w:p w14:paraId="43885C4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14:paraId="7493A50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按规定在规定媒介公告，并阐明变更复制方法的原因。  </w:t>
      </w:r>
    </w:p>
    <w:p w14:paraId="388D9E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2、债券（含可转换债券、可交换债券）投资策略  </w:t>
      </w:r>
    </w:p>
    <w:p w14:paraId="629EBE8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本基金债券投资组合将着重考虑基金的流动性管理及策略性投资的需要，选取到期日在一年以内的政府债券进行配置。债券投资的目的是保证基金资产流动性，有效利用基金资产，提高基金资产的投资收益。  </w:t>
      </w:r>
    </w:p>
    <w:p w14:paraId="13ED8CA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2BEF7EA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3BC8B85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3、资产支持证券的投资策略  </w:t>
      </w:r>
    </w:p>
    <w:p w14:paraId="09FE6B6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7C89299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4、非成份股的股票投资策略  </w:t>
      </w:r>
    </w:p>
    <w:p w14:paraId="6325BCB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在特殊情况下，本基金将少量投资于非成份股的港股通标的股票等其他股票。  </w:t>
      </w:r>
    </w:p>
    <w:p w14:paraId="4FE1DF5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5、存托凭证投资策略  </w:t>
      </w:r>
    </w:p>
    <w:p w14:paraId="295B6E4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本基金将根据本基金的投资目标和股票投资策略，基于对基础证券投资价值的深入研究判断，进行存托凭证的投资。  </w:t>
      </w:r>
    </w:p>
    <w:p w14:paraId="18B67D3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6、衍生品投资策略  </w:t>
      </w:r>
    </w:p>
    <w:p w14:paraId="534C795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（1）国债期货投资策略  </w:t>
      </w:r>
    </w:p>
    <w:p w14:paraId="66F1A4C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本基金将根据风险管理的原则，以套期保值为目的，在风险可控的前提下，本着谨慎原则，参与国债期货的投资，改善组合的风险收益特性。  </w:t>
      </w:r>
    </w:p>
    <w:p w14:paraId="7F1FA64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（2）股指期货投资策略  </w:t>
      </w:r>
    </w:p>
    <w:p w14:paraId="254915E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本基金投资股指期货将根据风险管理的原则，以套期保值为目的，力争利用股指期货的杠杆作用，降低股票仓位频繁调整的交易成本和跟踪误差，达到有效跟踪标的指数的目的。  </w:t>
      </w:r>
    </w:p>
    <w:p w14:paraId="1FBF9EC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（3）股票期权投资策略  </w:t>
      </w:r>
    </w:p>
    <w:p w14:paraId="1CE3FF8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671C63D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本基金投资股票期权，基金管理人将根据审慎原则，建立股票期权交易决策部门或小组，授权特定的管理人员负责股票期权的投资审批事项，以防范股票期权投资的风险。  </w:t>
      </w:r>
    </w:p>
    <w:p w14:paraId="07EB3BB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7、融资、融券及转融通证券出借策略  </w:t>
      </w:r>
    </w:p>
    <w:p w14:paraId="781E337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品类、期限和比例。若相关融资及转融通证券出借业务法律法规发生变化，本基金将从其最新规定，以符合上述法律法规和监管要求的变化。未来在法律法规允许的前提下，本基金将依据法律法规的相关规定参与融券业务。  </w:t>
      </w:r>
    </w:p>
    <w:p w14:paraId="4436EAE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8、流通受限证券投资策略  </w:t>
      </w:r>
    </w:p>
    <w:p w14:paraId="1D9ED45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本基金将在制度许可范围内和充分考虑风险收益特征的基础上，审慎参与投资非公开发行股票、公开发行股票网下配售部分、战略配售股票等在发行时明确一定期限锁定期的可交易证券。  </w:t>
      </w:r>
    </w:p>
    <w:p w14:paraId="23ED13D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本基金从估值水平和发展前景两个角度出发，精选具有估值优势和成长优势的股票进行投资，追求基金资产的长期稳定增值。  </w:t>
      </w:r>
    </w:p>
    <w:p w14:paraId="20DE1F3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未来，随着投资工具的发展和丰富，本基金可在不改变投资目标的前提下，相应调整和更新相关投资策略，并在招募说明更新中公告。  </w:t>
      </w:r>
    </w:p>
    <w:p w14:paraId="173E2DD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（四）基金的投资限制 </w:t>
      </w:r>
    </w:p>
    <w:p w14:paraId="0596F9A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（1）本基金投资于标的指数成份股和备选成份股（含存托凭证）的资产比例不低于基金资产净值的90%； </w:t>
      </w:r>
    </w:p>
    <w:p w14:paraId="4924144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每个交易日日终在扣除国债期货、股指期货和股票期权合约需缴纳的交易保证金后，保持不低于基金资产净值5%的现金或者到期日在一年以内的政府债券，其中现金不包括结算备付金、存出保证金和应收申购款等； </w:t>
      </w:r>
    </w:p>
    <w:p w14:paraId="3B9AD43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（3）本基金参与股指期货交易依据下列标准建构组合： </w:t>
      </w:r>
    </w:p>
    <w:p w14:paraId="06CE67E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任何交易日日终，持有的买入股指期货合约价值，不得超过基金资产净值的10%；在任何交易日日终，持有的卖出股指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有关约定； </w:t>
      </w:r>
    </w:p>
    <w:p w14:paraId="37815C4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（4）本基金参与国债期货交易依据下列标准建构组合： </w:t>
      </w:r>
    </w:p>
    <w:p w14:paraId="7D833B8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任何交易日日终，持有的买入国债期货合约价值，不得超过基金资产净值的15%；在任何交易日日终，持有的卖出国债期货合约价值不得超过基金持有的债券总市值的30%；在任何交易日内交易（不包括平仓）的国债期货合约的成交金额不得超过上一交易日基金资产净值的30%；本基金所持有的债券（不含到期日在一年以内的政府债券）市值和买入、卖出国债期货合约价值，合计（轧差计算）应当符合基金合同关于债券投资比例的有关约定； </w:t>
      </w:r>
    </w:p>
    <w:p w14:paraId="016419D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23882FC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（6）本基金持有的全部资产支持证券，其市值不得超过基金资产净值的20％； </w:t>
      </w:r>
    </w:p>
    <w:p w14:paraId="38220A3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（7）本基金投资于同一原始权益人的各类资产支持证券的比例，不得超过基金资产净值的10％； </w:t>
      </w:r>
    </w:p>
    <w:p w14:paraId="6B4F440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（8）本基金持有的同一(指同一信用级别)资产支持证券的比例，不得超过该资产支持证券规模的10％； </w:t>
      </w:r>
    </w:p>
    <w:p w14:paraId="1251701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（9）本基金管理人管理的全部基金投资于同一原始权益人的各类资产支持证券，不得超过其各类资产支持证券合计规模的10％； </w:t>
      </w:r>
    </w:p>
    <w:p w14:paraId="50AB556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（10）本基金应投资于信用级别评级为BBB以上(含BBB)的资产支持证券。基金持有资产支持证券期间，如果其信用等级下降、不再符合投资标准，应在评级报告发布之日起3个月内予以全部卖出； </w:t>
      </w:r>
    </w:p>
    <w:p w14:paraId="4F10811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（11）基金财产参与股票发行申购，本基金所申报的金额不超过本基金的总资产，本基金所申报的股票数量不超过拟发行股票公司本次发行股票的总量； </w:t>
      </w:r>
    </w:p>
    <w:p w14:paraId="6776793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（12）本基金进入全国银行间同业市场进行债券回购的资金余额不得超过基金资产净值的40%；在全国银行间同业市场中的债券回购最长期限为1年，债券回购到期后不展期； </w:t>
      </w:r>
    </w:p>
    <w:p w14:paraId="32E21D1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（13）本基金资产总值不得超过基金资产净值的140%； </w:t>
      </w:r>
    </w:p>
    <w:p w14:paraId="6527DD8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（14）本基金参与融资的，在任何交易日日终，本基金持有的融资买入股票与其他有价证券市值之和，不得超过基金资产净值的95%； </w:t>
      </w:r>
    </w:p>
    <w:p w14:paraId="69AB9D0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（15）本基金参与转融通证券出借交易应当符合以下要求： </w:t>
      </w:r>
    </w:p>
    <w:p w14:paraId="727BB7D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1）出借证券资产不得超过基金资产净值的30%，出借期限在10个交易日以上的出借证券应纳入《流动性风险管理规定》所述流动性受限证券的范围； </w:t>
      </w:r>
    </w:p>
    <w:p w14:paraId="75F9C12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2）参与出借业务的单只证券不得超过基金持有该证券总量的50%； </w:t>
      </w:r>
    </w:p>
    <w:p w14:paraId="1858A31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3）最近6个月内日均基金资产净值不得低于2亿元； </w:t>
      </w:r>
    </w:p>
    <w:p w14:paraId="79082F9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4）证券出借的平均剩余期限不得超过30天，平均剩余期限按照市值加权平均计算； </w:t>
      </w:r>
    </w:p>
    <w:p w14:paraId="2F5E2A3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因证券市场波动、上市公司合并、基金规模变动等基金管理人之外的因素致使基金投资不符合本条规定的，基金管理人不得新增出借业务； </w:t>
      </w:r>
    </w:p>
    <w:p w14:paraId="0833C01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16）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 </w:t>
      </w:r>
    </w:p>
    <w:p w14:paraId="5286ED5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（17）本基金投资流通受限证券，基金管理人应制订严格的投资决策流程和风险控制制度，防范流动性风险、法律风险和操作风险等各种风险； </w:t>
      </w:r>
    </w:p>
    <w:p w14:paraId="5F72458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701E50F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（19）本基金与私募类证券资管产品及中国证监会认定的其他主体为交易对手开展逆回购交易的，可接受质押品的资质要求应当与基金合同约定的投资范围保持一致； </w:t>
      </w:r>
    </w:p>
    <w:p w14:paraId="33B1ECD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（20）法律法规及中国证监会规定的和《基金合同》约定的其他投资限制。 </w:t>
      </w:r>
    </w:p>
    <w:p w14:paraId="2D0906B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除第（2）、（10）、（15）、（18）、（19）条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229C03D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自基金转型之日起6个月内使基金的投资组合比例符合基金合同的有关约定。在上述期间内，本基金的投资范围、投资策略应当符合基金合同的约定。基金托管人对基金的投资的监督与检查自本基金转型之日起开始。 </w:t>
      </w:r>
    </w:p>
    <w:p w14:paraId="596B44E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法律法规或监管部门取消或调整上述限制，如适用于本基金，基金管理人在履行适当程序后，则本基金投资不再受相关限制或按照调整后的规定执行。 </w:t>
      </w:r>
    </w:p>
    <w:p w14:paraId="5EE880C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（五）业绩比较基准 </w:t>
      </w:r>
    </w:p>
    <w:p w14:paraId="6E75EC8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本基金的标的指数为恒生港股通红利指数。</w:t>
      </w:r>
    </w:p>
    <w:p w14:paraId="4468512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本基金的业绩比较基准为：恒生港股通红利指数（港元）收益率。 </w:t>
      </w:r>
    </w:p>
    <w:p w14:paraId="3867D568">
      <w:pPr>
        <w:widowControl/>
        <w:jc w:val="left"/>
        <w:rPr>
          <w:rFonts w:ascii="宋体" w:hAnsi="宋体" w:eastAsia="宋体"/>
          <w:highlight w:val="none"/>
        </w:rPr>
      </w:pPr>
      <w:r>
        <w:rPr>
          <w:rFonts w:ascii="宋体" w:hAnsi="宋体" w:eastAsia="宋体"/>
          <w:highlight w:val="none"/>
        </w:rPr>
        <w:br w:type="page"/>
      </w:r>
    </w:p>
    <w:p w14:paraId="4E93ED95">
      <w:pPr>
        <w:pStyle w:val="2"/>
        <w:jc w:val="center"/>
        <w:rPr>
          <w:rFonts w:ascii="宋体" w:hAnsi="宋体" w:eastAsia="宋体"/>
          <w:sz w:val="30"/>
          <w:highlight w:val="none"/>
        </w:rPr>
      </w:pPr>
      <w:bookmarkStart w:id="82" w:name="_Toc207933751"/>
      <w:bookmarkStart w:id="83" w:name="chapter_level1_13_59"/>
      <w:r>
        <w:rPr>
          <w:rFonts w:hint="eastAsia" w:ascii="宋体" w:hAnsi="宋体" w:eastAsia="宋体"/>
          <w:sz w:val="30"/>
          <w:highlight w:val="none"/>
        </w:rPr>
        <w:t>第十部分  基金份额的申购与赎回</w:t>
      </w:r>
      <w:bookmarkEnd w:id="82"/>
      <w:bookmarkEnd w:id="83"/>
    </w:p>
    <w:p w14:paraId="1E204872">
      <w:pPr>
        <w:pStyle w:val="8"/>
        <w:spacing w:before="0" w:beforeAutospacing="0" w:after="0" w:afterAutospacing="0" w:line="360" w:lineRule="auto"/>
        <w:ind w:firstLine="420"/>
        <w:rPr>
          <w:sz w:val="21"/>
          <w:szCs w:val="21"/>
          <w:highlight w:val="none"/>
        </w:rPr>
      </w:pPr>
      <w:bookmarkStart w:id="84" w:name="chapter_level1_13_59_section_1"/>
      <w:bookmarkEnd w:id="84"/>
      <w:r>
        <w:rPr>
          <w:rFonts w:hint="eastAsia"/>
          <w:sz w:val="21"/>
          <w:szCs w:val="21"/>
          <w:highlight w:val="none"/>
        </w:rPr>
        <w:t xml:space="preserve">在目前结算规则下，本基金采用现金申购、赎回的方式运作。未来在条件允许的情况下，基金管理人可以在场内开通现金申购、赎回以外的方式办理申购、赎回业务，或开通场外申购、赎回相关业务，相应的业务规则、申购赎回原则等相关事项届时将另行约定并公告。  </w:t>
      </w:r>
    </w:p>
    <w:p w14:paraId="0D81ACEF">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一、申购和赎回场所</w:t>
      </w:r>
    </w:p>
    <w:p w14:paraId="6C1F93B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本基金投资人应当在申购赎回代理券商办理基金申购、赎回业务的营业场所或按申购赎回代理券商提供的其他方式办理本基金的申购和赎回。 </w:t>
      </w:r>
    </w:p>
    <w:p w14:paraId="49B4CAC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在开始申购、赎回业务前公告申购赎回代理券商的名单，并可依据实际情况变更申购赎回代理券商，并在基金管理人网站公示。基金管理人在确定、变更申购赎回代理券商名单时，均应在公告之前报请上海证券交易所认可。 </w:t>
      </w:r>
    </w:p>
    <w:p w14:paraId="7D89B53F">
      <w:pPr>
        <w:pStyle w:val="8"/>
        <w:spacing w:before="0" w:beforeAutospacing="0" w:after="0" w:afterAutospacing="0" w:line="360" w:lineRule="auto"/>
        <w:ind w:firstLine="420"/>
        <w:rPr>
          <w:sz w:val="21"/>
          <w:szCs w:val="21"/>
          <w:highlight w:val="none"/>
        </w:rPr>
      </w:pPr>
      <w:r>
        <w:rPr>
          <w:rFonts w:hint="eastAsia"/>
          <w:sz w:val="21"/>
          <w:szCs w:val="21"/>
          <w:highlight w:val="none"/>
        </w:rPr>
        <w:t>在法律法规、基金合同及未来条件允许的情况下，基金管理人直销机构可以开通申购赎</w:t>
      </w:r>
      <w:bookmarkStart w:id="85" w:name="chapter_level1_13_59_section_1_end"/>
      <w:bookmarkEnd w:id="85"/>
      <w:r>
        <w:rPr>
          <w:rFonts w:hint="eastAsia"/>
          <w:sz w:val="21"/>
          <w:szCs w:val="21"/>
          <w:highlight w:val="none"/>
        </w:rPr>
        <w:t xml:space="preserve">回业务，具体业务的办理时间及办理方式基金管理人将另行公告。 </w:t>
      </w:r>
    </w:p>
    <w:p w14:paraId="0B549DCB">
      <w:pPr>
        <w:pStyle w:val="8"/>
        <w:spacing w:before="0" w:beforeAutospacing="0" w:after="0" w:afterAutospacing="0" w:line="360" w:lineRule="auto"/>
        <w:ind w:firstLine="420"/>
        <w:rPr>
          <w:sz w:val="21"/>
          <w:szCs w:val="21"/>
          <w:highlight w:val="none"/>
        </w:rPr>
      </w:pPr>
      <w:bookmarkStart w:id="86" w:name="chapter_level1_13_59_section_2"/>
      <w:bookmarkEnd w:id="86"/>
      <w:r>
        <w:rPr>
          <w:rStyle w:val="12"/>
          <w:rFonts w:hint="eastAsia"/>
          <w:sz w:val="21"/>
          <w:szCs w:val="21"/>
          <w:highlight w:val="none"/>
        </w:rPr>
        <w:t>二、申购与赎回的开放日及时间</w:t>
      </w:r>
    </w:p>
    <w:p w14:paraId="2E69D7E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1、开放日及开放时间 </w:t>
      </w:r>
    </w:p>
    <w:p w14:paraId="425CF0A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本基金已于2021年5月20日开放日常申购、赎回业务。  </w:t>
      </w:r>
    </w:p>
    <w:p w14:paraId="4D24972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投资人在开放日办理基金份额的申购和赎回，具体办理时间为港股通、上海证券交易所同时正常开放交易的工作日，但基金管理人根据法律法规、中国证监会的要求或基金合同的规定公告暂停申购、赎回时除外。 </w:t>
      </w:r>
    </w:p>
    <w:p w14:paraId="47EAA4A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合同生效后，若出现新的证券交易市场、证券交易所交易时间变更、港股通交易规则变更或其他特殊情况，基金管理人将视情况对前述开放日及开放时间进行相应的调整，但应在实施日前依照《信息披露办法》的有关规定在规定媒介上公告。 </w:t>
      </w:r>
    </w:p>
    <w:p w14:paraId="7FD7007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2、申购、赎回开始日及业务办理时间 </w:t>
      </w:r>
    </w:p>
    <w:p w14:paraId="26DBE0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人在开放日办理基金份额的申购和赎回，具体办理时间为上海证券交易所、深圳证券交易所和本基金投资的境外主要市场同时开放交易的工作日（主要投资市场在招募说明书或相关公告中载明和更新），但基金管理人根据法律法规、中国证监会的要求或本基金合同 的规定公告暂停申购、赎回时除外。  </w:t>
      </w:r>
    </w:p>
    <w:p w14:paraId="1E4EBABA">
      <w:pPr>
        <w:pStyle w:val="8"/>
        <w:spacing w:before="0" w:beforeAutospacing="0" w:after="0" w:afterAutospacing="0" w:line="360" w:lineRule="auto"/>
        <w:ind w:firstLine="420"/>
        <w:rPr>
          <w:sz w:val="21"/>
          <w:szCs w:val="21"/>
          <w:highlight w:val="none"/>
        </w:rPr>
      </w:pPr>
      <w:r>
        <w:rPr>
          <w:rFonts w:hint="eastAsia"/>
          <w:sz w:val="21"/>
          <w:szCs w:val="21"/>
          <w:highlight w:val="none"/>
        </w:rPr>
        <w:t>基金合同生效后，若出现新的证券交易市场、证券交易所交易时间变更或其他特殊情况，基金管理人将视情况对前述开放日及开放时间进行相应的调整，但应在实施日前依照《信息</w:t>
      </w:r>
      <w:bookmarkStart w:id="87" w:name="chapter_level1_13_59_section_2_end"/>
      <w:bookmarkEnd w:id="87"/>
      <w:r>
        <w:rPr>
          <w:rFonts w:hint="eastAsia"/>
          <w:sz w:val="21"/>
          <w:szCs w:val="21"/>
          <w:highlight w:val="none"/>
        </w:rPr>
        <w:t xml:space="preserve">披露办法》的有关规定在规定媒介上公告。 </w:t>
      </w:r>
    </w:p>
    <w:p w14:paraId="6697C0B5">
      <w:pPr>
        <w:pStyle w:val="8"/>
        <w:spacing w:before="0" w:beforeAutospacing="0" w:after="0" w:afterAutospacing="0" w:line="360" w:lineRule="auto"/>
        <w:ind w:firstLine="420"/>
        <w:rPr>
          <w:sz w:val="21"/>
          <w:szCs w:val="21"/>
          <w:highlight w:val="none"/>
        </w:rPr>
      </w:pPr>
      <w:bookmarkStart w:id="88" w:name="chapter_level1_13_59_section_3"/>
      <w:bookmarkEnd w:id="88"/>
      <w:r>
        <w:rPr>
          <w:rFonts w:hint="eastAsia"/>
          <w:sz w:val="21"/>
          <w:szCs w:val="21"/>
          <w:highlight w:val="none"/>
        </w:rPr>
        <w:t xml:space="preserve">三、申购与赎回的原则  </w:t>
      </w:r>
    </w:p>
    <w:p w14:paraId="5F185BC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1、“份额申购、份额赎回”原则，即申购、赎回均以份额申请； </w:t>
      </w:r>
    </w:p>
    <w:p w14:paraId="6754D1B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2、本基金申购、赎回的币种为人民币；基金管理人可以在不违反法律法规规定的情况下，增加其他币种的申购、赎回，其他币种申购、赎回的具体规则届时将另行公告； </w:t>
      </w:r>
    </w:p>
    <w:p w14:paraId="131589C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3、本基金的申购对价、赎回对价包括现金替代、现金差额及其他对价； </w:t>
      </w:r>
    </w:p>
    <w:p w14:paraId="32F9A38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4、申购、赎回申请提交后不得撤销； </w:t>
      </w:r>
    </w:p>
    <w:p w14:paraId="22BA5F1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5、申购、赎回应遵守《业务规则》及其他相关规定； </w:t>
      </w:r>
    </w:p>
    <w:p w14:paraId="7FDAA17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6、办理申购、赎回业务时，应当遵循基金份额持有人利益优先原则，确保投资者的合法权益不受损害并得到公平对待。 </w:t>
      </w:r>
    </w:p>
    <w:p w14:paraId="442359D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基金管理人可在法律法规允许的情况下，对上述原则进行调整。基金管理人必须在新规则开始实施前依照《信息披露办法》的有关规定在规定媒介上公告。 </w:t>
      </w:r>
    </w:p>
    <w:p w14:paraId="13D1958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四、申购与赎回的程序 </w:t>
      </w:r>
    </w:p>
    <w:p w14:paraId="6747DAD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1、申购和赎回的申请方式 </w:t>
      </w:r>
    </w:p>
    <w:p w14:paraId="74BAC3F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投资人必须根据申购、赎回代理券商或基金管理人规定的程序，在开放日的具体业务办理时间内提出申购或赎回的申请。 </w:t>
      </w:r>
    </w:p>
    <w:p w14:paraId="43167D6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人交付申购对价，申购成立；登记机构确认申请时，申购生效。投资人在提交赎回申请时有足够的赎回对价，则赎回申请成立，登记机构确认赎回时，赎回生效。投资人在提交申购申请时须按申购赎回清单的规定备足申购对价，投资人在提交赎回申请时须持有足够的基金份额余额和现金，否则所提交的申购、赎回申请不成立。 </w:t>
      </w:r>
    </w:p>
    <w:p w14:paraId="387CFD9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2、申购和赎回申请的确认 </w:t>
      </w:r>
    </w:p>
    <w:p w14:paraId="125F411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投资人申购、赎回申请在受理当日进行确认。如投资人未能提供符合要求的申购对价，则申购申请不成立。如投资人持有的符合要求的基金份额不足或未能根据要求准备足额的现金，或本基金投资组合内不具备足额的符合要求的赎回对价或投资人提交的赎回申请超过基金管理人设定的当日净赎回份额上限、当日累计赎回份额上限、单个账户当日净赎回份额上限或单个账户当日累计赎回份额上限，则赎回申请不成立。 </w:t>
      </w:r>
    </w:p>
    <w:p w14:paraId="455C2B9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申购、赎回代理券商对申购、赎回申请的受理并不代表该申请一定成功，而仅代表申购、赎回代理券商确实接收到该申请。申购、赎回的确认以登记机构的确认结果为准。对于申购、赎回申请的确认情况，投资人应及时查询并妥善行使合法权利。 </w:t>
      </w:r>
    </w:p>
    <w:p w14:paraId="1D88DD8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当日申购的基金份额，清算交收完成后方可卖出和赎回；当日买入的基金份额，同日可以赎回；当日申购总额、赎回总额超出基金管理人设定限额的，超出额度的申购、赎回申报为无效申报。 </w:t>
      </w:r>
    </w:p>
    <w:p w14:paraId="43B2E23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如上海证券交易所、中国证券登记结算有限责任公司修改或更新上述规则并适用于本基金的，则按照新的规则执行，并在本招募说明书中进行更新，无需召开基金份额持有人大会。 </w:t>
      </w:r>
    </w:p>
    <w:p w14:paraId="6BAD409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3、申购和赎回的清算交收与登记 </w:t>
      </w:r>
    </w:p>
    <w:p w14:paraId="10DB641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本基金申购赎回过程中涉及的基金份额、现金替代、现金差额及其他对价的清算交收适用相关业务规则和参与各方相关协议的有关规定。  </w:t>
      </w:r>
    </w:p>
    <w:p w14:paraId="28A0D65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本基金申购业务采用实时逐笔全额结算（Real Time Gross Settlement）模式；赎回业务涉及的现金替代可采用代收代付处理；申购、赎回业务涉及的现金差额和现金替代退补款可采用代收代付处理。   </w:t>
      </w:r>
    </w:p>
    <w:p w14:paraId="13D1648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者T日申购成功后，如交易记录已勾单且申购资金足额的，登记结算机构在T日日间实时办理基金份额及现金替代的交收；T日日间未进行勾单确认或日间资金不足的，登记结算机构在T日日终根据资金是否足额办理基金份额及现金替代的清算交收，并将结果发送给基金管理人、申购赎回代理券商和基金托管人。登记结算机构在T+1日内办理现金差额的清算，在T+2日内办理现金差额的交收。若发生特殊情况，基金管理人可以对清算交收日期进行相应调整。  </w:t>
      </w:r>
    </w:p>
    <w:p w14:paraId="598E926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者T日赎回成功后，登记机构在T日收市后办理基金份额的注销；在T+1日办理现金差额的清算；在T+2日办理现金差额的交收，并将结果发送给申购赎回代理券商、基金管理人和基金托管人。赎回现金替代款的清算交收由基金管理人和申购赎回代理券商协商处理，正常情况下将自有效赎回申请之日起7个开放日内办理。若发生特殊情况（包括但不限于基金投资市场交易清算规则发生较大变化、港股通暂停交易或交收、基金赎回数额较大或组合证券内的部分证券因停牌、流动性不足等原因导致无法足额卖出等），基金管理人可以对清算交收日期进行相应调整。  </w:t>
      </w:r>
    </w:p>
    <w:p w14:paraId="7BAE7FD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如果登记机构、基金管理人、申购赎回代理券商之间在清算交收时发现不能正常履约的情形，则依据相关业务规则的有关规定和其他相关约定进行处理。  </w:t>
      </w:r>
    </w:p>
    <w:p w14:paraId="0FCA7D2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如上海证券交易所、中国证券登记结算有限责任公司修改或更新上述规则并适用于本基金的，则按照新的规则执行，并在本招募说明书中进行更新，无需召开基金份额持有人大会。  </w:t>
      </w:r>
    </w:p>
    <w:p w14:paraId="347DD53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人应按照基金合同的约定和申购、赎回代理券商的规定按时足额支付应付的现金差额和现金替代退补款。因投资人原因导致现金差额或现金替代退补款未能按时足额交收的，基金管理人有权为基金的利益向该投资人追偿，并要求其承担由此导致的其他基金份额持有人或基金资产的损失。  </w:t>
      </w:r>
    </w:p>
    <w:p w14:paraId="4A88F309">
      <w:pPr>
        <w:rPr>
          <w:rFonts w:ascii="宋体" w:hAnsi="宋体" w:eastAsia="宋体"/>
          <w:sz w:val="24"/>
          <w:szCs w:val="24"/>
          <w:highlight w:val="none"/>
        </w:rPr>
      </w:pPr>
      <w:r>
        <w:rPr>
          <w:rFonts w:ascii="宋体" w:hAnsi="宋体" w:eastAsia="宋体"/>
          <w:highlight w:val="none"/>
        </w:rPr>
        <w:t xml:space="preserve">基金管理人、登记机构可在法律法规允许的范围内，对清算交收和登记的办理时间、方式进行调整，并最迟于开始实施日前按照《信息披露办法》的有关规定在中国证监会规定媒介公告。  </w:t>
      </w:r>
    </w:p>
    <w:p w14:paraId="4074239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本基金获批后，若上海证券交易所和中国证券登记结算有限责任公司针对交易型开放式证券投资基金推出新的清算交收与登记模式并引入新的申购、赎回方式，本基金管理人将根据新的业务规则新增或调整申购和赎回申请的确认方式，届时将发布公告予以披露，并对本基金的基金合同和招募说明书予以更新，无须召开持有人大会审议。 </w:t>
      </w:r>
    </w:p>
    <w:p w14:paraId="201C98D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五、申购与赎回的数额限制 </w:t>
      </w:r>
    </w:p>
    <w:p w14:paraId="1076192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1、投资者申购、赎回的基金份额需为最小申购、赎回单位的整数倍。 </w:t>
      </w:r>
    </w:p>
    <w:p w14:paraId="10D55C6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本基金的最小申购赎回单位为150万份。 </w:t>
      </w:r>
    </w:p>
    <w:p w14:paraId="41318AF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2、基金管理人可以规定本基金当日申购份额及当日赎回份额上限，具体规定详见申购、赎回清单。 </w:t>
      </w:r>
    </w:p>
    <w:p w14:paraId="06574CB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3、基金管理人可以规定投资人每个交易账户的最低基金份额余额，具体规定请参见更新的招募说明书或相关公告。 </w:t>
      </w:r>
    </w:p>
    <w:p w14:paraId="5522BA6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4、基金管理人可以规定单个投资人累计持有的基金份额上限，具体规定请参见更新的招募说明书或相关公告。 </w:t>
      </w:r>
    </w:p>
    <w:p w14:paraId="7DB9D7F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当接受申购申请对存量基金份额持有人利益构成潜在重大不利影响时，基金管理人可以采取设定单一投资者申购份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 </w:t>
      </w:r>
    </w:p>
    <w:p w14:paraId="56DC000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可根据市场情况，在法律法规允许的情况下，调整上述规定数量或比例等限制。基金管理人必须在调整实施前依照《信息披露办法》的有关规定在规定媒介上公告（其中上述第2、3、4条基金管理人必须于前一交易日设定并在当日基金申购、赎回清单上公布，而不必在规定媒介上公告）。 </w:t>
      </w:r>
    </w:p>
    <w:p w14:paraId="33086B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六、申购与赎回的对价和费用 </w:t>
      </w:r>
    </w:p>
    <w:p w14:paraId="12E4586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申购对价、赎回对价根据申购、赎回清单和投资人申购、赎回的基金份额数额确定。申购对价是指投资人申购基金份额时应交付的现金替代、现金差额及其他对价。赎回对价是指投资人赎回基金份额时，基金管理人应交付给投资人的现金替代、现金差额及其他对价。 </w:t>
      </w:r>
    </w:p>
    <w:p w14:paraId="444BE5F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申购、赎回清单由基金管理人编制。T日的申购、赎回清单在当日上海证券交易所开市前公告。如遇特殊情况，可以适当延迟计算或公告。申购、赎回清单的内容与格式见下文“七、申购赎回清单的内容与格式”。 </w:t>
      </w:r>
    </w:p>
    <w:p w14:paraId="66C98A5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3、投资人在申购或赎回基金份额时，申购赎回代理券商可按照不超过0.5%的标准收取佣金，其中包含证券交易所、登记机构等收取的相关费用。 </w:t>
      </w:r>
    </w:p>
    <w:p w14:paraId="55608ED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本基金份额净值的计算，保留到小数点后4位，小数点后第5位四舍五入，由此产生的收益或损失由基金财产承担。T日的基金份额净值在当天收市后计算，并按照基金合同的约定公告。遇特殊情况，经履行适当程序，可以适当延迟计算或公告。 </w:t>
      </w:r>
    </w:p>
    <w:p w14:paraId="7A780D5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5、基金管理人可以在不违反相关法律法规的情况下对基金份额净值、申购赎回清单计算和公告时间进行调整并提前公告。 </w:t>
      </w:r>
    </w:p>
    <w:p w14:paraId="6746ED0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七、申购赎回清单的内容与格式 </w:t>
      </w:r>
    </w:p>
    <w:p w14:paraId="57E2B3D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1、申购赎回清单的内容 </w:t>
      </w:r>
    </w:p>
    <w:p w14:paraId="3C0D9B0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T日申购赎回清单公告内容包括最小申购、赎回单位所对应的组合证券内各成份证券数据、现金替代、T日预估现金部分、T-1日的现金差额、基金份额净值及其他相关内容。 </w:t>
      </w:r>
    </w:p>
    <w:p w14:paraId="0FBEC89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2、组合证券相关内容 </w:t>
      </w:r>
    </w:p>
    <w:p w14:paraId="589D5A9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组合证券是指本基金标的指数所包含的全部或部分证券。申购赎回清单将公告最小申购赎回单位所对应的各成份证券名称、证券代码及数量。 </w:t>
      </w:r>
    </w:p>
    <w:p w14:paraId="29C725D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3、现金替代相关内容 </w:t>
      </w:r>
    </w:p>
    <w:p w14:paraId="7418540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现金替代是指申购、赎回过程中，投资人按基金合同和招募说明书规定的原则，用于替代组合证券中部分证券的一定数量的现金。 </w:t>
      </w:r>
    </w:p>
    <w:p w14:paraId="2DA84467">
      <w:pPr>
        <w:pStyle w:val="8"/>
        <w:spacing w:before="0" w:beforeAutospacing="0" w:after="0" w:afterAutospacing="0" w:line="360" w:lineRule="auto"/>
        <w:ind w:firstLine="420"/>
        <w:rPr>
          <w:sz w:val="21"/>
          <w:szCs w:val="21"/>
          <w:highlight w:val="none"/>
        </w:rPr>
      </w:pPr>
      <w:r>
        <w:rPr>
          <w:rFonts w:hint="eastAsia"/>
          <w:sz w:val="21"/>
          <w:szCs w:val="21"/>
          <w:highlight w:val="none"/>
        </w:rPr>
        <w:t>现金替代分为两种类型：必须现金替代（标志为“必须”）和</w:t>
      </w:r>
      <w:r>
        <w:rPr>
          <w:rFonts w:hint="eastAsia"/>
          <w:sz w:val="21"/>
          <w:szCs w:val="21"/>
          <w:highlight w:val="none"/>
          <w:lang w:val="en-US" w:eastAsia="zh-CN"/>
        </w:rPr>
        <w:t>可以</w:t>
      </w:r>
      <w:r>
        <w:rPr>
          <w:rFonts w:hint="eastAsia"/>
          <w:sz w:val="21"/>
          <w:szCs w:val="21"/>
          <w:highlight w:val="none"/>
        </w:rPr>
        <w:t>现金替代（标志为“</w:t>
      </w:r>
      <w:r>
        <w:rPr>
          <w:rFonts w:hint="eastAsia"/>
          <w:sz w:val="21"/>
          <w:szCs w:val="21"/>
          <w:highlight w:val="none"/>
          <w:lang w:val="en-US" w:eastAsia="zh-CN"/>
        </w:rPr>
        <w:t>允许</w:t>
      </w:r>
      <w:r>
        <w:rPr>
          <w:rFonts w:hint="eastAsia"/>
          <w:sz w:val="21"/>
          <w:szCs w:val="21"/>
          <w:highlight w:val="none"/>
        </w:rPr>
        <w:t xml:space="preserve">”）。 </w:t>
      </w:r>
    </w:p>
    <w:p w14:paraId="36AEED1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必须现金替代适用于所有成份股，是指在申购、赎回基金份额时，该成份证券必须使用现金作为替代。 </w:t>
      </w:r>
    </w:p>
    <w:p w14:paraId="4B711DA8">
      <w:pPr>
        <w:pStyle w:val="8"/>
        <w:spacing w:before="0" w:beforeAutospacing="0" w:after="0" w:afterAutospacing="0" w:line="360" w:lineRule="auto"/>
        <w:ind w:firstLine="420"/>
        <w:rPr>
          <w:sz w:val="21"/>
          <w:szCs w:val="21"/>
          <w:highlight w:val="none"/>
        </w:rPr>
      </w:pPr>
      <w:r>
        <w:rPr>
          <w:rFonts w:hint="eastAsia"/>
          <w:sz w:val="21"/>
          <w:szCs w:val="21"/>
          <w:highlight w:val="none"/>
          <w:lang w:val="en-US" w:eastAsia="zh-CN"/>
        </w:rPr>
        <w:t>可以</w:t>
      </w:r>
      <w:r>
        <w:rPr>
          <w:rFonts w:hint="eastAsia"/>
          <w:sz w:val="21"/>
          <w:szCs w:val="21"/>
          <w:highlight w:val="none"/>
        </w:rPr>
        <w:t xml:space="preserve">现金替代是指当投资人申购或赎回基金份额时，允许使用现金作为组合证券的替代，基金管理人按照申购赎回清单要求，代理投资人买入或卖出组合证券，并与投资人进行相应结算。 </w:t>
      </w:r>
    </w:p>
    <w:p w14:paraId="52E4AF1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（1）关于必须现金替代 </w:t>
      </w:r>
    </w:p>
    <w:p w14:paraId="4CB488E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1）适用情形：必须现金替代的证券一般是由于标的指数调整将被剔除的成份证券以及处于停牌的股票，或出于保护基金持有人利益等目的基金管理人认为有必要实行必须现金替代的成份证券。 </w:t>
      </w:r>
    </w:p>
    <w:p w14:paraId="4FCD47E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替代金额：对于必须现金替代的证券，基金管理人将在申购赎回清单中公告替代的一定数量的现金，即“固定替代金额”。固定替代金额的计算方法为申购赎回清单中该证券的数量乘以其T日预估开盘价并按照T-1日估值汇率换算或基金管理人认为合理的其他方法。 </w:t>
      </w:r>
    </w:p>
    <w:p w14:paraId="52504386">
      <w:pPr>
        <w:pStyle w:val="8"/>
        <w:spacing w:before="0" w:beforeAutospacing="0" w:after="0" w:afterAutospacing="0" w:line="360" w:lineRule="auto"/>
        <w:ind w:firstLine="420"/>
        <w:rPr>
          <w:sz w:val="21"/>
          <w:szCs w:val="21"/>
          <w:highlight w:val="none"/>
        </w:rPr>
      </w:pPr>
      <w:r>
        <w:rPr>
          <w:rFonts w:hint="eastAsia"/>
          <w:sz w:val="21"/>
          <w:szCs w:val="21"/>
          <w:highlight w:val="none"/>
        </w:rPr>
        <w:t>（2）关于</w:t>
      </w:r>
      <w:r>
        <w:rPr>
          <w:rFonts w:hint="eastAsia"/>
          <w:sz w:val="21"/>
          <w:szCs w:val="21"/>
          <w:highlight w:val="none"/>
          <w:lang w:val="en-US" w:eastAsia="zh-CN"/>
        </w:rPr>
        <w:t>可以</w:t>
      </w:r>
      <w:r>
        <w:rPr>
          <w:rFonts w:hint="eastAsia"/>
          <w:sz w:val="21"/>
          <w:szCs w:val="21"/>
          <w:highlight w:val="none"/>
        </w:rPr>
        <w:t xml:space="preserve">现金替代 </w:t>
      </w:r>
    </w:p>
    <w:p w14:paraId="227456C3">
      <w:pPr>
        <w:pStyle w:val="8"/>
        <w:spacing w:before="0" w:beforeAutospacing="0" w:after="0" w:afterAutospacing="0" w:line="360" w:lineRule="auto"/>
        <w:ind w:firstLine="420"/>
        <w:rPr>
          <w:sz w:val="21"/>
          <w:szCs w:val="21"/>
          <w:highlight w:val="none"/>
        </w:rPr>
      </w:pPr>
      <w:r>
        <w:rPr>
          <w:rFonts w:hint="eastAsia"/>
          <w:sz w:val="21"/>
          <w:szCs w:val="21"/>
          <w:highlight w:val="none"/>
        </w:rPr>
        <w:t>1）适用情形：</w:t>
      </w:r>
      <w:r>
        <w:rPr>
          <w:rFonts w:hint="eastAsia"/>
          <w:sz w:val="21"/>
          <w:szCs w:val="21"/>
          <w:highlight w:val="none"/>
          <w:lang w:val="en-US" w:eastAsia="zh-CN"/>
        </w:rPr>
        <w:t>可以</w:t>
      </w:r>
      <w:r>
        <w:rPr>
          <w:rFonts w:hint="eastAsia"/>
          <w:sz w:val="21"/>
          <w:szCs w:val="21"/>
          <w:highlight w:val="none"/>
        </w:rPr>
        <w:t xml:space="preserve">现金替代的组合证券是需要在投资人现金申购或赎回时代理投资人买入或卖出的组合证券。 </w:t>
      </w:r>
    </w:p>
    <w:p w14:paraId="16754F27">
      <w:pPr>
        <w:pStyle w:val="8"/>
        <w:spacing w:before="0" w:beforeAutospacing="0" w:after="0" w:afterAutospacing="0" w:line="360" w:lineRule="auto"/>
        <w:ind w:firstLine="420"/>
        <w:rPr>
          <w:sz w:val="21"/>
          <w:szCs w:val="21"/>
          <w:highlight w:val="none"/>
        </w:rPr>
      </w:pPr>
      <w:r>
        <w:rPr>
          <w:rFonts w:hint="eastAsia"/>
          <w:sz w:val="21"/>
          <w:szCs w:val="21"/>
          <w:highlight w:val="none"/>
        </w:rPr>
        <w:t>2）替代金额：对于</w:t>
      </w:r>
      <w:r>
        <w:rPr>
          <w:rFonts w:hint="eastAsia"/>
          <w:sz w:val="21"/>
          <w:szCs w:val="21"/>
          <w:highlight w:val="none"/>
          <w:lang w:val="en-US" w:eastAsia="zh-CN"/>
        </w:rPr>
        <w:t>可以</w:t>
      </w:r>
      <w:r>
        <w:rPr>
          <w:rFonts w:hint="eastAsia"/>
          <w:sz w:val="21"/>
          <w:szCs w:val="21"/>
          <w:highlight w:val="none"/>
        </w:rPr>
        <w:t xml:space="preserve">现金替代的证券，替代金额的计算公式为： </w:t>
      </w:r>
    </w:p>
    <w:p w14:paraId="0A820DF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申购的替代金额＝替代证券数量×该证券调整后T日开盘参考价×T-1日估值汇率×（1+现金替代溢价比例）。 </w:t>
      </w:r>
    </w:p>
    <w:p w14:paraId="5EE6498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3）替代金额的处理程序 </w:t>
      </w:r>
    </w:p>
    <w:p w14:paraId="770F1ADE">
      <w:pPr>
        <w:pStyle w:val="8"/>
        <w:spacing w:before="0" w:beforeAutospacing="0" w:after="0" w:afterAutospacing="0" w:line="360" w:lineRule="auto"/>
        <w:ind w:firstLine="420"/>
        <w:rPr>
          <w:sz w:val="21"/>
          <w:szCs w:val="21"/>
          <w:highlight w:val="none"/>
        </w:rPr>
      </w:pPr>
      <w:r>
        <w:rPr>
          <w:rFonts w:hint="eastAsia"/>
          <w:sz w:val="21"/>
          <w:szCs w:val="21"/>
          <w:highlight w:val="none"/>
        </w:rPr>
        <w:t>对</w:t>
      </w:r>
      <w:r>
        <w:rPr>
          <w:rFonts w:hint="eastAsia"/>
          <w:sz w:val="21"/>
          <w:szCs w:val="21"/>
          <w:highlight w:val="none"/>
          <w:lang w:val="en-US" w:eastAsia="zh-CN"/>
        </w:rPr>
        <w:t>可以</w:t>
      </w:r>
      <w:r>
        <w:rPr>
          <w:rFonts w:hint="eastAsia"/>
          <w:sz w:val="21"/>
          <w:szCs w:val="21"/>
          <w:highlight w:val="none"/>
        </w:rPr>
        <w:t xml:space="preserve">现金替代而言，申购时收取现金替代溢价的原因是，基金管理人需要在收到申购确认信息后，在香港市场买入组合证券，结算成本与替代金额可能有所差异。对于使用现金替代的证券，基金管理人将买入该证券，实际买入价格加上相关交易费用并折算为人民币后与该证券调整后T日开盘参考价，按照汇率折算后的金额，可能有所差异。为便于操作，基金管理人在申购赎回清单中预先确定现金替代溢价比例，并据此收取替代金额。如果预先收取的金额高于基金购入该部分证券的实际成本，则基金管理人将退还多收取的差额；如果预先收取的金额低于基金购入该部分证券的实际成本，则基金管理人将向投资者收取欠缺的差额。 </w:t>
      </w:r>
    </w:p>
    <w:p w14:paraId="7855BCD9">
      <w:pPr>
        <w:pStyle w:val="8"/>
        <w:spacing w:before="0" w:beforeAutospacing="0" w:after="0" w:afterAutospacing="0" w:line="360" w:lineRule="auto"/>
        <w:ind w:firstLine="420"/>
        <w:rPr>
          <w:sz w:val="21"/>
          <w:szCs w:val="21"/>
          <w:highlight w:val="none"/>
        </w:rPr>
      </w:pPr>
      <w:r>
        <w:rPr>
          <w:rFonts w:hint="eastAsia"/>
          <w:sz w:val="21"/>
          <w:szCs w:val="21"/>
          <w:highlight w:val="none"/>
        </w:rPr>
        <w:t>对于确认成功的T日申购申请，T+1日（指开放日）内基金管理人根据申购规模进行组合证券的代理买入。T+1日（指开放日）日终，基金管理人根据所购入的被替代组合证券的实际单位购入成本、实际购入的相关费用、未购入的被替代组合证券的T+1日（指开放日）收盘价（</w:t>
      </w:r>
      <w:r>
        <w:rPr>
          <w:rFonts w:hint="eastAsia" w:ascii="宋体" w:hAnsi="宋体"/>
          <w:sz w:val="21"/>
          <w:szCs w:val="21"/>
          <w:highlight w:val="none"/>
        </w:rPr>
        <w:t>折算为人民币，折算汇率包括但不限于中国外汇交易中心</w:t>
      </w:r>
      <w:r>
        <w:rPr>
          <w:rFonts w:hint="eastAsia" w:ascii="宋体" w:hAnsi="宋体"/>
          <w:sz w:val="21"/>
          <w:szCs w:val="21"/>
          <w:highlight w:val="none"/>
          <w:lang w:val="en-US" w:eastAsia="zh-CN"/>
        </w:rPr>
        <w:t>公布的北京时间16:00主要货币兑人民币</w:t>
      </w:r>
      <w:r>
        <w:rPr>
          <w:rFonts w:hint="eastAsia" w:ascii="宋体" w:hAnsi="宋体"/>
          <w:sz w:val="21"/>
          <w:szCs w:val="21"/>
          <w:highlight w:val="none"/>
        </w:rPr>
        <w:t>参考汇率、中国人民银行或其授权机构最新公布的人民币汇率中间价、与基金托管人商定的其他公允价格等；被替代组合证券T</w:t>
      </w:r>
      <w:r>
        <w:rPr>
          <w:rFonts w:hint="eastAsia"/>
          <w:sz w:val="21"/>
          <w:szCs w:val="21"/>
          <w:highlight w:val="none"/>
          <w:lang w:val="en-US" w:eastAsia="zh-CN"/>
        </w:rPr>
        <w:t>+1</w:t>
      </w:r>
      <w:r>
        <w:rPr>
          <w:rFonts w:hint="eastAsia" w:ascii="宋体" w:hAnsi="宋体"/>
          <w:sz w:val="21"/>
          <w:szCs w:val="21"/>
          <w:highlight w:val="none"/>
        </w:rPr>
        <w:t>日（指开放日）无交易的，取最近交易日的收盘价</w:t>
      </w:r>
      <w:r>
        <w:rPr>
          <w:rFonts w:hint="eastAsia"/>
          <w:sz w:val="21"/>
          <w:szCs w:val="21"/>
          <w:highlight w:val="none"/>
        </w:rPr>
        <w:t xml:space="preserve">）计算并确定被替代组合证券的单位结算成本，在此基础上根据替代组合证券数量和现金替代保证金确定基金应退还投资人的款项或投资人应补交的款项。T+1日（在特殊情况下则为T日起的第21个交易日后）后的两个工作日内，基金管理人将应退款或补款与相关申购赎回代理机构办理交收。若发生特殊情况，基金管理人可以对交收日期进行相应调整。 </w:t>
      </w:r>
    </w:p>
    <w:p w14:paraId="0367A1C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遇港股通临时停市、港股通交易每日额度或总额度不足等特殊情况，组合证券的代理买入及结算价格可依次顺延至下一港股通交易日直至交易正常。如遇证券长期停牌、流动性不足等可能导致收盘价或最后成交价不公允的特殊情况，可参照证券的估值价格，对结算成本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 </w:t>
      </w:r>
    </w:p>
    <w:p w14:paraId="423B7592">
      <w:pPr>
        <w:pStyle w:val="8"/>
        <w:spacing w:before="0" w:beforeAutospacing="0" w:after="0" w:afterAutospacing="0" w:line="360" w:lineRule="auto"/>
        <w:ind w:firstLine="420"/>
        <w:rPr>
          <w:sz w:val="21"/>
          <w:szCs w:val="21"/>
          <w:highlight w:val="none"/>
        </w:rPr>
      </w:pPr>
      <w:r>
        <w:rPr>
          <w:rFonts w:hint="eastAsia"/>
          <w:sz w:val="21"/>
          <w:szCs w:val="21"/>
          <w:highlight w:val="none"/>
        </w:rPr>
        <w:t>特殊情况：若自T日起，香港证券交易所正常交易日已达20日而该部分证券的正常交易日低于1日，则以替代金额与所购入的部分被替代证券的实际购入成本加上按照最近一次收盘价计算的未购入的部分被替代证券价值的差额（</w:t>
      </w:r>
      <w:r>
        <w:rPr>
          <w:rFonts w:hint="eastAsia"/>
          <w:sz w:val="21"/>
          <w:szCs w:val="21"/>
          <w:highlight w:val="none"/>
          <w:lang w:val="en-US" w:eastAsia="zh-CN"/>
        </w:rPr>
        <w:t>折算为人民币，折算汇率包括但不限于中国外汇交易中心公布的北京时间16:00主要货币兑人民币参考汇率、中国人民银行或其授权机构最新公布的人民币汇率中间价、与基金托管人商定的其他公允价格等</w:t>
      </w:r>
      <w:r>
        <w:rPr>
          <w:rFonts w:hint="eastAsia"/>
          <w:sz w:val="21"/>
          <w:szCs w:val="21"/>
          <w:highlight w:val="none"/>
        </w:rPr>
        <w:t xml:space="preserve">），确定基金应退还投资人或投资人应补交的款项。 </w:t>
      </w:r>
    </w:p>
    <w:p w14:paraId="07A24424">
      <w:pPr>
        <w:pStyle w:val="8"/>
        <w:spacing w:before="0" w:beforeAutospacing="0" w:after="0" w:afterAutospacing="0" w:line="360" w:lineRule="auto"/>
        <w:ind w:firstLine="420"/>
        <w:rPr>
          <w:sz w:val="21"/>
          <w:szCs w:val="21"/>
          <w:highlight w:val="none"/>
        </w:rPr>
      </w:pPr>
      <w:r>
        <w:rPr>
          <w:rFonts w:hint="eastAsia"/>
          <w:sz w:val="21"/>
          <w:szCs w:val="21"/>
          <w:highlight w:val="none"/>
        </w:rPr>
        <w:t>对于确认成功的T日赎回申请，T+1日（指开放日）内基金管理人根据所卖出的被替代组合证券的实际单位卖出成本、实际卖出的相关费用、未卖出的被替代组合证券的T+1日（指开放日）收盘价（</w:t>
      </w:r>
      <w:r>
        <w:rPr>
          <w:rFonts w:hint="eastAsia" w:ascii="宋体" w:hAnsi="宋体"/>
          <w:sz w:val="21"/>
          <w:szCs w:val="21"/>
          <w:highlight w:val="none"/>
        </w:rPr>
        <w:t>折算为人民币，折算汇率包括但不限于中国外汇交易中心</w:t>
      </w:r>
      <w:r>
        <w:rPr>
          <w:rFonts w:hint="eastAsia" w:ascii="宋体" w:hAnsi="宋体"/>
          <w:sz w:val="21"/>
          <w:szCs w:val="21"/>
          <w:highlight w:val="none"/>
          <w:lang w:val="en-US" w:eastAsia="zh-CN"/>
        </w:rPr>
        <w:t>公布的北京时间16:00主要货币兑人民币</w:t>
      </w:r>
      <w:r>
        <w:rPr>
          <w:rFonts w:hint="eastAsia" w:ascii="宋体" w:hAnsi="宋体"/>
          <w:sz w:val="21"/>
          <w:szCs w:val="21"/>
          <w:highlight w:val="none"/>
        </w:rPr>
        <w:t>参考汇率、中国人民银行或其授权机构最新公布的人民币汇率中间价、与基金托管人商定的其他公允价格等；被替代组合证券T</w:t>
      </w:r>
      <w:r>
        <w:rPr>
          <w:rFonts w:hint="eastAsia"/>
          <w:sz w:val="21"/>
          <w:szCs w:val="21"/>
          <w:highlight w:val="none"/>
          <w:lang w:val="en-US" w:eastAsia="zh-CN"/>
        </w:rPr>
        <w:t>+1</w:t>
      </w:r>
      <w:r>
        <w:rPr>
          <w:rFonts w:hint="eastAsia" w:ascii="宋体" w:hAnsi="宋体"/>
          <w:sz w:val="21"/>
          <w:szCs w:val="21"/>
          <w:highlight w:val="none"/>
        </w:rPr>
        <w:t>日（指开放日）无交易的，取最近交易日的收盘价</w:t>
      </w:r>
      <w:r>
        <w:rPr>
          <w:rFonts w:hint="eastAsia"/>
          <w:sz w:val="21"/>
          <w:szCs w:val="21"/>
          <w:highlight w:val="none"/>
        </w:rPr>
        <w:t xml:space="preserve">；交易日无收盘价的，取最后收盘价）计算并确定被替代组合证券的单位结算成本，在此基础上根据替代组合证券数量确定赎回替代金额。T+1日（在特殊情况下则为T日起的第21个交易日后）后的第3个港股通交收日后的两个工作日内，基金管理人将应支付的赎回现金替代款与相关申购赎回代理机构办理交收。若发生特殊情况，基金管理人可以对交收日期进行相应调整。 </w:t>
      </w:r>
    </w:p>
    <w:p w14:paraId="27FD293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遇港股通临时停市等特殊情况，组合证券的代理卖出及结算价格可依次顺延至下一港股通交易日直至交易正常。如遇证券长期停牌、流动性不足等可能导致收盘价或最后成交价不公允的特殊情况，可参照证券的估值价格，对结算成本进行调整。如果基金管理人认为该证券复牌后的价格可能存在较大波动，且可能对基金资产净值产生较大影响，为了更好的维护持有人利益，该证券对应的现金替代款的清算交收可在其复牌后按照实际交易成本办理。在此期间若该证券发生除息、送股（转增）、配股等重要权益变动，则进行相应调整。 </w:t>
      </w:r>
    </w:p>
    <w:p w14:paraId="01AB7815">
      <w:pPr>
        <w:pStyle w:val="8"/>
        <w:spacing w:before="0" w:beforeAutospacing="0" w:after="0" w:afterAutospacing="0" w:line="360" w:lineRule="auto"/>
        <w:ind w:firstLine="420"/>
        <w:rPr>
          <w:sz w:val="21"/>
          <w:szCs w:val="21"/>
          <w:highlight w:val="none"/>
        </w:rPr>
      </w:pPr>
      <w:r>
        <w:rPr>
          <w:rFonts w:hint="eastAsia"/>
          <w:sz w:val="21"/>
          <w:szCs w:val="21"/>
          <w:highlight w:val="none"/>
        </w:rPr>
        <w:t>特殊情况：若自T日起，香港证券交易所正常交易日已达20日而该部分证券的正常交易日低于1日，则以被替代证券卖出部分的实际卖出金额加上按照最近一日收盘价计算的未卖出部分被替代证券价值（</w:t>
      </w:r>
      <w:r>
        <w:rPr>
          <w:rFonts w:hint="eastAsia"/>
          <w:sz w:val="21"/>
          <w:szCs w:val="21"/>
          <w:highlight w:val="none"/>
          <w:lang w:val="en-US" w:eastAsia="zh-CN"/>
        </w:rPr>
        <w:t>折算为人民币，折算汇率包括但不限于中国外汇交易中心公布的北京时间16:00主要货币兑人民币参考汇率、中国人民银行或其授权机构最新公布的人民币汇率中间价、与基金托管人商定的其他公允价格等</w:t>
      </w:r>
      <w:r>
        <w:rPr>
          <w:rFonts w:hint="eastAsia"/>
          <w:sz w:val="21"/>
          <w:szCs w:val="21"/>
          <w:highlight w:val="none"/>
        </w:rPr>
        <w:t xml:space="preserve">），确定基金应退还投资人的款项。 </w:t>
      </w:r>
    </w:p>
    <w:p w14:paraId="3D7DE25D">
      <w:pPr>
        <w:pStyle w:val="8"/>
        <w:spacing w:before="0" w:beforeAutospacing="0" w:after="0" w:afterAutospacing="0" w:line="360" w:lineRule="auto"/>
        <w:ind w:firstLine="420"/>
        <w:rPr>
          <w:sz w:val="21"/>
          <w:szCs w:val="21"/>
          <w:highlight w:val="none"/>
        </w:rPr>
      </w:pPr>
      <w:r>
        <w:rPr>
          <w:rFonts w:hint="eastAsia"/>
          <w:sz w:val="21"/>
          <w:szCs w:val="21"/>
          <w:highlight w:val="none"/>
        </w:rPr>
        <w:t>未来如港股通的交易、结算规则发生改变，或《业务规则》发生改变，或基金管理人与基金托管人及申购赎回代理机构之间的结算相关安排发生改变，基金管理人可以对上述</w:t>
      </w:r>
      <w:r>
        <w:rPr>
          <w:rFonts w:hint="eastAsia"/>
          <w:sz w:val="21"/>
          <w:szCs w:val="21"/>
          <w:highlight w:val="none"/>
          <w:lang w:val="en-US" w:eastAsia="zh-CN"/>
        </w:rPr>
        <w:t>可以</w:t>
      </w:r>
      <w:r>
        <w:rPr>
          <w:rFonts w:hint="eastAsia"/>
          <w:sz w:val="21"/>
          <w:szCs w:val="21"/>
          <w:highlight w:val="none"/>
        </w:rPr>
        <w:t xml:space="preserve">现金替代处理规则进行调整，并按规定公告。 </w:t>
      </w:r>
    </w:p>
    <w:p w14:paraId="60AB924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4、预估现金部分相关内容 </w:t>
      </w:r>
    </w:p>
    <w:p w14:paraId="095F2DA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预估现金部分是指，为便于计算基金份额参考净值及申购赎回代理券商预先冻结申请申购、赎回的投资人的相应资金，由基金管理人计算的现金数额。 </w:t>
      </w:r>
    </w:p>
    <w:p w14:paraId="3D17636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T日申购赎回清单中公告T日预估现金部分，其计算公式为： </w:t>
      </w:r>
    </w:p>
    <w:p w14:paraId="00241D75">
      <w:pPr>
        <w:pStyle w:val="8"/>
        <w:spacing w:before="0" w:beforeAutospacing="0" w:after="0" w:afterAutospacing="0" w:line="360" w:lineRule="auto"/>
        <w:ind w:firstLine="420"/>
        <w:rPr>
          <w:sz w:val="21"/>
          <w:szCs w:val="21"/>
          <w:highlight w:val="none"/>
        </w:rPr>
      </w:pPr>
      <w:r>
        <w:rPr>
          <w:rFonts w:hint="eastAsia"/>
          <w:sz w:val="21"/>
          <w:szCs w:val="21"/>
          <w:highlight w:val="none"/>
        </w:rPr>
        <w:t>T日预估现金部分＝T-1日最小申购赎回单位的基金资产净值－（申购赎回清单中必须用现金替代的固定替代金额总额＋申购赎回清单中</w:t>
      </w:r>
      <w:r>
        <w:rPr>
          <w:rFonts w:hint="eastAsia"/>
          <w:sz w:val="21"/>
          <w:szCs w:val="21"/>
          <w:highlight w:val="none"/>
          <w:lang w:val="en-US" w:eastAsia="zh-CN"/>
        </w:rPr>
        <w:t>可以</w:t>
      </w:r>
      <w:r>
        <w:rPr>
          <w:rFonts w:hint="eastAsia"/>
          <w:sz w:val="21"/>
          <w:szCs w:val="21"/>
          <w:highlight w:val="none"/>
        </w:rPr>
        <w:t xml:space="preserve">现金替代成份证券的数量、T日预计开盘价及T-1日估值汇率乘积之和） </w:t>
      </w:r>
    </w:p>
    <w:p w14:paraId="2788EE0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若T日为基金分红除息日，则计算公式中的“T-1日最小申购赎回单位的基金资产净值”需要扣减相应的收益分配数额。 </w:t>
      </w:r>
    </w:p>
    <w:p w14:paraId="51DBB83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若T-1日至T日期间，境内市场休市但基金投资涉及的境外市场开市，则计算公式中“T-1日最小申购、赎回单位的基金资产净值”可以根据此期间指数的涨跌幅进行相应调整。  </w:t>
      </w:r>
    </w:p>
    <w:p w14:paraId="60490B2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预估现金部分的数值可能为正、为负或为零。 </w:t>
      </w:r>
    </w:p>
    <w:p w14:paraId="4016225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5、现金差额相关内容 </w:t>
      </w:r>
    </w:p>
    <w:p w14:paraId="742BD69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T日现金差额在T＋1日的申购赎回清单中公告，其计算公式为： </w:t>
      </w:r>
    </w:p>
    <w:p w14:paraId="478E256D">
      <w:pPr>
        <w:pStyle w:val="8"/>
        <w:spacing w:before="0" w:beforeAutospacing="0" w:after="0" w:afterAutospacing="0" w:line="360" w:lineRule="auto"/>
        <w:ind w:firstLine="420"/>
        <w:rPr>
          <w:sz w:val="21"/>
          <w:szCs w:val="21"/>
          <w:highlight w:val="none"/>
        </w:rPr>
      </w:pPr>
      <w:r>
        <w:rPr>
          <w:rFonts w:hint="eastAsia"/>
          <w:sz w:val="21"/>
          <w:szCs w:val="21"/>
          <w:highlight w:val="none"/>
        </w:rPr>
        <w:t>T日现金差额＝T日最小申购赎回单位的基金资产净值－（申购赎回清单中必须用现金替代的固定替代金额总额＋申购赎回清单中</w:t>
      </w:r>
      <w:r>
        <w:rPr>
          <w:rFonts w:hint="eastAsia"/>
          <w:sz w:val="21"/>
          <w:szCs w:val="21"/>
          <w:highlight w:val="none"/>
          <w:lang w:val="en-US" w:eastAsia="zh-CN"/>
        </w:rPr>
        <w:t>可以</w:t>
      </w:r>
      <w:r>
        <w:rPr>
          <w:rFonts w:hint="eastAsia"/>
          <w:sz w:val="21"/>
          <w:szCs w:val="21"/>
          <w:highlight w:val="none"/>
        </w:rPr>
        <w:t xml:space="preserve">现金替代成份证券的数量、T日收盘价和T日估值汇率相乘之和） </w:t>
      </w:r>
    </w:p>
    <w:p w14:paraId="51B1135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T日投资人申购、赎回基金份额时，需按T＋1日公告的T日现金差额进行资金的清算交收。现金差额的数值可能为正、为负或为零。在投资人申购时，如现金差额为正数，则投资人应根据其申购的基金份额支付相应的现金，如现金差额为负数，则投资人将根据其申购的基金份额获得相应的现金；在投资人赎回时，如现金差额为正数，则投资人将根据其赎回的基金份额获得相应的现金，如现金差额为负数，则投资人应根据其赎回的基金份额支付相应的现金。 </w:t>
      </w:r>
    </w:p>
    <w:p w14:paraId="76A36E6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6、申购赎回清单的格式 </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6"/>
        <w:gridCol w:w="1566"/>
        <w:gridCol w:w="1000"/>
        <w:gridCol w:w="801"/>
        <w:gridCol w:w="765"/>
        <w:gridCol w:w="1566"/>
        <w:gridCol w:w="856"/>
        <w:gridCol w:w="637"/>
        <w:gridCol w:w="469"/>
      </w:tblGrid>
      <w:tr w14:paraId="5B91A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3AEEF4C4">
            <w:pPr>
              <w:rPr>
                <w:rFonts w:ascii="宋体" w:hAnsi="宋体" w:eastAsia="宋体" w:cs="宋体"/>
                <w:sz w:val="24"/>
                <w:szCs w:val="24"/>
                <w:highlight w:val="none"/>
              </w:rPr>
            </w:pPr>
            <w:r>
              <w:rPr>
                <w:rFonts w:hint="eastAsia" w:ascii="宋体" w:hAnsi="宋体" w:eastAsia="宋体"/>
                <w:highlight w:val="none"/>
              </w:rPr>
              <w:t xml:space="preserve">基本信息 </w:t>
            </w:r>
          </w:p>
        </w:tc>
      </w:tr>
      <w:tr w14:paraId="3D012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69BD7199">
            <w:pPr>
              <w:rPr>
                <w:rFonts w:ascii="宋体" w:hAnsi="宋体" w:eastAsia="宋体" w:cs="宋体"/>
                <w:sz w:val="24"/>
                <w:szCs w:val="24"/>
                <w:highlight w:val="none"/>
              </w:rPr>
            </w:pPr>
            <w:r>
              <w:rPr>
                <w:rFonts w:hint="eastAsia" w:ascii="宋体" w:hAnsi="宋体" w:eastAsia="宋体"/>
                <w:highlight w:val="none"/>
              </w:rPr>
              <w:t xml:space="preserve">最新公告日期 </w:t>
            </w:r>
          </w:p>
        </w:tc>
        <w:tc>
          <w:tcPr>
            <w:tcW w:w="4208" w:type="dxa"/>
            <w:gridSpan w:val="5"/>
            <w:shd w:val="clear" w:color="auto" w:fill="auto"/>
          </w:tcPr>
          <w:p w14:paraId="4101D3A1">
            <w:pPr>
              <w:rPr>
                <w:rFonts w:ascii="宋体" w:hAnsi="宋体" w:eastAsia="宋体" w:cs="宋体"/>
                <w:sz w:val="24"/>
                <w:szCs w:val="24"/>
                <w:highlight w:val="none"/>
              </w:rPr>
            </w:pPr>
            <w:r>
              <w:rPr>
                <w:rFonts w:hint="eastAsia" w:ascii="宋体" w:hAnsi="宋体" w:eastAsia="宋体"/>
                <w:highlight w:val="none"/>
              </w:rPr>
              <w:t xml:space="preserve">20XX年 月 日 </w:t>
            </w:r>
          </w:p>
        </w:tc>
      </w:tr>
      <w:tr w14:paraId="3150F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0DD8948C">
            <w:pPr>
              <w:rPr>
                <w:rFonts w:ascii="宋体" w:hAnsi="宋体" w:eastAsia="宋体" w:cs="宋体"/>
                <w:sz w:val="24"/>
                <w:szCs w:val="24"/>
                <w:highlight w:val="none"/>
              </w:rPr>
            </w:pPr>
            <w:r>
              <w:rPr>
                <w:rFonts w:hint="eastAsia" w:ascii="宋体" w:hAnsi="宋体" w:eastAsia="宋体"/>
                <w:highlight w:val="none"/>
              </w:rPr>
              <w:t xml:space="preserve">基金名称 </w:t>
            </w:r>
          </w:p>
        </w:tc>
        <w:tc>
          <w:tcPr>
            <w:tcW w:w="4208" w:type="dxa"/>
            <w:gridSpan w:val="5"/>
            <w:shd w:val="clear" w:color="auto" w:fill="auto"/>
          </w:tcPr>
          <w:p w14:paraId="00C27B61">
            <w:pPr>
              <w:rPr>
                <w:rFonts w:ascii="宋体" w:hAnsi="宋体" w:eastAsia="宋体" w:cs="宋体"/>
                <w:sz w:val="24"/>
                <w:szCs w:val="24"/>
                <w:highlight w:val="none"/>
              </w:rPr>
            </w:pPr>
            <w:bookmarkStart w:id="89" w:name="field_0_productfullname_15"/>
            <w:r>
              <w:rPr>
                <w:rFonts w:hint="eastAsia" w:ascii="宋体" w:hAnsi="宋体" w:eastAsia="宋体"/>
                <w:highlight w:val="none"/>
              </w:rPr>
              <w:t>博时恒生港股通</w:t>
            </w:r>
            <w:r>
              <w:rPr>
                <w:rFonts w:hint="eastAsia" w:ascii="宋体" w:hAnsi="宋体" w:eastAsia="宋体"/>
                <w:highlight w:val="none"/>
                <w:lang w:eastAsia="zh-CN"/>
              </w:rPr>
              <w:t>红利</w:t>
            </w:r>
            <w:r>
              <w:rPr>
                <w:rFonts w:hint="eastAsia" w:ascii="宋体" w:hAnsi="宋体" w:eastAsia="宋体"/>
                <w:highlight w:val="none"/>
              </w:rPr>
              <w:t>交易型开放式指数证券投资基金</w:t>
            </w:r>
            <w:bookmarkEnd w:id="89"/>
            <w:r>
              <w:rPr>
                <w:rFonts w:hint="eastAsia" w:ascii="宋体" w:hAnsi="宋体" w:eastAsia="宋体"/>
                <w:highlight w:val="none"/>
              </w:rPr>
              <w:t xml:space="preserve">  </w:t>
            </w:r>
          </w:p>
        </w:tc>
      </w:tr>
      <w:tr w14:paraId="7A863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515FD076">
            <w:pPr>
              <w:rPr>
                <w:rFonts w:ascii="宋体" w:hAnsi="宋体" w:eastAsia="宋体" w:cs="宋体"/>
                <w:sz w:val="24"/>
                <w:szCs w:val="24"/>
                <w:highlight w:val="none"/>
              </w:rPr>
            </w:pPr>
            <w:r>
              <w:rPr>
                <w:rFonts w:hint="eastAsia" w:ascii="宋体" w:hAnsi="宋体" w:eastAsia="宋体"/>
                <w:highlight w:val="none"/>
              </w:rPr>
              <w:t xml:space="preserve">基金管理公司名称 </w:t>
            </w:r>
          </w:p>
        </w:tc>
        <w:tc>
          <w:tcPr>
            <w:tcW w:w="4208" w:type="dxa"/>
            <w:gridSpan w:val="5"/>
            <w:shd w:val="clear" w:color="auto" w:fill="auto"/>
          </w:tcPr>
          <w:p w14:paraId="09C45589">
            <w:pPr>
              <w:rPr>
                <w:rFonts w:ascii="宋体" w:hAnsi="宋体" w:eastAsia="宋体" w:cs="宋体"/>
                <w:sz w:val="24"/>
                <w:szCs w:val="24"/>
                <w:highlight w:val="none"/>
              </w:rPr>
            </w:pPr>
            <w:bookmarkStart w:id="90" w:name="field_0_managerorgfullname_3"/>
            <w:r>
              <w:rPr>
                <w:rFonts w:hint="eastAsia" w:ascii="宋体" w:hAnsi="宋体" w:eastAsia="宋体"/>
                <w:highlight w:val="none"/>
              </w:rPr>
              <w:t>博时基金管理有限公司</w:t>
            </w:r>
            <w:bookmarkEnd w:id="90"/>
            <w:r>
              <w:rPr>
                <w:rFonts w:hint="eastAsia" w:ascii="宋体" w:hAnsi="宋体" w:eastAsia="宋体"/>
                <w:highlight w:val="none"/>
              </w:rPr>
              <w:t xml:space="preserve">  </w:t>
            </w:r>
          </w:p>
        </w:tc>
      </w:tr>
      <w:tr w14:paraId="5A91F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0F9D6418">
            <w:pPr>
              <w:rPr>
                <w:rFonts w:ascii="宋体" w:hAnsi="宋体" w:eastAsia="宋体" w:cs="宋体"/>
                <w:sz w:val="24"/>
                <w:szCs w:val="24"/>
                <w:highlight w:val="none"/>
              </w:rPr>
            </w:pPr>
            <w:r>
              <w:rPr>
                <w:rFonts w:hint="eastAsia" w:ascii="宋体" w:hAnsi="宋体" w:eastAsia="宋体"/>
                <w:highlight w:val="none"/>
              </w:rPr>
              <w:t xml:space="preserve">基金代码 </w:t>
            </w:r>
          </w:p>
        </w:tc>
        <w:tc>
          <w:tcPr>
            <w:tcW w:w="4208" w:type="dxa"/>
            <w:gridSpan w:val="5"/>
            <w:shd w:val="clear" w:color="auto" w:fill="auto"/>
          </w:tcPr>
          <w:p w14:paraId="2E2AB40F">
            <w:pPr>
              <w:rPr>
                <w:rFonts w:hint="eastAsia" w:ascii="宋体" w:hAnsi="宋体" w:eastAsia="宋体"/>
                <w:highlight w:val="none"/>
              </w:rPr>
            </w:pPr>
            <w:r>
              <w:rPr>
                <w:rFonts w:hint="eastAsia" w:ascii="宋体" w:hAnsi="宋体" w:eastAsia="宋体"/>
                <w:highlight w:val="none"/>
              </w:rPr>
              <w:t xml:space="preserve">513690 </w:t>
            </w:r>
          </w:p>
        </w:tc>
      </w:tr>
      <w:tr w14:paraId="3953B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484874EE">
            <w:pPr>
              <w:rPr>
                <w:rFonts w:ascii="宋体" w:hAnsi="宋体" w:eastAsia="宋体" w:cs="宋体"/>
                <w:sz w:val="24"/>
                <w:szCs w:val="24"/>
                <w:highlight w:val="none"/>
              </w:rPr>
            </w:pPr>
            <w:r>
              <w:rPr>
                <w:rFonts w:hint="eastAsia" w:ascii="宋体" w:hAnsi="宋体" w:eastAsia="宋体"/>
                <w:highlight w:val="none"/>
              </w:rPr>
              <w:t xml:space="preserve">T－1日信息内容 </w:t>
            </w:r>
          </w:p>
        </w:tc>
      </w:tr>
      <w:tr w14:paraId="5CDF7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051F34EE">
            <w:pPr>
              <w:rPr>
                <w:rFonts w:ascii="宋体" w:hAnsi="宋体" w:eastAsia="宋体" w:cs="宋体"/>
                <w:sz w:val="24"/>
                <w:szCs w:val="24"/>
                <w:highlight w:val="none"/>
              </w:rPr>
            </w:pPr>
            <w:r>
              <w:rPr>
                <w:rFonts w:hint="eastAsia" w:ascii="宋体" w:hAnsi="宋体" w:eastAsia="宋体"/>
                <w:highlight w:val="none"/>
              </w:rPr>
              <w:t xml:space="preserve">现金差额（单位：元） </w:t>
            </w:r>
          </w:p>
        </w:tc>
        <w:tc>
          <w:tcPr>
            <w:tcW w:w="4208" w:type="dxa"/>
            <w:gridSpan w:val="5"/>
            <w:shd w:val="clear" w:color="auto" w:fill="auto"/>
          </w:tcPr>
          <w:p w14:paraId="60DEA25E">
            <w:pPr>
              <w:rPr>
                <w:rFonts w:ascii="宋体" w:hAnsi="宋体" w:eastAsia="宋体" w:cs="宋体"/>
                <w:sz w:val="24"/>
                <w:szCs w:val="24"/>
                <w:highlight w:val="none"/>
              </w:rPr>
            </w:pPr>
            <w:r>
              <w:rPr>
                <w:rFonts w:hint="eastAsia" w:ascii="宋体" w:hAnsi="宋体" w:eastAsia="宋体"/>
                <w:highlight w:val="none"/>
              </w:rPr>
              <w:t xml:space="preserve">XXXX.XX </w:t>
            </w:r>
          </w:p>
        </w:tc>
      </w:tr>
      <w:tr w14:paraId="4717C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0A6B6F41">
            <w:pPr>
              <w:rPr>
                <w:rFonts w:ascii="宋体" w:hAnsi="宋体" w:eastAsia="宋体" w:cs="宋体"/>
                <w:sz w:val="24"/>
                <w:szCs w:val="24"/>
                <w:highlight w:val="none"/>
              </w:rPr>
            </w:pPr>
            <w:r>
              <w:rPr>
                <w:rFonts w:hint="eastAsia" w:ascii="宋体" w:hAnsi="宋体" w:eastAsia="宋体"/>
                <w:highlight w:val="none"/>
              </w:rPr>
              <w:t xml:space="preserve">最小申购赎回单位资产净值（单位：元） </w:t>
            </w:r>
          </w:p>
        </w:tc>
        <w:tc>
          <w:tcPr>
            <w:tcW w:w="4208" w:type="dxa"/>
            <w:gridSpan w:val="5"/>
            <w:shd w:val="clear" w:color="auto" w:fill="auto"/>
          </w:tcPr>
          <w:p w14:paraId="313FB0A1">
            <w:pPr>
              <w:rPr>
                <w:rFonts w:ascii="宋体" w:hAnsi="宋体" w:eastAsia="宋体" w:cs="宋体"/>
                <w:sz w:val="24"/>
                <w:szCs w:val="24"/>
                <w:highlight w:val="none"/>
              </w:rPr>
            </w:pPr>
            <w:r>
              <w:rPr>
                <w:rFonts w:hint="eastAsia" w:ascii="宋体" w:hAnsi="宋体" w:eastAsia="宋体"/>
                <w:highlight w:val="none"/>
              </w:rPr>
              <w:t xml:space="preserve">XXXX.XX </w:t>
            </w:r>
          </w:p>
        </w:tc>
      </w:tr>
      <w:tr w14:paraId="08372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05A3840F">
            <w:pPr>
              <w:rPr>
                <w:rFonts w:ascii="宋体" w:hAnsi="宋体" w:eastAsia="宋体" w:cs="宋体"/>
                <w:sz w:val="24"/>
                <w:szCs w:val="24"/>
                <w:highlight w:val="none"/>
              </w:rPr>
            </w:pPr>
            <w:r>
              <w:rPr>
                <w:rFonts w:hint="eastAsia" w:ascii="宋体" w:hAnsi="宋体" w:eastAsia="宋体"/>
                <w:highlight w:val="none"/>
              </w:rPr>
              <w:t xml:space="preserve">基金份额净值（单位：元） </w:t>
            </w:r>
          </w:p>
        </w:tc>
        <w:tc>
          <w:tcPr>
            <w:tcW w:w="4208" w:type="dxa"/>
            <w:gridSpan w:val="5"/>
            <w:shd w:val="clear" w:color="auto" w:fill="auto"/>
          </w:tcPr>
          <w:p w14:paraId="2B332A98">
            <w:pPr>
              <w:rPr>
                <w:rFonts w:ascii="宋体" w:hAnsi="宋体" w:eastAsia="宋体" w:cs="宋体"/>
                <w:sz w:val="24"/>
                <w:szCs w:val="24"/>
                <w:highlight w:val="none"/>
              </w:rPr>
            </w:pPr>
            <w:r>
              <w:rPr>
                <w:rFonts w:hint="eastAsia" w:ascii="宋体" w:hAnsi="宋体" w:eastAsia="宋体"/>
                <w:highlight w:val="none"/>
              </w:rPr>
              <w:t xml:space="preserve">X.XXXX </w:t>
            </w:r>
          </w:p>
        </w:tc>
      </w:tr>
      <w:tr w14:paraId="73FB5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36348997">
            <w:pPr>
              <w:rPr>
                <w:rFonts w:ascii="宋体" w:hAnsi="宋体" w:eastAsia="宋体" w:cs="宋体"/>
                <w:sz w:val="24"/>
                <w:szCs w:val="24"/>
                <w:highlight w:val="none"/>
              </w:rPr>
            </w:pPr>
            <w:r>
              <w:rPr>
                <w:rFonts w:hint="eastAsia" w:ascii="宋体" w:hAnsi="宋体" w:eastAsia="宋体"/>
                <w:highlight w:val="none"/>
              </w:rPr>
              <w:t xml:space="preserve">T日信息内容 </w:t>
            </w:r>
          </w:p>
        </w:tc>
      </w:tr>
      <w:tr w14:paraId="53365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34E7BD2A">
            <w:pPr>
              <w:rPr>
                <w:rFonts w:ascii="宋体" w:hAnsi="宋体" w:eastAsia="宋体" w:cs="宋体"/>
                <w:sz w:val="24"/>
                <w:szCs w:val="24"/>
                <w:highlight w:val="none"/>
              </w:rPr>
            </w:pPr>
            <w:r>
              <w:rPr>
                <w:rFonts w:hint="eastAsia" w:ascii="宋体" w:hAnsi="宋体" w:eastAsia="宋体"/>
                <w:highlight w:val="none"/>
              </w:rPr>
              <w:t xml:space="preserve">最小申购、赎回单位的预估现金部分（单位：元） </w:t>
            </w:r>
          </w:p>
        </w:tc>
        <w:tc>
          <w:tcPr>
            <w:tcW w:w="4208" w:type="dxa"/>
            <w:gridSpan w:val="5"/>
            <w:shd w:val="clear" w:color="auto" w:fill="auto"/>
          </w:tcPr>
          <w:p w14:paraId="087B56B1">
            <w:pPr>
              <w:rPr>
                <w:rFonts w:ascii="宋体" w:hAnsi="宋体" w:eastAsia="宋体" w:cs="宋体"/>
                <w:sz w:val="24"/>
                <w:szCs w:val="24"/>
                <w:highlight w:val="none"/>
              </w:rPr>
            </w:pPr>
            <w:r>
              <w:rPr>
                <w:rFonts w:hint="eastAsia" w:ascii="宋体" w:hAnsi="宋体" w:eastAsia="宋体"/>
                <w:highlight w:val="none"/>
              </w:rPr>
              <w:t xml:space="preserve">XXXX.XX </w:t>
            </w:r>
          </w:p>
        </w:tc>
      </w:tr>
      <w:tr w14:paraId="6D16B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5ACB1F53">
            <w:pPr>
              <w:rPr>
                <w:rFonts w:ascii="宋体" w:hAnsi="宋体" w:eastAsia="宋体" w:cs="宋体"/>
                <w:sz w:val="24"/>
                <w:szCs w:val="24"/>
                <w:highlight w:val="none"/>
              </w:rPr>
            </w:pPr>
            <w:r>
              <w:rPr>
                <w:rFonts w:hint="eastAsia" w:ascii="宋体" w:hAnsi="宋体" w:eastAsia="宋体"/>
                <w:highlight w:val="none"/>
              </w:rPr>
              <w:t xml:space="preserve">现金替代比例上限 </w:t>
            </w:r>
          </w:p>
        </w:tc>
        <w:tc>
          <w:tcPr>
            <w:tcW w:w="4208" w:type="dxa"/>
            <w:gridSpan w:val="5"/>
            <w:shd w:val="clear" w:color="auto" w:fill="auto"/>
          </w:tcPr>
          <w:p w14:paraId="46F96272">
            <w:pPr>
              <w:rPr>
                <w:rFonts w:ascii="宋体" w:hAnsi="宋体" w:eastAsia="宋体" w:cs="宋体"/>
                <w:sz w:val="24"/>
                <w:szCs w:val="24"/>
                <w:highlight w:val="none"/>
              </w:rPr>
            </w:pPr>
            <w:r>
              <w:rPr>
                <w:rFonts w:hint="eastAsia" w:ascii="宋体" w:hAnsi="宋体" w:eastAsia="宋体"/>
                <w:highlight w:val="none"/>
                <w:lang w:val="en-US" w:eastAsia="zh-CN"/>
              </w:rPr>
              <w:t>XXX</w:t>
            </w:r>
            <w:r>
              <w:rPr>
                <w:rFonts w:hint="eastAsia" w:ascii="宋体" w:hAnsi="宋体" w:eastAsia="宋体"/>
                <w:highlight w:val="none"/>
              </w:rPr>
              <w:t xml:space="preserve"> </w:t>
            </w:r>
          </w:p>
        </w:tc>
      </w:tr>
      <w:tr w14:paraId="023F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1B7E99E1">
            <w:pPr>
              <w:rPr>
                <w:rFonts w:ascii="宋体" w:hAnsi="宋体" w:eastAsia="宋体" w:cs="宋体"/>
                <w:sz w:val="24"/>
                <w:szCs w:val="24"/>
                <w:highlight w:val="none"/>
              </w:rPr>
            </w:pPr>
            <w:r>
              <w:rPr>
                <w:rFonts w:hint="eastAsia" w:ascii="宋体" w:hAnsi="宋体" w:eastAsia="宋体"/>
                <w:highlight w:val="none"/>
              </w:rPr>
              <w:t xml:space="preserve">当日累计可申购的基金份额上限 </w:t>
            </w:r>
          </w:p>
        </w:tc>
        <w:tc>
          <w:tcPr>
            <w:tcW w:w="4208" w:type="dxa"/>
            <w:gridSpan w:val="5"/>
            <w:shd w:val="clear" w:color="auto" w:fill="auto"/>
          </w:tcPr>
          <w:p w14:paraId="3A544129">
            <w:pPr>
              <w:rPr>
                <w:rFonts w:ascii="宋体" w:hAnsi="宋体" w:eastAsia="宋体" w:cs="宋体"/>
                <w:sz w:val="24"/>
                <w:szCs w:val="24"/>
                <w:highlight w:val="none"/>
              </w:rPr>
            </w:pPr>
            <w:r>
              <w:rPr>
                <w:rFonts w:hint="eastAsia" w:ascii="宋体" w:hAnsi="宋体" w:eastAsia="宋体"/>
                <w:highlight w:val="none"/>
                <w:lang w:val="en-US" w:eastAsia="zh-CN"/>
              </w:rPr>
              <w:t>XXX</w:t>
            </w:r>
            <w:r>
              <w:rPr>
                <w:rFonts w:hint="eastAsia" w:ascii="宋体" w:hAnsi="宋体" w:eastAsia="宋体"/>
                <w:highlight w:val="none"/>
              </w:rPr>
              <w:t xml:space="preserve"> </w:t>
            </w:r>
          </w:p>
        </w:tc>
      </w:tr>
      <w:tr w14:paraId="182E3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2E6187D3">
            <w:pPr>
              <w:rPr>
                <w:rFonts w:ascii="宋体" w:hAnsi="宋体" w:eastAsia="宋体" w:cs="宋体"/>
                <w:sz w:val="24"/>
                <w:szCs w:val="24"/>
                <w:highlight w:val="none"/>
              </w:rPr>
            </w:pPr>
            <w:r>
              <w:rPr>
                <w:rFonts w:hint="eastAsia" w:ascii="宋体" w:hAnsi="宋体" w:eastAsia="宋体"/>
                <w:highlight w:val="none"/>
              </w:rPr>
              <w:t xml:space="preserve">当日累计可赎回的基金份额上限 </w:t>
            </w:r>
          </w:p>
        </w:tc>
        <w:tc>
          <w:tcPr>
            <w:tcW w:w="4208" w:type="dxa"/>
            <w:gridSpan w:val="5"/>
            <w:shd w:val="clear" w:color="auto" w:fill="auto"/>
          </w:tcPr>
          <w:p w14:paraId="3556CC22">
            <w:pPr>
              <w:rPr>
                <w:rFonts w:ascii="宋体" w:hAnsi="宋体" w:eastAsia="宋体" w:cs="宋体"/>
                <w:sz w:val="24"/>
                <w:szCs w:val="24"/>
                <w:highlight w:val="none"/>
              </w:rPr>
            </w:pPr>
            <w:r>
              <w:rPr>
                <w:rFonts w:hint="eastAsia" w:ascii="宋体" w:hAnsi="宋体" w:eastAsia="宋体"/>
                <w:highlight w:val="none"/>
                <w:lang w:val="en-US" w:eastAsia="zh-CN"/>
              </w:rPr>
              <w:t>XXX</w:t>
            </w:r>
            <w:r>
              <w:rPr>
                <w:rFonts w:hint="eastAsia" w:ascii="宋体" w:hAnsi="宋体" w:eastAsia="宋体"/>
                <w:highlight w:val="none"/>
              </w:rPr>
              <w:t xml:space="preserve"> </w:t>
            </w:r>
          </w:p>
        </w:tc>
      </w:tr>
      <w:tr w14:paraId="4CDF5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62854624">
            <w:pPr>
              <w:rPr>
                <w:rFonts w:ascii="宋体" w:hAnsi="宋体" w:eastAsia="宋体" w:cs="宋体"/>
                <w:sz w:val="24"/>
                <w:szCs w:val="24"/>
                <w:highlight w:val="none"/>
              </w:rPr>
            </w:pPr>
            <w:r>
              <w:rPr>
                <w:rFonts w:hint="eastAsia" w:ascii="宋体" w:hAnsi="宋体" w:eastAsia="宋体"/>
                <w:highlight w:val="none"/>
              </w:rPr>
              <w:t xml:space="preserve">当日净申购的基金份额上限 </w:t>
            </w:r>
          </w:p>
        </w:tc>
        <w:tc>
          <w:tcPr>
            <w:tcW w:w="4208" w:type="dxa"/>
            <w:gridSpan w:val="5"/>
            <w:shd w:val="clear" w:color="auto" w:fill="auto"/>
          </w:tcPr>
          <w:p w14:paraId="0CA21217">
            <w:pPr>
              <w:rPr>
                <w:rFonts w:ascii="宋体" w:hAnsi="宋体" w:eastAsia="宋体" w:cs="宋体"/>
                <w:sz w:val="24"/>
                <w:szCs w:val="24"/>
                <w:highlight w:val="none"/>
              </w:rPr>
            </w:pPr>
            <w:r>
              <w:rPr>
                <w:rFonts w:hint="eastAsia" w:ascii="宋体" w:hAnsi="宋体" w:eastAsia="宋体"/>
                <w:highlight w:val="none"/>
                <w:lang w:val="en-US" w:eastAsia="zh-CN"/>
              </w:rPr>
              <w:t>XXX</w:t>
            </w:r>
            <w:r>
              <w:rPr>
                <w:rFonts w:hint="eastAsia" w:ascii="宋体" w:hAnsi="宋体" w:eastAsia="宋体"/>
                <w:highlight w:val="none"/>
              </w:rPr>
              <w:t xml:space="preserve"> </w:t>
            </w:r>
          </w:p>
        </w:tc>
      </w:tr>
      <w:tr w14:paraId="6B657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136DF894">
            <w:pPr>
              <w:rPr>
                <w:rFonts w:ascii="宋体" w:hAnsi="宋体" w:eastAsia="宋体" w:cs="宋体"/>
                <w:sz w:val="24"/>
                <w:szCs w:val="24"/>
                <w:highlight w:val="none"/>
              </w:rPr>
            </w:pPr>
            <w:r>
              <w:rPr>
                <w:rFonts w:hint="eastAsia" w:ascii="宋体" w:hAnsi="宋体" w:eastAsia="宋体"/>
                <w:highlight w:val="none"/>
              </w:rPr>
              <w:t xml:space="preserve">当日净赎回的基金份额上限 </w:t>
            </w:r>
          </w:p>
        </w:tc>
        <w:tc>
          <w:tcPr>
            <w:tcW w:w="4208" w:type="dxa"/>
            <w:gridSpan w:val="5"/>
            <w:shd w:val="clear" w:color="auto" w:fill="auto"/>
          </w:tcPr>
          <w:p w14:paraId="32C0C12B">
            <w:pPr>
              <w:rPr>
                <w:rFonts w:ascii="宋体" w:hAnsi="宋体" w:eastAsia="宋体" w:cs="宋体"/>
                <w:sz w:val="24"/>
                <w:szCs w:val="24"/>
                <w:highlight w:val="none"/>
              </w:rPr>
            </w:pPr>
            <w:r>
              <w:rPr>
                <w:rFonts w:hint="eastAsia" w:ascii="宋体" w:hAnsi="宋体" w:eastAsia="宋体"/>
                <w:highlight w:val="none"/>
                <w:lang w:val="en-US" w:eastAsia="zh-CN"/>
              </w:rPr>
              <w:t>XXX</w:t>
            </w:r>
            <w:r>
              <w:rPr>
                <w:rFonts w:hint="eastAsia" w:ascii="宋体" w:hAnsi="宋体" w:eastAsia="宋体"/>
                <w:highlight w:val="none"/>
              </w:rPr>
              <w:t xml:space="preserve"> </w:t>
            </w:r>
          </w:p>
        </w:tc>
      </w:tr>
      <w:tr w14:paraId="67344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132F7758">
            <w:pPr>
              <w:rPr>
                <w:rFonts w:ascii="宋体" w:hAnsi="宋体" w:eastAsia="宋体" w:cs="宋体"/>
                <w:sz w:val="24"/>
                <w:szCs w:val="24"/>
                <w:highlight w:val="none"/>
              </w:rPr>
            </w:pPr>
            <w:r>
              <w:rPr>
                <w:rFonts w:hint="eastAsia" w:ascii="宋体" w:hAnsi="宋体" w:eastAsia="宋体"/>
                <w:highlight w:val="none"/>
              </w:rPr>
              <w:t xml:space="preserve">单个证券账户当日净申购的基金份额上限 </w:t>
            </w:r>
          </w:p>
        </w:tc>
        <w:tc>
          <w:tcPr>
            <w:tcW w:w="4208" w:type="dxa"/>
            <w:gridSpan w:val="5"/>
            <w:shd w:val="clear" w:color="auto" w:fill="auto"/>
          </w:tcPr>
          <w:p w14:paraId="6D3A8F8D">
            <w:pPr>
              <w:rPr>
                <w:rFonts w:ascii="宋体" w:hAnsi="宋体" w:eastAsia="宋体" w:cs="宋体"/>
                <w:sz w:val="24"/>
                <w:szCs w:val="24"/>
                <w:highlight w:val="none"/>
              </w:rPr>
            </w:pPr>
            <w:r>
              <w:rPr>
                <w:rFonts w:hint="eastAsia" w:ascii="宋体" w:hAnsi="宋体" w:eastAsia="宋体"/>
                <w:highlight w:val="none"/>
                <w:lang w:val="en-US" w:eastAsia="zh-CN"/>
              </w:rPr>
              <w:t>XXX</w:t>
            </w:r>
            <w:r>
              <w:rPr>
                <w:rFonts w:hint="eastAsia" w:ascii="宋体" w:hAnsi="宋体" w:eastAsia="宋体"/>
                <w:highlight w:val="none"/>
              </w:rPr>
              <w:t xml:space="preserve"> </w:t>
            </w:r>
          </w:p>
        </w:tc>
      </w:tr>
      <w:tr w14:paraId="2B734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33814447">
            <w:pPr>
              <w:rPr>
                <w:rFonts w:hint="eastAsia" w:ascii="宋体" w:hAnsi="宋体" w:eastAsia="宋体"/>
                <w:highlight w:val="none"/>
              </w:rPr>
            </w:pPr>
            <w:r>
              <w:rPr>
                <w:rFonts w:hint="eastAsia" w:ascii="宋体" w:hAnsi="宋体" w:eastAsia="宋体"/>
                <w:highlight w:val="none"/>
              </w:rPr>
              <w:t>单个证券账户当日净赎回的基金份额上限</w:t>
            </w:r>
          </w:p>
        </w:tc>
        <w:tc>
          <w:tcPr>
            <w:tcW w:w="4208" w:type="dxa"/>
            <w:gridSpan w:val="5"/>
            <w:shd w:val="clear" w:color="auto" w:fill="auto"/>
          </w:tcPr>
          <w:p w14:paraId="085437CA">
            <w:pPr>
              <w:rPr>
                <w:rFonts w:hint="eastAsia" w:ascii="宋体" w:hAnsi="宋体" w:eastAsia="宋体"/>
                <w:highlight w:val="none"/>
              </w:rPr>
            </w:pPr>
            <w:r>
              <w:rPr>
                <w:rFonts w:hint="eastAsia" w:ascii="宋体" w:hAnsi="宋体" w:eastAsia="宋体"/>
                <w:highlight w:val="none"/>
                <w:lang w:val="en-US" w:eastAsia="zh-CN"/>
              </w:rPr>
              <w:t>XXX</w:t>
            </w:r>
          </w:p>
        </w:tc>
      </w:tr>
      <w:tr w14:paraId="2D398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70EAB489">
            <w:pPr>
              <w:rPr>
                <w:rFonts w:hint="eastAsia" w:ascii="宋体" w:hAnsi="宋体" w:eastAsia="宋体"/>
                <w:highlight w:val="none"/>
              </w:rPr>
            </w:pPr>
            <w:r>
              <w:rPr>
                <w:rFonts w:hint="eastAsia" w:ascii="宋体" w:hAnsi="宋体" w:eastAsia="宋体"/>
                <w:highlight w:val="none"/>
              </w:rPr>
              <w:t>单个证券账户当日累计可申购的基金份额上限</w:t>
            </w:r>
          </w:p>
        </w:tc>
        <w:tc>
          <w:tcPr>
            <w:tcW w:w="4208" w:type="dxa"/>
            <w:gridSpan w:val="5"/>
            <w:shd w:val="clear" w:color="auto" w:fill="auto"/>
          </w:tcPr>
          <w:p w14:paraId="22586790">
            <w:pPr>
              <w:rPr>
                <w:rFonts w:hint="eastAsia" w:ascii="宋体" w:hAnsi="宋体" w:eastAsia="宋体"/>
                <w:highlight w:val="none"/>
              </w:rPr>
            </w:pPr>
            <w:r>
              <w:rPr>
                <w:rFonts w:hint="eastAsia" w:ascii="宋体" w:hAnsi="宋体" w:eastAsia="宋体"/>
                <w:highlight w:val="none"/>
                <w:lang w:val="en-US" w:eastAsia="zh-CN"/>
              </w:rPr>
              <w:t>XXX</w:t>
            </w:r>
          </w:p>
        </w:tc>
      </w:tr>
      <w:tr w14:paraId="47548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4DF727C5">
            <w:pPr>
              <w:rPr>
                <w:rFonts w:hint="eastAsia" w:ascii="宋体" w:hAnsi="宋体" w:eastAsia="宋体"/>
                <w:highlight w:val="none"/>
              </w:rPr>
            </w:pPr>
            <w:r>
              <w:rPr>
                <w:rFonts w:hint="eastAsia" w:ascii="宋体" w:hAnsi="宋体" w:eastAsia="宋体"/>
                <w:highlight w:val="none"/>
              </w:rPr>
              <w:t>单个证券账户当日累计可赎回的基金份额上限</w:t>
            </w:r>
          </w:p>
        </w:tc>
        <w:tc>
          <w:tcPr>
            <w:tcW w:w="4208" w:type="dxa"/>
            <w:gridSpan w:val="5"/>
            <w:shd w:val="clear" w:color="auto" w:fill="auto"/>
          </w:tcPr>
          <w:p w14:paraId="22711B5F">
            <w:pPr>
              <w:rPr>
                <w:rFonts w:hint="eastAsia" w:ascii="宋体" w:hAnsi="宋体" w:eastAsia="宋体"/>
                <w:highlight w:val="none"/>
              </w:rPr>
            </w:pPr>
            <w:r>
              <w:rPr>
                <w:rFonts w:hint="eastAsia" w:ascii="宋体" w:hAnsi="宋体" w:eastAsia="宋体"/>
                <w:highlight w:val="none"/>
                <w:lang w:val="en-US" w:eastAsia="zh-CN"/>
              </w:rPr>
              <w:t>XXX</w:t>
            </w:r>
          </w:p>
        </w:tc>
      </w:tr>
      <w:tr w14:paraId="608FD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227DDCA5">
            <w:pPr>
              <w:rPr>
                <w:rFonts w:hint="eastAsia" w:ascii="宋体" w:hAnsi="宋体" w:eastAsia="宋体"/>
                <w:highlight w:val="none"/>
              </w:rPr>
            </w:pPr>
            <w:r>
              <w:rPr>
                <w:rFonts w:hint="eastAsia" w:ascii="宋体" w:hAnsi="宋体" w:eastAsia="宋体"/>
                <w:highlight w:val="none"/>
              </w:rPr>
              <w:t>是否需要公布IOPV</w:t>
            </w:r>
          </w:p>
        </w:tc>
        <w:tc>
          <w:tcPr>
            <w:tcW w:w="4208" w:type="dxa"/>
            <w:gridSpan w:val="5"/>
            <w:shd w:val="clear" w:color="auto" w:fill="auto"/>
          </w:tcPr>
          <w:p w14:paraId="3293BDA7">
            <w:pPr>
              <w:rPr>
                <w:rFonts w:hint="eastAsia" w:ascii="宋体" w:hAnsi="宋体" w:eastAsia="宋体"/>
                <w:highlight w:val="none"/>
              </w:rPr>
            </w:pPr>
            <w:r>
              <w:rPr>
                <w:rFonts w:hint="eastAsia" w:ascii="宋体" w:hAnsi="宋体" w:eastAsia="宋体"/>
                <w:highlight w:val="none"/>
                <w:lang w:val="en-US" w:eastAsia="zh-CN"/>
              </w:rPr>
              <w:t>XXX</w:t>
            </w:r>
          </w:p>
        </w:tc>
      </w:tr>
      <w:tr w14:paraId="1E1D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04672A2E">
            <w:pPr>
              <w:rPr>
                <w:rFonts w:hint="eastAsia" w:ascii="宋体" w:hAnsi="宋体" w:eastAsia="宋体"/>
                <w:highlight w:val="none"/>
              </w:rPr>
            </w:pPr>
            <w:r>
              <w:rPr>
                <w:rFonts w:hint="eastAsia" w:ascii="宋体" w:hAnsi="宋体" w:eastAsia="宋体"/>
                <w:highlight w:val="none"/>
              </w:rPr>
              <w:t>最小申购、赎回单位（单位：份）</w:t>
            </w:r>
          </w:p>
        </w:tc>
        <w:tc>
          <w:tcPr>
            <w:tcW w:w="4208" w:type="dxa"/>
            <w:gridSpan w:val="5"/>
            <w:shd w:val="clear" w:color="auto" w:fill="auto"/>
          </w:tcPr>
          <w:p w14:paraId="3F8578A0">
            <w:pPr>
              <w:rPr>
                <w:rFonts w:hint="eastAsia" w:ascii="宋体" w:hAnsi="宋体" w:eastAsia="宋体"/>
                <w:highlight w:val="none"/>
              </w:rPr>
            </w:pPr>
            <w:r>
              <w:rPr>
                <w:rFonts w:hint="eastAsia" w:ascii="宋体" w:hAnsi="宋体" w:eastAsia="宋体"/>
                <w:highlight w:val="none"/>
                <w:lang w:val="en-US" w:eastAsia="zh-CN"/>
              </w:rPr>
              <w:t>XXX</w:t>
            </w:r>
          </w:p>
        </w:tc>
      </w:tr>
      <w:tr w14:paraId="6B39D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33337C32">
            <w:pPr>
              <w:rPr>
                <w:rFonts w:hint="eastAsia" w:ascii="宋体" w:hAnsi="宋体" w:eastAsia="宋体"/>
                <w:highlight w:val="none"/>
              </w:rPr>
            </w:pPr>
            <w:r>
              <w:rPr>
                <w:rFonts w:hint="eastAsia" w:ascii="宋体" w:hAnsi="宋体" w:eastAsia="宋体"/>
                <w:highlight w:val="none"/>
              </w:rPr>
              <w:t>申购赎回的允许情况</w:t>
            </w:r>
          </w:p>
        </w:tc>
        <w:tc>
          <w:tcPr>
            <w:tcW w:w="4208" w:type="dxa"/>
            <w:gridSpan w:val="5"/>
            <w:shd w:val="clear" w:color="auto" w:fill="auto"/>
          </w:tcPr>
          <w:p w14:paraId="4F000B39">
            <w:pPr>
              <w:rPr>
                <w:rFonts w:hint="eastAsia" w:ascii="宋体" w:hAnsi="宋体" w:eastAsia="宋体"/>
                <w:highlight w:val="none"/>
              </w:rPr>
            </w:pPr>
            <w:r>
              <w:rPr>
                <w:rFonts w:hint="eastAsia" w:ascii="宋体" w:hAnsi="宋体" w:eastAsia="宋体"/>
                <w:highlight w:val="none"/>
                <w:lang w:val="en-US" w:eastAsia="zh-CN"/>
              </w:rPr>
              <w:t>XXX</w:t>
            </w:r>
          </w:p>
        </w:tc>
      </w:tr>
      <w:tr w14:paraId="7E8DE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4308" w:type="dxa"/>
            <w:gridSpan w:val="4"/>
            <w:shd w:val="clear" w:color="auto" w:fill="auto"/>
          </w:tcPr>
          <w:p w14:paraId="4665C14F">
            <w:pPr>
              <w:rPr>
                <w:rFonts w:hint="eastAsia" w:ascii="宋体" w:hAnsi="宋体" w:eastAsia="宋体"/>
                <w:highlight w:val="none"/>
              </w:rPr>
            </w:pPr>
            <w:r>
              <w:rPr>
                <w:rFonts w:hint="eastAsia" w:ascii="宋体" w:hAnsi="宋体" w:eastAsia="宋体"/>
                <w:highlight w:val="none"/>
              </w:rPr>
              <w:t>申购赎回模式</w:t>
            </w:r>
          </w:p>
        </w:tc>
        <w:tc>
          <w:tcPr>
            <w:tcW w:w="4208" w:type="dxa"/>
            <w:gridSpan w:val="5"/>
            <w:shd w:val="clear" w:color="auto" w:fill="auto"/>
          </w:tcPr>
          <w:p w14:paraId="3D60E2AB">
            <w:pPr>
              <w:rPr>
                <w:rFonts w:hint="eastAsia" w:ascii="宋体" w:hAnsi="宋体" w:eastAsia="宋体"/>
                <w:highlight w:val="none"/>
              </w:rPr>
            </w:pPr>
            <w:r>
              <w:rPr>
                <w:rFonts w:hint="eastAsia" w:ascii="宋体" w:hAnsi="宋体" w:eastAsia="宋体"/>
                <w:highlight w:val="none"/>
                <w:lang w:val="en-US" w:eastAsia="zh-CN"/>
              </w:rPr>
              <w:t>XXX</w:t>
            </w:r>
          </w:p>
        </w:tc>
      </w:tr>
      <w:tr w14:paraId="25F5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516" w:type="dxa"/>
            <w:gridSpan w:val="9"/>
            <w:shd w:val="clear" w:color="auto" w:fill="auto"/>
          </w:tcPr>
          <w:p w14:paraId="0B0358A0">
            <w:pPr>
              <w:rPr>
                <w:rFonts w:ascii="宋体" w:hAnsi="宋体" w:eastAsia="宋体" w:cs="宋体"/>
                <w:sz w:val="24"/>
                <w:szCs w:val="24"/>
                <w:highlight w:val="none"/>
              </w:rPr>
            </w:pPr>
            <w:r>
              <w:rPr>
                <w:rFonts w:hint="eastAsia" w:ascii="宋体" w:hAnsi="宋体" w:eastAsia="宋体"/>
                <w:highlight w:val="none"/>
              </w:rPr>
              <w:t xml:space="preserve">成份股信息内容 </w:t>
            </w:r>
          </w:p>
        </w:tc>
      </w:tr>
      <w:tr w14:paraId="495C5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872" w:type="dxa"/>
            <w:shd w:val="clear" w:color="auto" w:fill="auto"/>
          </w:tcPr>
          <w:p w14:paraId="79629DF0">
            <w:pPr>
              <w:rPr>
                <w:rFonts w:ascii="宋体" w:hAnsi="宋体" w:eastAsia="宋体" w:cs="宋体"/>
                <w:sz w:val="24"/>
                <w:szCs w:val="24"/>
                <w:highlight w:val="none"/>
              </w:rPr>
            </w:pPr>
            <w:r>
              <w:rPr>
                <w:rFonts w:hint="eastAsia" w:ascii="宋体" w:hAnsi="宋体" w:eastAsia="宋体"/>
                <w:highlight w:val="none"/>
                <w:lang w:val="en-US" w:eastAsia="zh-CN"/>
              </w:rPr>
              <w:t>证券</w:t>
            </w:r>
            <w:r>
              <w:rPr>
                <w:rFonts w:hint="eastAsia" w:ascii="宋体" w:hAnsi="宋体" w:eastAsia="宋体"/>
                <w:highlight w:val="none"/>
              </w:rPr>
              <w:t xml:space="preserve">代码 </w:t>
            </w:r>
          </w:p>
        </w:tc>
        <w:tc>
          <w:tcPr>
            <w:tcW w:w="1609" w:type="dxa"/>
            <w:shd w:val="clear" w:color="auto" w:fill="auto"/>
          </w:tcPr>
          <w:p w14:paraId="465A4EE0">
            <w:pPr>
              <w:rPr>
                <w:rFonts w:ascii="宋体" w:hAnsi="宋体" w:eastAsia="宋体" w:cs="宋体"/>
                <w:sz w:val="24"/>
                <w:szCs w:val="24"/>
                <w:highlight w:val="none"/>
              </w:rPr>
            </w:pPr>
            <w:r>
              <w:rPr>
                <w:rFonts w:hint="eastAsia" w:ascii="宋体" w:hAnsi="宋体" w:eastAsia="宋体"/>
                <w:highlight w:val="none"/>
                <w:lang w:val="en-US" w:eastAsia="zh-CN"/>
              </w:rPr>
              <w:t>证券</w:t>
            </w:r>
            <w:r>
              <w:rPr>
                <w:rFonts w:hint="eastAsia" w:ascii="宋体" w:hAnsi="宋体" w:eastAsia="宋体"/>
                <w:highlight w:val="none"/>
              </w:rPr>
              <w:t xml:space="preserve">简称 </w:t>
            </w:r>
          </w:p>
        </w:tc>
        <w:tc>
          <w:tcPr>
            <w:tcW w:w="1006" w:type="dxa"/>
            <w:shd w:val="clear" w:color="auto" w:fill="auto"/>
          </w:tcPr>
          <w:p w14:paraId="3530A5A1">
            <w:pPr>
              <w:rPr>
                <w:rFonts w:hint="eastAsia" w:ascii="宋体" w:hAnsi="宋体" w:eastAsia="宋体"/>
                <w:highlight w:val="none"/>
              </w:rPr>
            </w:pPr>
            <w:r>
              <w:rPr>
                <w:rFonts w:hint="eastAsia" w:ascii="宋体" w:hAnsi="宋体" w:eastAsia="宋体"/>
                <w:highlight w:val="none"/>
              </w:rPr>
              <w:t>股票数量</w:t>
            </w:r>
          </w:p>
          <w:p w14:paraId="4CED0F25">
            <w:pPr>
              <w:rPr>
                <w:rFonts w:ascii="宋体" w:hAnsi="宋体" w:eastAsia="宋体" w:cs="宋体"/>
                <w:sz w:val="24"/>
                <w:szCs w:val="24"/>
                <w:highlight w:val="none"/>
              </w:rPr>
            </w:pPr>
            <w:r>
              <w:rPr>
                <w:rFonts w:hint="eastAsia" w:ascii="宋体" w:hAnsi="宋体" w:eastAsia="宋体"/>
                <w:highlight w:val="none"/>
              </w:rPr>
              <w:t>（股）</w:t>
            </w:r>
          </w:p>
        </w:tc>
        <w:tc>
          <w:tcPr>
            <w:tcW w:w="1609" w:type="dxa"/>
            <w:gridSpan w:val="2"/>
            <w:shd w:val="clear" w:color="auto" w:fill="auto"/>
          </w:tcPr>
          <w:p w14:paraId="4AA50C0A">
            <w:pPr>
              <w:rPr>
                <w:rFonts w:ascii="宋体" w:hAnsi="宋体" w:eastAsia="宋体" w:cs="宋体"/>
                <w:sz w:val="24"/>
                <w:szCs w:val="24"/>
                <w:highlight w:val="none"/>
              </w:rPr>
            </w:pPr>
            <w:r>
              <w:rPr>
                <w:rFonts w:hint="eastAsia" w:ascii="宋体" w:hAnsi="宋体" w:eastAsia="宋体"/>
                <w:highlight w:val="none"/>
              </w:rPr>
              <w:t xml:space="preserve">现金替代标志 </w:t>
            </w:r>
          </w:p>
        </w:tc>
        <w:tc>
          <w:tcPr>
            <w:tcW w:w="1609" w:type="dxa"/>
            <w:shd w:val="clear" w:color="auto" w:fill="auto"/>
          </w:tcPr>
          <w:p w14:paraId="0649BEF7">
            <w:pPr>
              <w:rPr>
                <w:rFonts w:hint="eastAsia" w:ascii="宋体" w:hAnsi="宋体" w:eastAsia="宋体"/>
                <w:highlight w:val="none"/>
              </w:rPr>
            </w:pPr>
            <w:r>
              <w:rPr>
                <w:rFonts w:hint="eastAsia" w:ascii="宋体" w:hAnsi="宋体" w:eastAsia="宋体"/>
                <w:highlight w:val="none"/>
              </w:rPr>
              <w:t>申购现金替</w:t>
            </w:r>
          </w:p>
          <w:p w14:paraId="6DEF8CF5">
            <w:pPr>
              <w:rPr>
                <w:rFonts w:ascii="宋体" w:hAnsi="宋体" w:eastAsia="宋体" w:cs="宋体"/>
                <w:sz w:val="24"/>
                <w:szCs w:val="24"/>
                <w:highlight w:val="none"/>
              </w:rPr>
            </w:pPr>
            <w:r>
              <w:rPr>
                <w:rFonts w:hint="eastAsia" w:ascii="宋体" w:hAnsi="宋体" w:eastAsia="宋体"/>
                <w:highlight w:val="none"/>
              </w:rPr>
              <w:t xml:space="preserve">代溢价比例 </w:t>
            </w:r>
          </w:p>
        </w:tc>
        <w:tc>
          <w:tcPr>
            <w:tcW w:w="872" w:type="dxa"/>
            <w:shd w:val="clear" w:color="auto" w:fill="auto"/>
          </w:tcPr>
          <w:p w14:paraId="0778C8D5">
            <w:pPr>
              <w:rPr>
                <w:rFonts w:hint="eastAsia" w:ascii="宋体" w:hAnsi="宋体" w:eastAsia="宋体"/>
                <w:highlight w:val="none"/>
              </w:rPr>
            </w:pPr>
            <w:r>
              <w:rPr>
                <w:rFonts w:hint="eastAsia" w:ascii="宋体" w:hAnsi="宋体" w:eastAsia="宋体"/>
                <w:highlight w:val="none"/>
              </w:rPr>
              <w:t>赎回现金替</w:t>
            </w:r>
          </w:p>
          <w:p w14:paraId="08C29CBF">
            <w:pPr>
              <w:rPr>
                <w:rFonts w:ascii="宋体" w:hAnsi="宋体" w:eastAsia="宋体" w:cs="宋体"/>
                <w:sz w:val="24"/>
                <w:szCs w:val="24"/>
                <w:highlight w:val="none"/>
              </w:rPr>
            </w:pPr>
            <w:r>
              <w:rPr>
                <w:rFonts w:hint="eastAsia" w:ascii="宋体" w:hAnsi="宋体" w:eastAsia="宋体"/>
                <w:highlight w:val="none"/>
              </w:rPr>
              <w:t xml:space="preserve">代折价比例 </w:t>
            </w:r>
          </w:p>
        </w:tc>
        <w:tc>
          <w:tcPr>
            <w:tcW w:w="469" w:type="dxa"/>
            <w:shd w:val="clear" w:color="auto" w:fill="auto"/>
          </w:tcPr>
          <w:p w14:paraId="690B41C2">
            <w:pPr>
              <w:rPr>
                <w:rFonts w:hint="eastAsia" w:ascii="宋体" w:hAnsi="宋体" w:eastAsia="宋体"/>
                <w:highlight w:val="none"/>
              </w:rPr>
            </w:pPr>
            <w:r>
              <w:rPr>
                <w:rFonts w:hint="eastAsia" w:ascii="宋体" w:hAnsi="宋体" w:eastAsia="宋体"/>
                <w:highlight w:val="none"/>
              </w:rPr>
              <w:t>替代金额（单</w:t>
            </w:r>
          </w:p>
          <w:p w14:paraId="061A6A34">
            <w:pPr>
              <w:rPr>
                <w:rFonts w:ascii="宋体" w:hAnsi="宋体" w:eastAsia="宋体" w:cs="宋体"/>
                <w:sz w:val="24"/>
                <w:szCs w:val="24"/>
                <w:highlight w:val="none"/>
              </w:rPr>
            </w:pPr>
            <w:r>
              <w:rPr>
                <w:rFonts w:hint="eastAsia" w:ascii="宋体" w:hAnsi="宋体" w:eastAsia="宋体"/>
                <w:highlight w:val="none"/>
              </w:rPr>
              <w:t xml:space="preserve">位：人民币元） </w:t>
            </w:r>
          </w:p>
        </w:tc>
        <w:tc>
          <w:tcPr>
            <w:tcW w:w="470" w:type="dxa"/>
            <w:shd w:val="clear" w:color="auto" w:fill="auto"/>
          </w:tcPr>
          <w:p w14:paraId="3F2E7A12">
            <w:pPr>
              <w:keepNext w:val="0"/>
              <w:keepLines w:val="0"/>
              <w:widowControl/>
              <w:suppressLineNumbers w:val="0"/>
              <w:jc w:val="left"/>
              <w:rPr>
                <w:highlight w:val="none"/>
              </w:rPr>
            </w:pPr>
            <w:r>
              <w:rPr>
                <w:rFonts w:hint="eastAsia" w:ascii="宋体" w:hAnsi="宋体" w:eastAsia="宋体" w:cs="宋体"/>
                <w:color w:val="000000"/>
                <w:kern w:val="0"/>
                <w:sz w:val="21"/>
                <w:szCs w:val="21"/>
                <w:highlight w:val="none"/>
                <w:lang w:val="en-US" w:eastAsia="zh-CN" w:bidi="ar"/>
              </w:rPr>
              <w:t xml:space="preserve">挂牌 </w:t>
            </w:r>
          </w:p>
          <w:p w14:paraId="56448847">
            <w:pPr>
              <w:keepNext w:val="0"/>
              <w:keepLines w:val="0"/>
              <w:widowControl/>
              <w:suppressLineNumbers w:val="0"/>
              <w:jc w:val="left"/>
              <w:rPr>
                <w:highlight w:val="none"/>
              </w:rPr>
            </w:pPr>
            <w:r>
              <w:rPr>
                <w:rFonts w:hint="eastAsia" w:ascii="宋体" w:hAnsi="宋体" w:eastAsia="宋体" w:cs="宋体"/>
                <w:color w:val="000000"/>
                <w:kern w:val="0"/>
                <w:sz w:val="21"/>
                <w:szCs w:val="21"/>
                <w:highlight w:val="none"/>
                <w:lang w:val="en-US" w:eastAsia="zh-CN" w:bidi="ar"/>
              </w:rPr>
              <w:t>市场</w:t>
            </w:r>
          </w:p>
          <w:p w14:paraId="2F49CCC4">
            <w:pPr>
              <w:rPr>
                <w:rFonts w:hint="eastAsia" w:ascii="宋体" w:hAnsi="宋体" w:eastAsia="宋体"/>
                <w:highlight w:val="none"/>
              </w:rPr>
            </w:pPr>
          </w:p>
        </w:tc>
      </w:tr>
      <w:tr w14:paraId="47E08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72" w:type="dxa"/>
            <w:shd w:val="clear" w:color="auto" w:fill="auto"/>
          </w:tcPr>
          <w:p w14:paraId="58589170">
            <w:pPr>
              <w:rPr>
                <w:rFonts w:ascii="宋体" w:hAnsi="宋体" w:eastAsia="宋体" w:cs="宋体"/>
                <w:sz w:val="24"/>
                <w:szCs w:val="24"/>
                <w:highlight w:val="none"/>
              </w:rPr>
            </w:pPr>
          </w:p>
        </w:tc>
        <w:tc>
          <w:tcPr>
            <w:tcW w:w="1609" w:type="dxa"/>
            <w:shd w:val="clear" w:color="auto" w:fill="auto"/>
          </w:tcPr>
          <w:p w14:paraId="79064400">
            <w:pPr>
              <w:rPr>
                <w:rFonts w:ascii="宋体" w:hAnsi="宋体" w:eastAsia="宋体" w:cs="宋体"/>
                <w:sz w:val="24"/>
                <w:szCs w:val="24"/>
                <w:highlight w:val="none"/>
              </w:rPr>
            </w:pPr>
          </w:p>
        </w:tc>
        <w:tc>
          <w:tcPr>
            <w:tcW w:w="1006" w:type="dxa"/>
            <w:shd w:val="clear" w:color="auto" w:fill="auto"/>
          </w:tcPr>
          <w:p w14:paraId="62BCDC97">
            <w:pPr>
              <w:rPr>
                <w:rFonts w:ascii="宋体" w:hAnsi="宋体" w:eastAsia="宋体" w:cs="宋体"/>
                <w:sz w:val="24"/>
                <w:szCs w:val="24"/>
                <w:highlight w:val="none"/>
              </w:rPr>
            </w:pPr>
          </w:p>
        </w:tc>
        <w:tc>
          <w:tcPr>
            <w:tcW w:w="1609" w:type="dxa"/>
            <w:gridSpan w:val="2"/>
            <w:shd w:val="clear" w:color="auto" w:fill="auto"/>
          </w:tcPr>
          <w:p w14:paraId="67D0DBFD">
            <w:pPr>
              <w:rPr>
                <w:rFonts w:ascii="宋体" w:hAnsi="宋体" w:eastAsia="宋体" w:cs="宋体"/>
                <w:sz w:val="24"/>
                <w:szCs w:val="24"/>
                <w:highlight w:val="none"/>
              </w:rPr>
            </w:pPr>
          </w:p>
        </w:tc>
        <w:tc>
          <w:tcPr>
            <w:tcW w:w="1609" w:type="dxa"/>
            <w:shd w:val="clear" w:color="auto" w:fill="auto"/>
          </w:tcPr>
          <w:p w14:paraId="7FAE808B">
            <w:pPr>
              <w:rPr>
                <w:rFonts w:ascii="宋体" w:hAnsi="宋体" w:eastAsia="宋体" w:cs="宋体"/>
                <w:sz w:val="24"/>
                <w:szCs w:val="24"/>
                <w:highlight w:val="none"/>
              </w:rPr>
            </w:pPr>
          </w:p>
        </w:tc>
        <w:tc>
          <w:tcPr>
            <w:tcW w:w="872" w:type="dxa"/>
            <w:shd w:val="clear" w:color="auto" w:fill="auto"/>
          </w:tcPr>
          <w:p w14:paraId="46E2CB7C">
            <w:pPr>
              <w:rPr>
                <w:rFonts w:ascii="宋体" w:hAnsi="宋体" w:eastAsia="宋体" w:cs="宋体"/>
                <w:sz w:val="24"/>
                <w:szCs w:val="24"/>
                <w:highlight w:val="none"/>
              </w:rPr>
            </w:pPr>
          </w:p>
        </w:tc>
        <w:tc>
          <w:tcPr>
            <w:tcW w:w="469" w:type="dxa"/>
            <w:shd w:val="clear" w:color="auto" w:fill="auto"/>
          </w:tcPr>
          <w:p w14:paraId="55B9E9CD">
            <w:pPr>
              <w:rPr>
                <w:rFonts w:ascii="宋体" w:hAnsi="宋体" w:eastAsia="宋体" w:cs="宋体"/>
                <w:sz w:val="24"/>
                <w:szCs w:val="24"/>
                <w:highlight w:val="none"/>
              </w:rPr>
            </w:pPr>
          </w:p>
        </w:tc>
        <w:tc>
          <w:tcPr>
            <w:tcW w:w="470" w:type="dxa"/>
            <w:shd w:val="clear" w:color="auto" w:fill="auto"/>
          </w:tcPr>
          <w:p w14:paraId="1D60CCA2">
            <w:pPr>
              <w:rPr>
                <w:rFonts w:ascii="宋体" w:hAnsi="宋体" w:eastAsia="宋体" w:cs="宋体"/>
                <w:sz w:val="24"/>
                <w:szCs w:val="24"/>
                <w:highlight w:val="none"/>
              </w:rPr>
            </w:pPr>
          </w:p>
        </w:tc>
      </w:tr>
    </w:tbl>
    <w:p w14:paraId="1A849189">
      <w:pPr>
        <w:spacing w:line="360" w:lineRule="auto"/>
        <w:ind w:firstLine="420"/>
        <w:rPr>
          <w:rFonts w:ascii="宋体" w:hAnsi="宋体" w:eastAsia="宋体"/>
          <w:szCs w:val="21"/>
          <w:highlight w:val="none"/>
        </w:rPr>
      </w:pPr>
    </w:p>
    <w:p w14:paraId="0001C292">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八、拒绝或暂停申购的情形及处理方式</w:t>
      </w:r>
    </w:p>
    <w:p w14:paraId="17F7497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发生下列情况时，基金管理人可拒绝或暂停接受投资人的申购申请： </w:t>
      </w:r>
    </w:p>
    <w:p w14:paraId="42D97CD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1、因不可抗力导致基金无法正常运作或基金管理人无法受理或办理基金份额持有人的申购申请； </w:t>
      </w:r>
    </w:p>
    <w:p w14:paraId="742CAAB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2、证券/期货交易所或外汇市场交易时间非正常停市，导致基金管理人无法计算当日基金资产净值或无法进行证券交易； </w:t>
      </w:r>
    </w:p>
    <w:p w14:paraId="741F949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3、发生基金合同规定的暂停基金资产估值情况时； </w:t>
      </w:r>
    </w:p>
    <w:p w14:paraId="647B864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4、基金管理人开市前因异常情况无法公布申购、赎回清单、基金份额净值或者IOPV计算错误、申购、赎回清单编制错误； </w:t>
      </w:r>
    </w:p>
    <w:p w14:paraId="3BA7F38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5、港股通每日额度不足； </w:t>
      </w:r>
    </w:p>
    <w:p w14:paraId="2072A44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6、港股通的业务规则发生重大变化时； </w:t>
      </w:r>
    </w:p>
    <w:p w14:paraId="367AC1A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7、在发生标的指数成份股上市公司重大行为、成份股市场价格异常波动等异常情形时； </w:t>
      </w:r>
    </w:p>
    <w:p w14:paraId="09661E6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8、接受某笔或某些申购申请可能会影响或损害现有基金份额持有人利益时； </w:t>
      </w:r>
    </w:p>
    <w:p w14:paraId="13548E6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相关证券/期货交易所、申购赎回代理券商、登记机构等因异常情况无法办理申购；或者指数编制单位、相关证券/期货交易所等因异常情况使申购赎回清单无法编制或编制不当。上述异常情况指基金管理人无法预见并不可控制的情形，包括但不限于系统故障、网络故障、通讯故障、电力故障、数据错误等； </w:t>
      </w:r>
    </w:p>
    <w:p w14:paraId="172C356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10、申请超过基金管理人设定的基金总规模、单日净申购比例上限、单一投资者单日或单笔申购份额上限的； </w:t>
      </w:r>
    </w:p>
    <w:p w14:paraId="1A4B79A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11、当前一估值日基金资产净值50%以上的资产出现无可参考的活跃市场价格且采用估值技术仍导致公允价值存在重大不确定性时，经与基金托管人协商确认后，基金管理人应当暂停接受基金申购申请； </w:t>
      </w:r>
    </w:p>
    <w:p w14:paraId="5C40368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12、法律法规、上海证券交易所规定或中国证监会认定的其他情形。 </w:t>
      </w:r>
    </w:p>
    <w:p w14:paraId="4D828BA5">
      <w:pPr>
        <w:pStyle w:val="8"/>
        <w:spacing w:before="0" w:beforeAutospacing="0" w:after="0" w:afterAutospacing="0" w:line="360" w:lineRule="auto"/>
        <w:ind w:firstLine="420"/>
        <w:rPr>
          <w:sz w:val="21"/>
          <w:szCs w:val="21"/>
          <w:highlight w:val="none"/>
        </w:rPr>
      </w:pPr>
      <w:r>
        <w:rPr>
          <w:rFonts w:hint="eastAsia"/>
          <w:sz w:val="21"/>
          <w:szCs w:val="21"/>
          <w:highlight w:val="none"/>
        </w:rPr>
        <w:t>发生上述（第8、10条除外）暂停申购情形之一且基金管理人决定暂停接受投资人申购申请时，基金管理人应当根据有关规定在规定媒介上刊登暂停申购公告。如果投资人的申购申请全部或部分被拒绝，被拒绝的申购对价将退还给投资人。在暂停申购的情况消除时，基</w:t>
      </w:r>
      <w:bookmarkStart w:id="91" w:name="chapter_level1_13_59_section_3_end"/>
      <w:bookmarkEnd w:id="91"/>
      <w:r>
        <w:rPr>
          <w:rFonts w:hint="eastAsia"/>
          <w:sz w:val="21"/>
          <w:szCs w:val="21"/>
          <w:highlight w:val="none"/>
        </w:rPr>
        <w:t xml:space="preserve">金管理人应及时恢复申购业务的办理。 </w:t>
      </w:r>
    </w:p>
    <w:p w14:paraId="47A71FEA">
      <w:pPr>
        <w:pStyle w:val="8"/>
        <w:spacing w:before="0" w:beforeAutospacing="0" w:after="0" w:afterAutospacing="0" w:line="360" w:lineRule="auto"/>
        <w:ind w:firstLine="420"/>
        <w:rPr>
          <w:sz w:val="21"/>
          <w:szCs w:val="21"/>
          <w:highlight w:val="none"/>
        </w:rPr>
      </w:pPr>
      <w:bookmarkStart w:id="92" w:name="chapter_level1_13_59_section_4"/>
      <w:bookmarkEnd w:id="92"/>
      <w:r>
        <w:rPr>
          <w:rStyle w:val="12"/>
          <w:rFonts w:hint="eastAsia"/>
          <w:sz w:val="21"/>
          <w:szCs w:val="21"/>
          <w:highlight w:val="none"/>
        </w:rPr>
        <w:t>九、暂停赎回或延缓支付赎回对价的情形及处理方式</w:t>
      </w:r>
    </w:p>
    <w:p w14:paraId="7DFAA61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发生下列情形时，基金管理人可暂停接受投资人的赎回申请或延缓支付赎回对价： </w:t>
      </w:r>
    </w:p>
    <w:p w14:paraId="1C5708B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1、因不可抗力导致基金管理人无法受理或办理基金份额持有人的赎回申请； </w:t>
      </w:r>
    </w:p>
    <w:p w14:paraId="643466B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2、证券/期货交易所或外汇市场交易时间非正常停市，导致基金管理人无法计算当日基金资产净值或无法进行证券交易； </w:t>
      </w:r>
    </w:p>
    <w:p w14:paraId="7235BC3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3、发生基金合同规定的暂停基金资产估值情况时； </w:t>
      </w:r>
    </w:p>
    <w:p w14:paraId="351C261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4、基金管理人开市前因异常情况无法公布申购赎回清单、基金份额净值或者IOPV计算错误、申购赎回清单编制错误； </w:t>
      </w:r>
    </w:p>
    <w:p w14:paraId="48C9E80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相关证券/期货交易所、申购赎回代理券商、登记机构等因异常情况无法办理赎回；或者指数编制单位、相关证券/期货交易所等因异常情况使申购赎回清单无法编制或编制不当。上述异常情况指基金管理人无法预见并不可控制的情形，包括但不限于系统故障、网络故障、通讯故障、电力故障、数据错误等； </w:t>
      </w:r>
    </w:p>
    <w:p w14:paraId="63F2003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6、港股通的业务规则发生重大变化时； </w:t>
      </w:r>
    </w:p>
    <w:p w14:paraId="24BBCE3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7、在发生标的指数成份股上市公司重大行为、成份股市场价格异常波动等异常情形时； </w:t>
      </w:r>
    </w:p>
    <w:p w14:paraId="50CBCDA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8、发生继续接受赎回申请将损害现有基金份额持有人利益的情形； </w:t>
      </w:r>
    </w:p>
    <w:p w14:paraId="06D56E2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9、本基金当日总赎回份额达到基金管理人所设定的上限； </w:t>
      </w:r>
    </w:p>
    <w:p w14:paraId="1F50BDF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当前一估值日基金资产净值50%以上的资产出现无可参考的活跃市场价格且采用估值技术仍导致公允价值存在重大不确定性时，经与基金托管人协商确认后，基金管理人应当延缓支付赎回对价或暂停接受基金赎回申请； </w:t>
      </w:r>
    </w:p>
    <w:p w14:paraId="19C4E85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11、法律法规、上海证券交易所规定或中国证监会认定的其他情形。 </w:t>
      </w:r>
    </w:p>
    <w:p w14:paraId="7B1D7E8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发生上述情形之一且基金管理人决定暂停赎回或延缓支付赎回对价时，基金管理人应按规定报中国证监会备案。已接受的赎回申请，基金管理人应足额支付，基金份额持有人在申请赎回时可事先选择将当日可能未获受理部分予以撤销，如暂时不能足额支付，未支付部分可延期支付。在暂停赎回的情况消除时，基金管理人应及时恢复赎回业务的办理并公告。 </w:t>
      </w:r>
    </w:p>
    <w:p w14:paraId="52D495B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十、基金份额折算</w:t>
      </w:r>
    </w:p>
    <w:p w14:paraId="6A6BAC46">
      <w:pPr>
        <w:pStyle w:val="8"/>
        <w:spacing w:before="0" w:beforeAutospacing="0" w:after="0" w:afterAutospacing="0" w:line="360" w:lineRule="auto"/>
        <w:ind w:firstLine="420"/>
        <w:rPr>
          <w:sz w:val="21"/>
          <w:szCs w:val="21"/>
          <w:highlight w:val="none"/>
        </w:rPr>
      </w:pPr>
      <w:r>
        <w:rPr>
          <w:rFonts w:hint="eastAsia"/>
          <w:sz w:val="21"/>
          <w:szCs w:val="21"/>
          <w:highlight w:val="none"/>
        </w:rPr>
        <w:t>为提高交易便利或根据需要（如变更标的指数），基金管理人可向登记机构申请办理基金份额折算与变更登记。基金份额折算后，基金的基金份额总额与基金份额持有人持有的基金份额数额将发生调整，但调整后的基金份额持有人持有的基金份额占基金份额总额的比例不发生变化。基金份额折算对基金份额持有人的权益无实质性影响。基金份额折算后，基金份额持有人将按照折算后的基金份额享有权利并承担义务。基金管理人应就其具体事宜进行</w:t>
      </w:r>
      <w:bookmarkStart w:id="93" w:name="chapter_level1_13_59_section_4_end"/>
      <w:bookmarkEnd w:id="93"/>
      <w:r>
        <w:rPr>
          <w:rFonts w:hint="eastAsia"/>
          <w:sz w:val="21"/>
          <w:szCs w:val="21"/>
          <w:highlight w:val="none"/>
        </w:rPr>
        <w:t xml:space="preserve">必要公告，并提前通知基金托管人。 </w:t>
      </w:r>
    </w:p>
    <w:p w14:paraId="5BB8C204">
      <w:pPr>
        <w:pStyle w:val="8"/>
        <w:spacing w:before="0" w:beforeAutospacing="0" w:after="0" w:afterAutospacing="0" w:line="360" w:lineRule="auto"/>
        <w:ind w:firstLine="420"/>
        <w:rPr>
          <w:sz w:val="21"/>
          <w:szCs w:val="21"/>
          <w:highlight w:val="none"/>
        </w:rPr>
      </w:pPr>
      <w:bookmarkStart w:id="94" w:name="chapter_level1_13_59_section_5"/>
      <w:bookmarkEnd w:id="94"/>
      <w:r>
        <w:rPr>
          <w:rStyle w:val="12"/>
          <w:rFonts w:hint="eastAsia"/>
          <w:sz w:val="21"/>
          <w:szCs w:val="21"/>
          <w:highlight w:val="none"/>
        </w:rPr>
        <w:t>十一、基金份额拆分与合并</w:t>
      </w:r>
    </w:p>
    <w:p w14:paraId="2DB13B1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基金成立后，在法律法规规定的范围内，在基金管理人与基金托管人协商一致的情况下，本基金可实施基金份额拆分或合并。 </w:t>
      </w:r>
    </w:p>
    <w:p w14:paraId="1EF9D4B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拆分或合并是在保持现有基金份额持有人资产总值不变的前提下，改变基金份额净值和持有基金份额的对应关系，是重新列示基金资产的一种方式。基金份额拆分或合并对基金份额持有人的权益无实质性影响。 </w:t>
      </w:r>
    </w:p>
    <w:p w14:paraId="5C18F2AA">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十二、基金份额的转让</w:t>
      </w:r>
    </w:p>
    <w:p w14:paraId="0C107D86">
      <w:pPr>
        <w:pStyle w:val="8"/>
        <w:spacing w:before="0" w:beforeAutospacing="0" w:after="0" w:afterAutospacing="0" w:line="360" w:lineRule="auto"/>
        <w:ind w:firstLine="420"/>
        <w:rPr>
          <w:sz w:val="21"/>
          <w:szCs w:val="21"/>
          <w:highlight w:val="none"/>
        </w:rPr>
      </w:pPr>
      <w:r>
        <w:rPr>
          <w:rFonts w:hint="eastAsia"/>
          <w:sz w:val="21"/>
          <w:szCs w:val="21"/>
          <w:highlight w:val="none"/>
        </w:rPr>
        <w:t>在法律法规允许且条件具备的情况下，如对基金份额持有人无实质性不利影响，基金管理人经履行相关程序后可受理基金份额持有人通过中国证监会认可的证券交易所以外的交易场所或者交易方式进行份额转让的申请并由登记机构办理基金份额的过户登记。基金管理人拟受理基金份额转让业务的，将提前公告，基金份额持有人应根据基金管理人公告的业务</w:t>
      </w:r>
      <w:bookmarkStart w:id="95" w:name="chapter_level1_13_59_section_5_end"/>
      <w:bookmarkEnd w:id="95"/>
      <w:r>
        <w:rPr>
          <w:rFonts w:hint="eastAsia"/>
          <w:sz w:val="21"/>
          <w:szCs w:val="21"/>
          <w:highlight w:val="none"/>
        </w:rPr>
        <w:t xml:space="preserve">规则办理基金份额转让业务。 </w:t>
      </w:r>
    </w:p>
    <w:p w14:paraId="551D92DA">
      <w:pPr>
        <w:pStyle w:val="8"/>
        <w:spacing w:before="0" w:beforeAutospacing="0" w:after="0" w:afterAutospacing="0" w:line="360" w:lineRule="auto"/>
        <w:ind w:firstLine="420"/>
        <w:rPr>
          <w:sz w:val="21"/>
          <w:szCs w:val="21"/>
          <w:highlight w:val="none"/>
        </w:rPr>
      </w:pPr>
      <w:bookmarkStart w:id="96" w:name="chapter_level1_13_59_section_6"/>
      <w:bookmarkEnd w:id="96"/>
      <w:r>
        <w:rPr>
          <w:rStyle w:val="12"/>
          <w:rFonts w:hint="eastAsia"/>
          <w:sz w:val="21"/>
          <w:szCs w:val="21"/>
          <w:highlight w:val="none"/>
        </w:rPr>
        <w:t>十三、基金的非交易过户、冻结、解冻等其他业务</w:t>
      </w:r>
    </w:p>
    <w:p w14:paraId="7AA6D16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基金的登记机构可依据其业务规则，受理基金的非交易过户、冻结与解冻等业务，并收取一定的手续费用。 </w:t>
      </w:r>
    </w:p>
    <w:p w14:paraId="080EE009">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十四、联接基金的特殊申购</w:t>
      </w:r>
    </w:p>
    <w:p w14:paraId="79F06D6F">
      <w:pPr>
        <w:pStyle w:val="8"/>
        <w:spacing w:before="0" w:beforeAutospacing="0" w:after="0" w:afterAutospacing="0" w:line="360" w:lineRule="auto"/>
        <w:ind w:firstLine="420"/>
        <w:rPr>
          <w:sz w:val="21"/>
          <w:szCs w:val="21"/>
          <w:highlight w:val="none"/>
        </w:rPr>
      </w:pPr>
      <w:r>
        <w:rPr>
          <w:rFonts w:hint="eastAsia"/>
          <w:sz w:val="21"/>
          <w:szCs w:val="21"/>
          <w:highlight w:val="none"/>
        </w:rPr>
        <w:t>若基金管理人推出以本基金为目标ETF的联接基金，本基金可根据实际情况需要向本基</w:t>
      </w:r>
      <w:bookmarkStart w:id="97" w:name="chapter_level1_13_59_section_6_end"/>
      <w:bookmarkEnd w:id="97"/>
      <w:r>
        <w:rPr>
          <w:rFonts w:hint="eastAsia"/>
          <w:sz w:val="21"/>
          <w:szCs w:val="21"/>
          <w:highlight w:val="none"/>
        </w:rPr>
        <w:t xml:space="preserve">金的联接基金开通特殊申购，不收取申购费用。 </w:t>
      </w:r>
    </w:p>
    <w:p w14:paraId="62CA9976">
      <w:pPr>
        <w:pStyle w:val="8"/>
        <w:spacing w:before="0" w:beforeAutospacing="0" w:after="0" w:afterAutospacing="0" w:line="360" w:lineRule="auto"/>
        <w:ind w:firstLine="420"/>
        <w:rPr>
          <w:sz w:val="21"/>
          <w:szCs w:val="21"/>
          <w:highlight w:val="none"/>
        </w:rPr>
      </w:pPr>
      <w:bookmarkStart w:id="98" w:name="chapter_level1_13_59_section_7"/>
      <w:bookmarkEnd w:id="98"/>
      <w:r>
        <w:rPr>
          <w:rStyle w:val="12"/>
          <w:rFonts w:hint="eastAsia"/>
          <w:sz w:val="21"/>
          <w:szCs w:val="21"/>
          <w:highlight w:val="none"/>
        </w:rPr>
        <w:t>十五、其他</w:t>
      </w:r>
    </w:p>
    <w:p w14:paraId="65B86EC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在不违反法律法规且对基金份额持有人利益无实质性不利影响的情况下，经履行相关程序后，基金管理人可开放集合申购（或集中申购，具体表述以监管最终业务规则为准）。基金管理人有权制定集合申购业务的相关规则。 </w:t>
      </w:r>
    </w:p>
    <w:p w14:paraId="345BA75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在条件允许时，基金管理人也可采取其他合理的申购方式，并于新的申购方式开始执行前予以公告。 </w:t>
      </w:r>
    </w:p>
    <w:p w14:paraId="6C307ED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2、基金管理人指定的代理机构可依据法律法规和基金合同的规定开展其他服务，双方需签订书面委托代理协议，并报中国证监会备案。 </w:t>
      </w:r>
    </w:p>
    <w:p w14:paraId="18D1303A">
      <w:pPr>
        <w:pStyle w:val="8"/>
        <w:spacing w:before="0" w:beforeAutospacing="0" w:after="0" w:afterAutospacing="0" w:line="360" w:lineRule="auto"/>
        <w:ind w:firstLine="420"/>
        <w:rPr>
          <w:sz w:val="21"/>
          <w:szCs w:val="21"/>
          <w:highlight w:val="none"/>
        </w:rPr>
      </w:pPr>
      <w:r>
        <w:rPr>
          <w:rFonts w:hint="eastAsia"/>
          <w:sz w:val="21"/>
          <w:szCs w:val="21"/>
          <w:highlight w:val="none"/>
        </w:rPr>
        <w:t>3、对于符合《特定机构投资者参与交易型开放式指数基金申购赎回业务指引》要求的特定机构投资者，基金管理人可在不违反法律法规且对基金份额持有人利益无实质性不利影</w:t>
      </w:r>
      <w:bookmarkStart w:id="99" w:name="chapter_level1_13_59_section_7_end"/>
      <w:bookmarkEnd w:id="99"/>
      <w:r>
        <w:rPr>
          <w:rFonts w:hint="eastAsia"/>
          <w:sz w:val="21"/>
          <w:szCs w:val="21"/>
          <w:highlight w:val="none"/>
        </w:rPr>
        <w:t xml:space="preserve">响的情况下，安排专门的申购方式，并于新的申购方式开始执行前另行公告。 </w:t>
      </w:r>
    </w:p>
    <w:p w14:paraId="026AC378">
      <w:pPr>
        <w:widowControl/>
        <w:jc w:val="left"/>
        <w:rPr>
          <w:rFonts w:ascii="宋体" w:hAnsi="宋体" w:eastAsia="宋体"/>
          <w:highlight w:val="none"/>
        </w:rPr>
      </w:pPr>
      <w:r>
        <w:rPr>
          <w:rFonts w:ascii="宋体" w:hAnsi="宋体" w:eastAsia="宋体"/>
          <w:highlight w:val="none"/>
        </w:rPr>
        <w:br w:type="page"/>
      </w:r>
    </w:p>
    <w:p w14:paraId="706BCFCA">
      <w:pPr>
        <w:pStyle w:val="2"/>
        <w:jc w:val="center"/>
        <w:rPr>
          <w:rFonts w:ascii="宋体" w:hAnsi="宋体" w:eastAsia="宋体"/>
          <w:sz w:val="30"/>
          <w:highlight w:val="none"/>
        </w:rPr>
      </w:pPr>
      <w:bookmarkStart w:id="100" w:name="chapter_level1_14_60"/>
      <w:bookmarkStart w:id="101" w:name="_Toc207933752"/>
      <w:r>
        <w:rPr>
          <w:rFonts w:hint="eastAsia" w:ascii="宋体" w:hAnsi="宋体" w:eastAsia="宋体"/>
          <w:sz w:val="30"/>
          <w:highlight w:val="none"/>
        </w:rPr>
        <w:t>第十一部分  基金的投资</w:t>
      </w:r>
      <w:bookmarkEnd w:id="100"/>
      <w:bookmarkEnd w:id="101"/>
    </w:p>
    <w:p w14:paraId="6774ECF3">
      <w:pPr>
        <w:pStyle w:val="8"/>
        <w:spacing w:before="0" w:beforeAutospacing="0" w:after="0" w:afterAutospacing="0" w:line="360" w:lineRule="auto"/>
        <w:ind w:firstLine="420"/>
        <w:rPr>
          <w:sz w:val="21"/>
          <w:szCs w:val="21"/>
          <w:highlight w:val="none"/>
        </w:rPr>
      </w:pPr>
      <w:bookmarkStart w:id="102" w:name="chapter_level1_14_60_section_1"/>
      <w:bookmarkEnd w:id="102"/>
      <w:r>
        <w:rPr>
          <w:rStyle w:val="12"/>
          <w:rFonts w:hint="eastAsia"/>
          <w:sz w:val="21"/>
          <w:szCs w:val="21"/>
          <w:highlight w:val="none"/>
        </w:rPr>
        <w:t>一、投资目标</w:t>
      </w:r>
    </w:p>
    <w:p w14:paraId="3519EA05">
      <w:pPr>
        <w:pStyle w:val="8"/>
        <w:spacing w:before="0" w:beforeAutospacing="0" w:after="0" w:afterAutospacing="0" w:line="360" w:lineRule="auto"/>
        <w:ind w:firstLine="420"/>
        <w:rPr>
          <w:sz w:val="21"/>
          <w:szCs w:val="21"/>
          <w:highlight w:val="none"/>
        </w:rPr>
      </w:pPr>
      <w:bookmarkStart w:id="103" w:name="field_60_investmenttarget_2_start"/>
      <w:bookmarkEnd w:id="103"/>
      <w:r>
        <w:rPr>
          <w:rFonts w:hint="eastAsia"/>
          <w:sz w:val="21"/>
          <w:szCs w:val="21"/>
          <w:highlight w:val="none"/>
        </w:rPr>
        <w:t xml:space="preserve">紧密跟踪标的指数，追求跟踪偏离度和跟踪误差的最小化。 </w:t>
      </w:r>
      <w:bookmarkStart w:id="104" w:name="field_60_investmenttarget_2_end"/>
      <w:bookmarkEnd w:id="104"/>
      <w:r>
        <w:rPr>
          <w:rFonts w:hint="eastAsia"/>
          <w:sz w:val="21"/>
          <w:szCs w:val="21"/>
          <w:highlight w:val="none"/>
        </w:rPr>
        <w:t xml:space="preserve">  </w:t>
      </w:r>
    </w:p>
    <w:p w14:paraId="1F3E89A8">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二、投资范围</w:t>
      </w:r>
    </w:p>
    <w:p w14:paraId="7E70E73F">
      <w:pPr>
        <w:pStyle w:val="8"/>
        <w:spacing w:before="0" w:beforeAutospacing="0" w:after="0" w:afterAutospacing="0" w:line="360" w:lineRule="auto"/>
        <w:ind w:firstLine="420"/>
        <w:rPr>
          <w:sz w:val="21"/>
          <w:szCs w:val="21"/>
          <w:highlight w:val="none"/>
        </w:rPr>
      </w:pPr>
      <w:bookmarkStart w:id="105" w:name="field_60_investmentrange_1_start"/>
      <w:bookmarkEnd w:id="105"/>
      <w:r>
        <w:rPr>
          <w:rFonts w:hint="eastAsia"/>
          <w:sz w:val="21"/>
          <w:szCs w:val="21"/>
          <w:highlight w:val="none"/>
        </w:rPr>
        <w:t xml:space="preserve">本基金主要投资于标的指数成份股和备选成份股（含存托凭证）。  </w:t>
      </w:r>
    </w:p>
    <w:p w14:paraId="65CF87A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为更好地实现基金的投资目标，本基金可少量投资于依法发行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134F5D6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根据法律法规的规定参与融资及转融通证券出借业务。未来在法律法规允许的前提下，本基金可根据相关法律法规规定参与融券业务。本基金根据相关法律法规或中国证监会要求履行相关手续后，还可以投资于法律法规或中国证监会未来允许基金投资的其他金融工具。  </w:t>
      </w:r>
    </w:p>
    <w:p w14:paraId="1CD1492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于标的指数成份股和备选成份股（含存托凭证）的资产比例不低于基金资产净值的90%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  </w:t>
      </w:r>
    </w:p>
    <w:p w14:paraId="2972924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若法律法规的相关规定发生变更或监管机构允许，本基金管理人在履行适当程序后，可对上述资产配置比例进行调整。  </w:t>
      </w:r>
      <w:bookmarkStart w:id="106" w:name="field_60_investmentrange_1_end"/>
      <w:bookmarkEnd w:id="106"/>
      <w:r>
        <w:rPr>
          <w:rFonts w:hint="eastAsia"/>
          <w:sz w:val="21"/>
          <w:szCs w:val="21"/>
          <w:highlight w:val="none"/>
        </w:rPr>
        <w:t xml:space="preserve">  </w:t>
      </w:r>
    </w:p>
    <w:p w14:paraId="2455F842">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三、投资策略</w:t>
      </w:r>
    </w:p>
    <w:p w14:paraId="304781AB">
      <w:pPr>
        <w:pStyle w:val="8"/>
        <w:spacing w:before="0" w:beforeAutospacing="0" w:after="0" w:afterAutospacing="0" w:line="360" w:lineRule="auto"/>
        <w:ind w:firstLine="420"/>
        <w:rPr>
          <w:sz w:val="21"/>
          <w:szCs w:val="21"/>
          <w:highlight w:val="none"/>
        </w:rPr>
      </w:pPr>
      <w:bookmarkStart w:id="107" w:name="field_60_investmentstrategy_1_start"/>
      <w:bookmarkEnd w:id="107"/>
      <w:r>
        <w:rPr>
          <w:rFonts w:hint="eastAsia"/>
          <w:sz w:val="21"/>
          <w:szCs w:val="21"/>
          <w:highlight w:val="none"/>
        </w:rPr>
        <w:t xml:space="preserve">1、组合复制策略  </w:t>
      </w:r>
    </w:p>
    <w:p w14:paraId="031663A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14:paraId="3275A06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  </w:t>
      </w:r>
    </w:p>
    <w:p w14:paraId="223480B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14:paraId="6D6B392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2日内在规定媒介公告，并阐明变更复制方法的原因。  </w:t>
      </w:r>
    </w:p>
    <w:p w14:paraId="6364ED9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2、债券（含可转换债券、可交换债券）投资策略  </w:t>
      </w:r>
    </w:p>
    <w:p w14:paraId="692E39C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本基金债券投资组合将着重考虑基金的流动性管理及策略性投资的需要，选取到期日在一年以内的政府债券进行配置。债券投资的目的是保证基金资产流动性，有效利用基金资产，提高基金资产的投资收益。  </w:t>
      </w:r>
    </w:p>
    <w:p w14:paraId="606416E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1FADE82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1729902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3、资产支持证券的投资策略  </w:t>
      </w:r>
    </w:p>
    <w:p w14:paraId="7F78E05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6F18DC9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4、非成份股的股票投资策略  </w:t>
      </w:r>
    </w:p>
    <w:p w14:paraId="7AFF67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在特殊情况下，本基金将少量投资于非成份股的港股通标的股票等其他股票。  </w:t>
      </w:r>
    </w:p>
    <w:p w14:paraId="57E5BC9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5、存托凭证投资策略  </w:t>
      </w:r>
    </w:p>
    <w:p w14:paraId="65AE727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本基金将根据本基金的投资目标和股票投资策略，基于对基础证券投资价值的深入研究判断，进行存托凭证的投资。  </w:t>
      </w:r>
    </w:p>
    <w:p w14:paraId="0B09FFA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6、衍生品投资策略  </w:t>
      </w:r>
    </w:p>
    <w:p w14:paraId="3DBB73D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（1）国债期货投资策略  </w:t>
      </w:r>
    </w:p>
    <w:p w14:paraId="7E31A1E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本基金将根据风险管理的原则，以套期保值为目的，在风险可控的前提下，本着谨慎原则，参与国债期货的投资，改善组合的风险收益特性。  </w:t>
      </w:r>
    </w:p>
    <w:p w14:paraId="7AB5B6F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（2）股指期货投资策略  </w:t>
      </w:r>
    </w:p>
    <w:p w14:paraId="65A72F5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本基金投资股指期货将根据风险管理的原则，以套期保值为目的，力争利用股指期货的杠杆作用，降低股票仓位频繁调整的交易成本和跟踪误差，达到有效跟踪标的指数的目的。  </w:t>
      </w:r>
    </w:p>
    <w:p w14:paraId="55CEF55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（3）股票期权投资策略  </w:t>
      </w:r>
    </w:p>
    <w:p w14:paraId="5FC86D5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70E19B1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本基金投资股票期权，基金管理人将根据审慎原则，建立股票期权交易决策部门或小组，授权特定的管理人员负责股票期权的投资审批事项，以防范股票期权投资的风险。  </w:t>
      </w:r>
    </w:p>
    <w:p w14:paraId="5CE7562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7、融资、融券及转融通证券出借策略  </w:t>
      </w:r>
    </w:p>
    <w:p w14:paraId="174D63B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品类、期限和比例。若相关融资及转融通证券出借业务法律法规发生变化，本基金将从其最新规定，以符合上述法律法规和监管要求的变化。未来在法律法规允许的前提下，本基金将依据法律法规的相关规定参与融券业务。  </w:t>
      </w:r>
    </w:p>
    <w:p w14:paraId="27B5461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8、流通受限证券投资策略  </w:t>
      </w:r>
    </w:p>
    <w:p w14:paraId="49B6458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本基金将在制度许可范围内和充分考虑风险收益特征的基础上，审慎参与投资非公开发行股票、公开发行股票网下配售部分、战略配售股票等在发行时明确一定期限锁定期的可交易证券。  </w:t>
      </w:r>
    </w:p>
    <w:p w14:paraId="18ABBA0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本基金从估值水平和发展前景两个角度出发，精选具有估值优势和成长优势的股票进行投资，追求基金资产的长期稳定增值。  </w:t>
      </w:r>
    </w:p>
    <w:p w14:paraId="1ED844AC">
      <w:pPr>
        <w:pStyle w:val="8"/>
        <w:spacing w:before="0" w:beforeAutospacing="0" w:after="0" w:afterAutospacing="0" w:line="360" w:lineRule="auto"/>
        <w:ind w:firstLine="420"/>
        <w:rPr>
          <w:sz w:val="21"/>
          <w:szCs w:val="21"/>
          <w:highlight w:val="none"/>
        </w:rPr>
      </w:pPr>
      <w:r>
        <w:rPr>
          <w:rFonts w:hint="eastAsia"/>
          <w:sz w:val="21"/>
          <w:szCs w:val="21"/>
          <w:highlight w:val="none"/>
        </w:rPr>
        <w:t>未来，随着投资工具的发展和丰富，本基金可在不改变投资目标的前提下，相应调整和</w:t>
      </w:r>
      <w:bookmarkStart w:id="108" w:name="chapter_level1_14_60_section_1_end"/>
      <w:bookmarkEnd w:id="108"/>
      <w:r>
        <w:rPr>
          <w:rFonts w:hint="eastAsia"/>
          <w:sz w:val="21"/>
          <w:szCs w:val="21"/>
          <w:highlight w:val="none"/>
        </w:rPr>
        <w:t xml:space="preserve">更新相关投资策略，并在招募说明更新中公告。  </w:t>
      </w:r>
      <w:bookmarkStart w:id="109" w:name="field_60_investmentstrategy_1_end"/>
      <w:bookmarkEnd w:id="109"/>
      <w:r>
        <w:rPr>
          <w:rFonts w:hint="eastAsia"/>
          <w:sz w:val="21"/>
          <w:szCs w:val="21"/>
          <w:highlight w:val="none"/>
        </w:rPr>
        <w:t xml:space="preserve">  </w:t>
      </w:r>
    </w:p>
    <w:p w14:paraId="23825B3E">
      <w:pPr>
        <w:pStyle w:val="8"/>
        <w:spacing w:before="0" w:beforeAutospacing="0" w:after="0" w:afterAutospacing="0" w:line="360" w:lineRule="auto"/>
        <w:ind w:firstLine="420"/>
        <w:rPr>
          <w:sz w:val="21"/>
          <w:szCs w:val="21"/>
          <w:highlight w:val="none"/>
        </w:rPr>
      </w:pPr>
      <w:bookmarkStart w:id="110" w:name="chapter_level1_14_60_section_2"/>
      <w:bookmarkEnd w:id="110"/>
      <w:r>
        <w:rPr>
          <w:rStyle w:val="12"/>
          <w:rFonts w:hint="eastAsia"/>
          <w:sz w:val="21"/>
          <w:szCs w:val="21"/>
          <w:highlight w:val="none"/>
        </w:rPr>
        <w:t>四、投资管理流程</w:t>
      </w:r>
    </w:p>
    <w:p w14:paraId="3EDEB09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1、投资决策依据 </w:t>
      </w:r>
    </w:p>
    <w:p w14:paraId="7B1081F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有关法律法规、基金合同以及标的指数的相关规定是基金管理人运用基金财产的决策依据。 </w:t>
      </w:r>
    </w:p>
    <w:p w14:paraId="41B83A1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2、投资管理体制 </w:t>
      </w:r>
    </w:p>
    <w:p w14:paraId="4F6B3D5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管理人实行投资决策委员会领导下的基金经理负责制。投资决策委员会负责做出有关标的指数重大调整的应对决策、基金组合重大调整的决策，以及其他单项投资的重大决策。基金经理负责做出日常标的指数跟踪维护过程中的组合构建、组合调整及基金每日申购赎回清单的编制等决策。 </w:t>
      </w:r>
    </w:p>
    <w:p w14:paraId="3B3D7B4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3、投资管理程序 </w:t>
      </w:r>
    </w:p>
    <w:p w14:paraId="40582D0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研究、投资决策、组合构建、交易执行、投资绩效评估、组合监控与调整各环节的相互协调与配合，构成了本基金的投资管理程序。 </w:t>
      </w:r>
    </w:p>
    <w:p w14:paraId="3ED08E4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研究支持。基金管理人的研究部依托公司整体研究平台，整合外部信息包括券商等外部研究力量的研究成果，开展标的指数跟踪、成份股公司行为等相关信息的搜集与分析、成份股流动性分析、误差及其归因分析等工作，并撰写相关的研究报告，作为本基金投资决策的重要依据。 </w:t>
      </w:r>
    </w:p>
    <w:p w14:paraId="784F1FB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投资决策。基金管理人的投资决策委员会依据研究部提供的研究报告，定期或遇重大事件时临时召开投资决策委员会议，对相关事项做出决策。基金经理根据投资决策委员会的决议，做出基金投资管理的日常决策。 </w:t>
      </w:r>
    </w:p>
    <w:p w14:paraId="3FC29F2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组合构建。结合研究报告，基金经理主要采取完全复制法，即按照标的指数的成份股组成及其权重构建基金股票投资组合，并根据标的指数成份股及其权重的变动而进行相应的调整。在追求跟踪误差和跟踪偏离度最小化的前提下，基金经理可采取适当的方法，提高投资效率，降低交易成本，控制投资风险。 </w:t>
      </w:r>
    </w:p>
    <w:p w14:paraId="1258A8C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（4）交易执行。基金管理人的交易部负责本基金的具体交易执行，交易部同时履行一线监控的职责。 </w:t>
      </w:r>
    </w:p>
    <w:p w14:paraId="302209B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投资绩效评估。本基金管理人定期和不定期对本基金的投资绩效进行评估，并撰写相关的绩效评估报告，确认基金组合是否实现了投资预期，投资策略是否成功，并对基金组合误差的来源进行归因分析等。基金经理依据绩效评估报告总结或检讨以往的投资策略，如果需要，亦对投资组合进行相应的调整。 </w:t>
      </w:r>
    </w:p>
    <w:p w14:paraId="2775E2A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组合监控与调整。基金经理根据标的指数的每日变动情况，结合成份股等的基本面情况、流动性状况、基金申购赎回的现金流量情况，以及基金投资绩效评估结果等，对基金投资组合进行动态监控和调整，密切跟踪标的指数。 </w:t>
      </w:r>
    </w:p>
    <w:p w14:paraId="2F47DF5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基金管理人在确保基金份额持有人利益的前提下，根据环境的变化和基金实际投资的需要，有权对上述投资程序做出调整，并将调整内容在基金招募说明书更新中予以公告。 </w:t>
      </w:r>
    </w:p>
    <w:p w14:paraId="46119DE8">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五、投资组合管理</w:t>
      </w:r>
    </w:p>
    <w:p w14:paraId="7792DF5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1、投资组合的构建 </w:t>
      </w:r>
    </w:p>
    <w:p w14:paraId="3E15C40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基金管理人构建基金投资组合的过程主要分为三个步骤：确定目标组合、制定建仓策略，以及逐步调整组合。 </w:t>
      </w:r>
    </w:p>
    <w:p w14:paraId="63B2E55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（1）确定目标组合。基金管理人主要采取完全复制法，即按照标的指数的成份股组成及其权重构建基金股票投资组合。 </w:t>
      </w:r>
    </w:p>
    <w:p w14:paraId="512415F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（2）制定建仓策略。基金经理依据对标的指数成份股的流动性和交易成本等因素所做的分析，制定合理的建仓策略。 </w:t>
      </w:r>
    </w:p>
    <w:p w14:paraId="117DA0D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（3）逐步调整组合。基金经理在规定时间内，采取适当的手段和措施，对实际投资组合进行动态调整，直至达到紧密跟踪标的指数的目标。 </w:t>
      </w:r>
    </w:p>
    <w:p w14:paraId="1F07EB4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跟踪标的指数成份股和备选成份股（含存托凭证）的资产比例不低于基金资产净值的90%。本基金将在基金合同生效之日起6个月内达到这一投资比例。此后，如因标的指数成份股调整、基金申购赎回带来现金等因素导致基金不符合这一投资比例的，基金管理人将在10个交易日内进行调整。 </w:t>
      </w:r>
    </w:p>
    <w:p w14:paraId="0321AD3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2、投资组合的日常管理 </w:t>
      </w:r>
    </w:p>
    <w:p w14:paraId="63D3584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本基金投资组合的日常管理内容主要包括以下几个方面： </w:t>
      </w:r>
    </w:p>
    <w:p w14:paraId="44D04A0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标的指数成份股公司行为信息的跟踪与分析。跟踪分析标的指数成份股公司行为等信息，如股本变化、分红、停牌、复牌，以及成份股公司其他重大信息，分析这些信息对指数的影响，进而分析是否需要对投资组合进行调整，为投资决策提供依据。 </w:t>
      </w:r>
    </w:p>
    <w:p w14:paraId="0A887E2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（2）标的指数的跟踪与分析。跟踪分析标的指数的调整等变化，确定标的指数的变化是否与预期相一致，分析是否存在差异及差异产生的原因，为投资决策提供依据。 </w:t>
      </w:r>
    </w:p>
    <w:p w14:paraId="005FA5E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（3）每日申购赎回情况的跟踪与分析。跟踪分析每日基金申购赎回信息，分析这些信息对投资组合的影响。 </w:t>
      </w:r>
    </w:p>
    <w:p w14:paraId="3070F3B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（4）投资组合持有证券、现金头寸及流动性分析。基金经理跟踪分析每日基金实际投资组合与目标组合的差异及差异产生的原因，并对拟调整的成份股的流动性进行分析。 </w:t>
      </w:r>
    </w:p>
    <w:p w14:paraId="03BD687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投资组合调整。使用数量化投资分析模型，寻找出将实际投资组合调整为所追求的目标组合的最优方案，确定组合交易计划；如标的指数成份股调整、成份股公司发生兼并、收购和重组等重大事件，由基金经理召集会议，决定基金的操作策略；进一步调整投资组合，达到所追求的目标组合的持仓结构。 </w:t>
      </w:r>
    </w:p>
    <w:p w14:paraId="29AE619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（6）基金每日申购赎回清单的制作。基金经理以T－1日标的指数成份股的构成或者实际持仓股票的构成及相应权重为基础，并考虑T日将发生的上市公司变动等情况，制作T日基金申购赎回清单并予以公告。 </w:t>
      </w:r>
    </w:p>
    <w:p w14:paraId="3B28CEBF">
      <w:pPr>
        <w:pStyle w:val="8"/>
        <w:spacing w:before="0" w:beforeAutospacing="0" w:after="0" w:afterAutospacing="0" w:line="360" w:lineRule="auto"/>
        <w:ind w:firstLine="420"/>
        <w:rPr>
          <w:sz w:val="21"/>
          <w:szCs w:val="21"/>
          <w:highlight w:val="none"/>
        </w:rPr>
      </w:pPr>
      <w:r>
        <w:rPr>
          <w:rFonts w:hint="eastAsia"/>
          <w:sz w:val="21"/>
          <w:szCs w:val="21"/>
          <w:highlight w:val="none"/>
        </w:rPr>
        <w:t>（7）当标的指数成份股发生明显负面事件面临退市风险，且指数编制机构暂未作出调整的，基金管理人应当按照持有人利益优先的原则，综合考虑成份股的退市风险、其在指数</w:t>
      </w:r>
      <w:bookmarkStart w:id="111" w:name="chapter_level1_14_60_section_2_end"/>
      <w:bookmarkEnd w:id="111"/>
      <w:r>
        <w:rPr>
          <w:rFonts w:hint="eastAsia"/>
          <w:sz w:val="21"/>
          <w:szCs w:val="21"/>
          <w:highlight w:val="none"/>
        </w:rPr>
        <w:t xml:space="preserve">中的权重以及对跟踪误差的影响，据此制定成份股替代策略，并对投资组合进行调整。 </w:t>
      </w:r>
    </w:p>
    <w:p w14:paraId="68D22A8B">
      <w:pPr>
        <w:pStyle w:val="8"/>
        <w:spacing w:before="0" w:beforeAutospacing="0" w:after="0" w:afterAutospacing="0" w:line="360" w:lineRule="auto"/>
        <w:ind w:firstLine="420"/>
        <w:rPr>
          <w:sz w:val="21"/>
          <w:szCs w:val="21"/>
          <w:highlight w:val="none"/>
        </w:rPr>
      </w:pPr>
      <w:bookmarkStart w:id="112" w:name="chapter_level1_14_60_section_3"/>
      <w:bookmarkEnd w:id="112"/>
      <w:r>
        <w:rPr>
          <w:rStyle w:val="12"/>
          <w:rFonts w:hint="eastAsia"/>
          <w:sz w:val="21"/>
          <w:szCs w:val="21"/>
          <w:highlight w:val="none"/>
        </w:rPr>
        <w:t>六、标的指数与业绩比较基准</w:t>
      </w:r>
    </w:p>
    <w:p w14:paraId="58B74F8C">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1、标的指数</w:t>
      </w:r>
    </w:p>
    <w:p w14:paraId="3044E4E5">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本基金的标的指数为恒生港股通红利指数。</w:t>
      </w:r>
    </w:p>
    <w:p w14:paraId="03FE49F3">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本基金的业绩比较基准为恒生港股通红利指数（港元）收益率。</w:t>
      </w:r>
    </w:p>
    <w:p w14:paraId="294547BA">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2、业绩比较基准选择</w:t>
      </w:r>
    </w:p>
    <w:p w14:paraId="1071ADCE">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本基金的业绩比较基准为标的指数收益率，即恒生港股通红利指数（港元）收益率。</w:t>
      </w:r>
    </w:p>
    <w:p w14:paraId="23AE677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（1）业绩比较基准设定的原因</w:t>
      </w:r>
    </w:p>
    <w:p w14:paraId="03E97146">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本基金为股票型ETF,主要采用完全复制法跟踪标的指数，以“紧密跟踪标的指数，追求跟踪偏离度和跟踪误差的最小化”作为投资目标，在投资中将不低于基金资产净值90%的资产投资于标的指数成份股及备选成份股（含存托凭证）。本基金的标的指数为恒生港股通红利指数，相应选取恒生港股通红利指数（港元）收益率作为基准要素，同时将恒生港股通红利指数（港元）收益率的基准要素权重设置为100%。</w:t>
      </w:r>
    </w:p>
    <w:p w14:paraId="41038C32">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综上，本基金选取的业绩比较基准与基金投资目标、投资范围、投资策略、投资比例限制相匹配。</w:t>
      </w:r>
    </w:p>
    <w:p w14:paraId="7E3558FA">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（2）业绩比较基准要素的基本信息</w:t>
      </w:r>
    </w:p>
    <w:p w14:paraId="745E0257">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恒生港股通红利指数由恒生指数有限公司编制发布，指数代码为HSSCHKY，具体信息详见恒生指数有限公司网站，网址：https://www.hsi.com.hk/schi。</w:t>
      </w:r>
    </w:p>
    <w:p w14:paraId="2120CA94">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（3）业绩比较基准的计算方法</w:t>
      </w:r>
    </w:p>
    <w:p w14:paraId="7D423D41">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本基金业绩比较基准收益率的计算方法以每日收益率为基础，以时间加权为计算原则。恒生港股通红利指数（港元）收益率采用估值汇率进行调整，由港元计价折算为人民币计价后，再纳入计算。</w:t>
      </w:r>
    </w:p>
    <w:p w14:paraId="6F77EFDA">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（4）管理投资偏离业绩比较基准的定性或定量方法</w:t>
      </w:r>
    </w:p>
    <w:p w14:paraId="206C94F0">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本基金主要采用完全复制法，即按照标的指数成份股及其权重构建基金的股票投资组合，并根据标的指数成份股及其权重的变动对股票投资组合进行相应地调整。在因特殊情形导致基金无法完全投资于标的指数成份股时，本基金可采取包括成份股替代策略在内的其他指数投资技术适当调整基金投资组合，以达到紧密跟踪标的指数的目的。本基金力争控制投资组合的净值增长率与业绩比较基准之间的预期日均跟踪偏离度的绝对值小于0.35%，预期年化跟踪误差不超过4%。如因标的指数编制规则调整或其他因素导致跟踪误差超过上述范围的，本基金将采取合理措施避免跟踪误差过大。</w:t>
      </w:r>
    </w:p>
    <w:p w14:paraId="08B95EF3">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（5）未来可能变更业绩比较基准的情况和程序</w:t>
      </w:r>
    </w:p>
    <w:p w14:paraId="042E503B">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若本基金调整业绩比较基准的要素权重，本基金将根据法律法规、中国证监会的规定和基金合同约定履行相关程序。</w:t>
      </w:r>
    </w:p>
    <w:p w14:paraId="034E989C">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w:t>
      </w:r>
    </w:p>
    <w:p w14:paraId="2C7BE42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自指数编制机构停止标的指数的编制及发布至解决方案确定期间，基金管理人应按照指数编制机构提供的最近一个交易日的指数信息遵循基金份额持有人利益优先原则维持基金投资运作。 </w:t>
      </w:r>
    </w:p>
    <w:p w14:paraId="6D0C1FD0">
      <w:pPr>
        <w:pStyle w:val="8"/>
        <w:spacing w:before="0" w:beforeAutospacing="0" w:after="0" w:afterAutospacing="0" w:line="360" w:lineRule="auto"/>
        <w:ind w:firstLine="420"/>
        <w:rPr>
          <w:sz w:val="21"/>
          <w:szCs w:val="21"/>
          <w:highlight w:val="none"/>
        </w:rPr>
      </w:pPr>
      <w:bookmarkStart w:id="113" w:name="chapter_level1_14_60_section_4"/>
      <w:bookmarkEnd w:id="113"/>
      <w:r>
        <w:rPr>
          <w:rStyle w:val="12"/>
          <w:rFonts w:hint="eastAsia"/>
          <w:sz w:val="21"/>
          <w:szCs w:val="21"/>
          <w:highlight w:val="none"/>
        </w:rPr>
        <w:t>七、风险收益特征</w:t>
      </w:r>
    </w:p>
    <w:p w14:paraId="1726849C">
      <w:pPr>
        <w:pStyle w:val="8"/>
        <w:spacing w:before="0" w:beforeAutospacing="0" w:after="0" w:afterAutospacing="0" w:line="360" w:lineRule="auto"/>
        <w:ind w:firstLine="420"/>
        <w:rPr>
          <w:sz w:val="21"/>
          <w:szCs w:val="21"/>
          <w:highlight w:val="none"/>
        </w:rPr>
      </w:pPr>
      <w:bookmarkStart w:id="114" w:name="field_60_riskyield_1_start"/>
      <w:bookmarkEnd w:id="114"/>
      <w:r>
        <w:rPr>
          <w:rFonts w:hint="eastAsia"/>
          <w:sz w:val="21"/>
          <w:szCs w:val="21"/>
          <w:highlight w:val="none"/>
        </w:rPr>
        <w:t xml:space="preserve">本基金属于股票型基金，其预期收益及预期风险水平高于混合型基金、债券型基金与货币市场基金。  </w:t>
      </w:r>
    </w:p>
    <w:p w14:paraId="6BC7F128">
      <w:pPr>
        <w:pStyle w:val="8"/>
        <w:spacing w:before="0" w:beforeAutospacing="0" w:after="0" w:afterAutospacing="0" w:line="360" w:lineRule="auto"/>
        <w:ind w:firstLine="420"/>
        <w:rPr>
          <w:sz w:val="21"/>
          <w:szCs w:val="21"/>
          <w:highlight w:val="none"/>
        </w:rPr>
      </w:pPr>
      <w:r>
        <w:rPr>
          <w:rFonts w:hint="eastAsia"/>
          <w:sz w:val="21"/>
          <w:szCs w:val="21"/>
          <w:highlight w:val="none"/>
        </w:rPr>
        <w:t>本基金为被动式投资的股票型指数基金，跟踪恒生港股通</w:t>
      </w:r>
      <w:r>
        <w:rPr>
          <w:rFonts w:hint="eastAsia"/>
          <w:sz w:val="21"/>
          <w:szCs w:val="21"/>
          <w:highlight w:val="none"/>
          <w:lang w:eastAsia="zh-CN"/>
        </w:rPr>
        <w:t>红利</w:t>
      </w:r>
      <w:r>
        <w:rPr>
          <w:rFonts w:hint="eastAsia"/>
          <w:sz w:val="21"/>
          <w:szCs w:val="21"/>
          <w:highlight w:val="none"/>
        </w:rPr>
        <w:t xml:space="preserve">指数，其风险收益特征与标的指数所表征的市场组合的风险收益特征相似。  </w:t>
      </w:r>
      <w:bookmarkStart w:id="115" w:name="field_60_riskyield_1_end"/>
      <w:bookmarkEnd w:id="115"/>
      <w:r>
        <w:rPr>
          <w:rFonts w:hint="eastAsia"/>
          <w:sz w:val="21"/>
          <w:szCs w:val="21"/>
          <w:highlight w:val="none"/>
        </w:rPr>
        <w:t xml:space="preserve">  </w:t>
      </w:r>
    </w:p>
    <w:p w14:paraId="5D2506ED">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八、投资限制与禁止行为</w:t>
      </w:r>
    </w:p>
    <w:p w14:paraId="322BB29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1、组合限制 </w:t>
      </w:r>
    </w:p>
    <w:p w14:paraId="732BF26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基金的投资组合应遵循以下限制： </w:t>
      </w:r>
    </w:p>
    <w:p w14:paraId="54885B6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（1）本基金投资于标的指数成份股和备选成份股（含存托凭证）的资产比例不低于基金资产净值的90%； </w:t>
      </w:r>
    </w:p>
    <w:p w14:paraId="5A69FF8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（2）每个交易日日终在扣除国债期货、股指期货和股票期权合约需缴纳的交易保证金后，应当保持不低于交易保证金一倍的现金，其中现金不包括结算备付金、存出保证金和应收申购款等； </w:t>
      </w:r>
    </w:p>
    <w:p w14:paraId="5BC2ADB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（3）本基金参与股指期货交易依据下列标准建构组合： </w:t>
      </w:r>
    </w:p>
    <w:p w14:paraId="0A7AC2E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任何交易日日终，持有的买入股指期货合约价值，不得超过基金资产净值的10%；在任何交易日日终，持有的卖出股指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有关约定； </w:t>
      </w:r>
    </w:p>
    <w:p w14:paraId="1DDAF99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（4）本基金参与国债期货交易依据下列标准建构组合： </w:t>
      </w:r>
    </w:p>
    <w:p w14:paraId="520B2E0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任何交易日日终，持有的买入国债期货合约价值，不得超过基金资产净值的15%；在任何交易日日终，持有的卖出国债期货合约价值不得超过基金持有的债券总市值的30%；在任何交易日内交易（不包括平仓）的国债期货合约的成交金额不得超过上一交易日基金资产净值的30%；本基金所持有的债券（不含到期日在一年以内的政府债券）市值和买入、卖出国债期货合约价值，合计（轧差计算）应当符合基金合同关于债券投资比例的有关约定； </w:t>
      </w:r>
    </w:p>
    <w:p w14:paraId="13A4DA6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2C3A2D2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（6）本基金持有的全部资产支持证券，其市值不得超过基金资产净值的20％； </w:t>
      </w:r>
    </w:p>
    <w:p w14:paraId="7C8AC52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（7）本基金投资于同一原始权益人的各类资产支持证券的比例，不得超过基金资产净值的10％； </w:t>
      </w:r>
    </w:p>
    <w:p w14:paraId="6807552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（8）本基金持有的同一(指同一信用级别)资产支持证券的比例，不得超过该资产支持证券规模的10％； </w:t>
      </w:r>
    </w:p>
    <w:p w14:paraId="60C0628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（9）本基金管理人管理的全部基金投资于同一原始权益人的各类资产支持证券，不得超过其各类资产支持证券合计规模的10％； </w:t>
      </w:r>
    </w:p>
    <w:p w14:paraId="4F8E78C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（10）本基金应投资于信用级别评级为BBB以上(含BBB)的资产支持证券。基金持有资产支持证券期间，如果其信用等级下降、不再符合投资标准，应在评级报告发布之日起3个月内予以全部卖出； </w:t>
      </w:r>
    </w:p>
    <w:p w14:paraId="2A99AFC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（11）基金财产参与股票发行申购，本基金所申报的金额不超过本基金的总资产，本基金所申报的股票数量不超过拟发行股票公司本次发行股票的总量； </w:t>
      </w:r>
    </w:p>
    <w:p w14:paraId="509E974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（12）本基金进入全国银行间同业市场进行债券回购的资金余额不得超过基金资产净值的40%；在全国银行间同业市场中的债券回购最长期限为1年，债券回购到期后不展期； </w:t>
      </w:r>
    </w:p>
    <w:p w14:paraId="7798C99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（13）本基金资产总值不得超过基金资产净值的140%； </w:t>
      </w:r>
    </w:p>
    <w:p w14:paraId="5737385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（14）本基金参与融资的，在任何交易日日终，本基金持有的融资买入股票与其他有价证券市值之和，不得超过基金资产净值的95%； </w:t>
      </w:r>
    </w:p>
    <w:p w14:paraId="5EC210E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（15）本基金参与转融通证券出借交易应当符合以下要求： </w:t>
      </w:r>
    </w:p>
    <w:p w14:paraId="11C43F5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1）出借证券资产不得超过基金资产净值的30%，出借期限在10个交易日以上的出借证券应纳入《流动性风险管理规定》所述流动性受限证券的范围； </w:t>
      </w:r>
    </w:p>
    <w:p w14:paraId="5E15017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2）参与出借业务的单只证券不得超过基金持有该证券总量的30%； </w:t>
      </w:r>
    </w:p>
    <w:p w14:paraId="3A1DA02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3）最近6个月内日均基金资产净值不得低于2亿元； </w:t>
      </w:r>
    </w:p>
    <w:p w14:paraId="67DF779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4）证券出借的平均剩余期限不得超过30天，平均剩余期限按照市值加权平均计算； </w:t>
      </w:r>
    </w:p>
    <w:p w14:paraId="7B194B8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因证券市场波动、上市公司合并、基金规模变动等基金管理人之外的因素致使基金投资不符合本条规定的，基金管理人不得新增出借业务； </w:t>
      </w:r>
    </w:p>
    <w:p w14:paraId="2DB0B9A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16）基金因未平仓的股票期权合约支付和收取的权利金总额不得超过基金资产净值的10%；开仓卖出认购股票期权的，应持有足额标的证券；开仓卖出认沽股票期权的，应持有合约行权所需的全额现金或交易所规则认可的可冲抵股票期权保证金的现金等价物；未平仓的股票期权合约面值不得超过基金资产净值的20%。其中，合约面值按照行权价乘以合约乘数计算；基金投资股票期权应符合基金合同约定的比例限制（如股票仓位、个股占比等）、投资目标和风险收益特征； </w:t>
      </w:r>
    </w:p>
    <w:p w14:paraId="46352C1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（17）本基金投资流通受限证券，基金管理人应制订严格的投资决策流程和风险控制制度，防范流动性风险、法律风险和操作风险等各种风险； </w:t>
      </w:r>
    </w:p>
    <w:p w14:paraId="10D2C82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050EF9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（19）本基金与私募类证券资管产品及中国证监会认定的其他主体为交易对手开展逆回购交易的，可接受质押品的资质要求应当与基金合同约定的投资范围保持一致； </w:t>
      </w:r>
    </w:p>
    <w:p w14:paraId="2C6B3E1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（20）法律法规及中国证监会规定的和《基金合同》约定的其他投资限制。 </w:t>
      </w:r>
    </w:p>
    <w:p w14:paraId="307EA1A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除第（2）、（10）、（15）、（18）、（19）条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23CEA14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1A1A3D3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法律法规或监管部门取消或调整上述限制，如适用于本基金，基金管理人在履行适当程序后，则本基金投资不再受相关限制或按照调整后的规定执行。 </w:t>
      </w:r>
    </w:p>
    <w:p w14:paraId="1514290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2、禁止行为 </w:t>
      </w:r>
    </w:p>
    <w:p w14:paraId="6B1BDED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为维护基金份额持有人的合法权益，基金财产不得用于下列投资或者活动： </w:t>
      </w:r>
    </w:p>
    <w:p w14:paraId="601BF5C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（1）承销证券； </w:t>
      </w:r>
    </w:p>
    <w:p w14:paraId="381E1E1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（2）违反规定向他人贷款或者提供担保； </w:t>
      </w:r>
    </w:p>
    <w:p w14:paraId="3B23403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（3）从事承担无限责任的投资； </w:t>
      </w:r>
    </w:p>
    <w:p w14:paraId="730E31F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（4）买卖其他基金份额，但是中国证监会另有规定的除外； </w:t>
      </w:r>
    </w:p>
    <w:p w14:paraId="1249C65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（5）向其基金管理人、基金托管人出资； </w:t>
      </w:r>
    </w:p>
    <w:p w14:paraId="035F873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（6）从事内幕交易、操纵证券交易价格及其他不正当的证券交易活动； </w:t>
      </w:r>
    </w:p>
    <w:p w14:paraId="686D20D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（7）法律、行政法规和中国证监会规定禁止的其他活动。 </w:t>
      </w:r>
    </w:p>
    <w:p w14:paraId="39D5976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61AECE7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法律、行政法规或监管部门取消或调整上述限制，如适用于本基金，则本基金投资不再受相关限制或按照调整后的规定执行。 </w:t>
      </w:r>
    </w:p>
    <w:p w14:paraId="3FD8772B">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九、基金管理人代表基金行使股东或债权人权利的处理原则及方法</w:t>
      </w:r>
    </w:p>
    <w:p w14:paraId="5DEC099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1、基金管理人按照国家有关规定代表基金独立行使股东或债权人权利，保护基金份额持有人的利益； </w:t>
      </w:r>
    </w:p>
    <w:p w14:paraId="3B17DF5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2、不谋求对上市公司的控股； </w:t>
      </w:r>
    </w:p>
    <w:p w14:paraId="6700888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3、有利于基金财产的安全与增值； </w:t>
      </w:r>
    </w:p>
    <w:p w14:paraId="11AEAB9E">
      <w:pPr>
        <w:pStyle w:val="8"/>
        <w:spacing w:before="0" w:beforeAutospacing="0" w:after="0" w:afterAutospacing="0" w:line="360" w:lineRule="auto"/>
        <w:ind w:firstLine="420"/>
        <w:rPr>
          <w:sz w:val="21"/>
          <w:szCs w:val="21"/>
          <w:highlight w:val="none"/>
        </w:rPr>
      </w:pPr>
      <w:r>
        <w:rPr>
          <w:rFonts w:hint="eastAsia"/>
          <w:sz w:val="21"/>
          <w:szCs w:val="21"/>
          <w:highlight w:val="none"/>
        </w:rPr>
        <w:t>4、不通过关联交易为自身、雇员、授权代理人或任何存在利害关系的第三人牟取任何</w:t>
      </w:r>
      <w:bookmarkStart w:id="116" w:name="chapter_level1_14_60_section_4_end"/>
      <w:bookmarkEnd w:id="116"/>
      <w:r>
        <w:rPr>
          <w:rFonts w:hint="eastAsia"/>
          <w:sz w:val="21"/>
          <w:szCs w:val="21"/>
          <w:highlight w:val="none"/>
        </w:rPr>
        <w:t xml:space="preserve">不当利益。 </w:t>
      </w:r>
    </w:p>
    <w:p w14:paraId="267380B2">
      <w:pPr>
        <w:pStyle w:val="8"/>
        <w:spacing w:before="0" w:beforeAutospacing="0" w:after="0" w:afterAutospacing="0" w:line="360" w:lineRule="auto"/>
        <w:ind w:firstLine="420"/>
        <w:rPr>
          <w:sz w:val="21"/>
          <w:szCs w:val="21"/>
          <w:highlight w:val="none"/>
        </w:rPr>
      </w:pPr>
      <w:bookmarkStart w:id="117" w:name="chapter_level1_14_60_section_5_end"/>
      <w:bookmarkEnd w:id="117"/>
      <w:bookmarkStart w:id="118" w:name="chapter_level1_14_60_section_5"/>
      <w:bookmarkEnd w:id="118"/>
      <w:r>
        <w:rPr>
          <w:rStyle w:val="12"/>
          <w:rFonts w:hint="eastAsia"/>
          <w:sz w:val="21"/>
          <w:szCs w:val="21"/>
          <w:highlight w:val="none"/>
          <w:lang w:val="en-US" w:eastAsia="zh-CN"/>
        </w:rPr>
        <w:t>十</w:t>
      </w:r>
      <w:r>
        <w:rPr>
          <w:rStyle w:val="12"/>
          <w:rFonts w:hint="eastAsia"/>
          <w:sz w:val="21"/>
          <w:szCs w:val="21"/>
          <w:highlight w:val="none"/>
        </w:rPr>
        <w:t>、基金投资组合报告</w:t>
      </w:r>
    </w:p>
    <w:p w14:paraId="68526AE3">
      <w:pPr>
        <w:pStyle w:val="8"/>
        <w:spacing w:before="0" w:beforeAutospacing="0" w:after="0" w:afterAutospacing="0" w:line="360" w:lineRule="auto"/>
        <w:ind w:firstLine="420"/>
        <w:rPr>
          <w:sz w:val="21"/>
          <w:szCs w:val="21"/>
          <w:highlight w:val="none"/>
        </w:rPr>
      </w:pPr>
      <w:bookmarkStart w:id="119" w:name="chapter_level1_14_60_section_6"/>
      <w:bookmarkEnd w:id="119"/>
      <w:r>
        <w:rPr>
          <w:rFonts w:hint="eastAsia"/>
          <w:sz w:val="21"/>
          <w:szCs w:val="21"/>
          <w:highlight w:val="none"/>
        </w:rPr>
        <w:t xml:space="preserve">基金管理人的董事会及董事保证本报告所载资料不存在虚假记载、误导性陈述或重大遗漏，并对其内容的真实性、准确性和完整性承担个别及连带责任。 </w:t>
      </w:r>
    </w:p>
    <w:p w14:paraId="4EFE8B7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基金托管人根据本基金合同规定，复核了本报告中的净值表现和投资组合报告等内容，保证复核内容不存在虚假记载、误导性陈述或者重大遗漏。 </w:t>
      </w:r>
    </w:p>
    <w:p w14:paraId="1F8A5A8D">
      <w:pPr>
        <w:pStyle w:val="8"/>
        <w:spacing w:before="0" w:beforeAutospacing="0" w:after="0" w:afterAutospacing="0" w:line="360" w:lineRule="auto"/>
        <w:ind w:firstLine="420"/>
        <w:rPr>
          <w:sz w:val="21"/>
          <w:szCs w:val="21"/>
          <w:highlight w:val="none"/>
        </w:rPr>
      </w:pPr>
      <w:r>
        <w:rPr>
          <w:rFonts w:hint="eastAsia"/>
          <w:sz w:val="21"/>
          <w:szCs w:val="21"/>
          <w:highlight w:val="none"/>
        </w:rPr>
        <w:t>本投资组合报告所载数据截至</w:t>
      </w:r>
      <w:bookmarkStart w:id="120" w:name="field_2343_financeendday_2"/>
      <w:r>
        <w:rPr>
          <w:sz w:val="21"/>
          <w:szCs w:val="21"/>
          <w:highlight w:val="none"/>
        </w:rPr>
        <w:t>2025年6月30日</w:t>
      </w:r>
      <w:bookmarkEnd w:id="120"/>
      <w:r>
        <w:rPr>
          <w:rFonts w:hint="eastAsia"/>
          <w:sz w:val="21"/>
          <w:szCs w:val="21"/>
          <w:highlight w:val="none"/>
        </w:rPr>
        <w:t xml:space="preserve">，本报告中所列财务数据未经审计。 </w:t>
      </w:r>
    </w:p>
    <w:p w14:paraId="7384A4C5">
      <w:pPr>
        <w:pStyle w:val="8"/>
        <w:spacing w:before="0" w:beforeAutospacing="0" w:after="0" w:afterAutospacing="0" w:line="360" w:lineRule="auto"/>
        <w:ind w:firstLine="420"/>
        <w:rPr>
          <w:sz w:val="21"/>
          <w:szCs w:val="21"/>
          <w:highlight w:val="none"/>
        </w:rPr>
      </w:pPr>
      <w:bookmarkStart w:id="121" w:name="field_0_fundportfolio_1_start"/>
      <w:bookmarkEnd w:id="121"/>
      <w:r>
        <w:rPr>
          <w:rStyle w:val="12"/>
          <w:rFonts w:hint="eastAsia"/>
          <w:sz w:val="21"/>
          <w:szCs w:val="21"/>
          <w:highlight w:val="none"/>
        </w:rPr>
        <w:t>1 报告期末基金资产组合情况</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230B6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559C69">
            <w:pPr>
              <w:jc w:val="center"/>
              <w:rPr>
                <w:rFonts w:ascii="宋体" w:hAnsi="宋体" w:eastAsia="宋体" w:cs="宋体"/>
                <w:sz w:val="24"/>
                <w:szCs w:val="24"/>
                <w:highlight w:val="none"/>
              </w:rPr>
            </w:pPr>
            <w:r>
              <w:rPr>
                <w:rFonts w:hint="eastAsia" w:ascii="宋体" w:hAnsi="宋体" w:eastAsia="宋体"/>
                <w:highlight w:val="none"/>
              </w:rPr>
              <w:t>序号</w:t>
            </w:r>
          </w:p>
        </w:tc>
        <w:tc>
          <w:tcPr>
            <w:tcW w:w="0" w:type="auto"/>
            <w:shd w:val="clear" w:color="auto" w:fill="auto"/>
          </w:tcPr>
          <w:p w14:paraId="1BFE817C">
            <w:pPr>
              <w:jc w:val="center"/>
              <w:rPr>
                <w:rFonts w:ascii="宋体" w:hAnsi="宋体" w:eastAsia="宋体" w:cs="宋体"/>
                <w:sz w:val="24"/>
                <w:szCs w:val="24"/>
                <w:highlight w:val="none"/>
              </w:rPr>
            </w:pPr>
            <w:r>
              <w:rPr>
                <w:rFonts w:hint="eastAsia" w:ascii="宋体" w:hAnsi="宋体" w:eastAsia="宋体"/>
                <w:highlight w:val="none"/>
              </w:rPr>
              <w:t>项目</w:t>
            </w:r>
          </w:p>
        </w:tc>
        <w:tc>
          <w:tcPr>
            <w:tcW w:w="0" w:type="auto"/>
            <w:shd w:val="clear" w:color="auto" w:fill="auto"/>
          </w:tcPr>
          <w:p w14:paraId="5C2C66FA">
            <w:pPr>
              <w:jc w:val="center"/>
              <w:rPr>
                <w:rFonts w:ascii="宋体" w:hAnsi="宋体" w:eastAsia="宋体" w:cs="宋体"/>
                <w:sz w:val="24"/>
                <w:szCs w:val="24"/>
                <w:highlight w:val="none"/>
              </w:rPr>
            </w:pPr>
            <w:r>
              <w:rPr>
                <w:rFonts w:hint="eastAsia" w:ascii="宋体" w:hAnsi="宋体" w:eastAsia="宋体"/>
                <w:highlight w:val="none"/>
              </w:rPr>
              <w:t>金额(元)</w:t>
            </w:r>
          </w:p>
        </w:tc>
        <w:tc>
          <w:tcPr>
            <w:tcW w:w="0" w:type="auto"/>
            <w:shd w:val="clear" w:color="auto" w:fill="auto"/>
          </w:tcPr>
          <w:p w14:paraId="53F9B543">
            <w:pPr>
              <w:jc w:val="center"/>
              <w:rPr>
                <w:rFonts w:ascii="宋体" w:hAnsi="宋体" w:eastAsia="宋体" w:cs="宋体"/>
                <w:sz w:val="24"/>
                <w:szCs w:val="24"/>
                <w:highlight w:val="none"/>
              </w:rPr>
            </w:pPr>
            <w:r>
              <w:rPr>
                <w:rFonts w:hint="eastAsia" w:ascii="宋体" w:hAnsi="宋体" w:eastAsia="宋体"/>
                <w:highlight w:val="none"/>
              </w:rPr>
              <w:t>占基金总资产的比例(%)</w:t>
            </w:r>
          </w:p>
        </w:tc>
      </w:tr>
      <w:tr w14:paraId="25169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DE8DD7">
            <w:pPr>
              <w:jc w:val="center"/>
              <w:rPr>
                <w:rFonts w:ascii="宋体" w:hAnsi="宋体" w:eastAsia="宋体" w:cs="宋体"/>
                <w:sz w:val="24"/>
                <w:szCs w:val="24"/>
                <w:highlight w:val="none"/>
              </w:rPr>
            </w:pPr>
            <w:r>
              <w:rPr>
                <w:rFonts w:hint="eastAsia" w:ascii="宋体" w:hAnsi="宋体" w:eastAsia="宋体"/>
                <w:highlight w:val="none"/>
              </w:rPr>
              <w:t>1</w:t>
            </w:r>
          </w:p>
        </w:tc>
        <w:tc>
          <w:tcPr>
            <w:tcW w:w="0" w:type="auto"/>
            <w:shd w:val="clear" w:color="auto" w:fill="auto"/>
          </w:tcPr>
          <w:p w14:paraId="264E1E41">
            <w:pPr>
              <w:rPr>
                <w:rFonts w:ascii="宋体" w:hAnsi="宋体" w:eastAsia="宋体" w:cs="宋体"/>
                <w:sz w:val="24"/>
                <w:szCs w:val="24"/>
                <w:highlight w:val="none"/>
              </w:rPr>
            </w:pPr>
            <w:r>
              <w:rPr>
                <w:rFonts w:hint="eastAsia" w:ascii="宋体" w:hAnsi="宋体" w:eastAsia="宋体"/>
                <w:highlight w:val="none"/>
              </w:rPr>
              <w:t>权益投资</w:t>
            </w:r>
          </w:p>
        </w:tc>
        <w:tc>
          <w:tcPr>
            <w:tcW w:w="0" w:type="auto"/>
            <w:shd w:val="clear" w:color="auto" w:fill="auto"/>
          </w:tcPr>
          <w:p w14:paraId="17036F13">
            <w:pPr>
              <w:jc w:val="right"/>
              <w:rPr>
                <w:rFonts w:ascii="宋体" w:hAnsi="宋体" w:eastAsia="宋体" w:cs="宋体"/>
                <w:sz w:val="24"/>
                <w:szCs w:val="24"/>
                <w:highlight w:val="none"/>
              </w:rPr>
            </w:pPr>
            <w:r>
              <w:rPr>
                <w:rFonts w:hint="eastAsia" w:ascii="宋体" w:hAnsi="宋体" w:eastAsia="宋体"/>
                <w:highlight w:val="none"/>
              </w:rPr>
              <w:t>4,084,437,548.96</w:t>
            </w:r>
          </w:p>
        </w:tc>
        <w:tc>
          <w:tcPr>
            <w:tcW w:w="0" w:type="auto"/>
            <w:shd w:val="clear" w:color="auto" w:fill="auto"/>
          </w:tcPr>
          <w:p w14:paraId="085F44AC">
            <w:pPr>
              <w:jc w:val="right"/>
              <w:rPr>
                <w:rFonts w:ascii="宋体" w:hAnsi="宋体" w:eastAsia="宋体" w:cs="宋体"/>
                <w:sz w:val="24"/>
                <w:szCs w:val="24"/>
                <w:highlight w:val="none"/>
              </w:rPr>
            </w:pPr>
            <w:r>
              <w:rPr>
                <w:rFonts w:hint="eastAsia" w:ascii="宋体" w:hAnsi="宋体" w:eastAsia="宋体"/>
                <w:highlight w:val="none"/>
              </w:rPr>
              <w:t>95.80</w:t>
            </w:r>
          </w:p>
        </w:tc>
      </w:tr>
      <w:tr w14:paraId="26934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576202F">
            <w:pPr>
              <w:jc w:val="center"/>
              <w:rPr>
                <w:rFonts w:ascii="宋体" w:hAnsi="宋体" w:eastAsia="宋体" w:cs="宋体"/>
                <w:sz w:val="24"/>
                <w:szCs w:val="24"/>
                <w:highlight w:val="none"/>
              </w:rPr>
            </w:pPr>
          </w:p>
        </w:tc>
        <w:tc>
          <w:tcPr>
            <w:tcW w:w="0" w:type="auto"/>
            <w:shd w:val="clear" w:color="auto" w:fill="auto"/>
          </w:tcPr>
          <w:p w14:paraId="237C0B3A">
            <w:pPr>
              <w:rPr>
                <w:rFonts w:ascii="宋体" w:hAnsi="宋体" w:eastAsia="宋体" w:cs="宋体"/>
                <w:sz w:val="24"/>
                <w:szCs w:val="24"/>
                <w:highlight w:val="none"/>
              </w:rPr>
            </w:pPr>
            <w:r>
              <w:rPr>
                <w:rFonts w:hint="eastAsia" w:ascii="宋体" w:hAnsi="宋体" w:eastAsia="宋体"/>
                <w:highlight w:val="none"/>
              </w:rPr>
              <w:t>其中：股票</w:t>
            </w:r>
          </w:p>
        </w:tc>
        <w:tc>
          <w:tcPr>
            <w:tcW w:w="0" w:type="auto"/>
            <w:shd w:val="clear" w:color="auto" w:fill="auto"/>
          </w:tcPr>
          <w:p w14:paraId="27C70727">
            <w:pPr>
              <w:jc w:val="right"/>
              <w:rPr>
                <w:rFonts w:ascii="宋体" w:hAnsi="宋体" w:eastAsia="宋体" w:cs="宋体"/>
                <w:sz w:val="24"/>
                <w:szCs w:val="24"/>
                <w:highlight w:val="none"/>
              </w:rPr>
            </w:pPr>
            <w:r>
              <w:rPr>
                <w:rFonts w:hint="eastAsia" w:ascii="宋体" w:hAnsi="宋体" w:eastAsia="宋体"/>
                <w:highlight w:val="none"/>
              </w:rPr>
              <w:t>4,084,437,548.96</w:t>
            </w:r>
          </w:p>
        </w:tc>
        <w:tc>
          <w:tcPr>
            <w:tcW w:w="0" w:type="auto"/>
            <w:shd w:val="clear" w:color="auto" w:fill="auto"/>
          </w:tcPr>
          <w:p w14:paraId="67F6FF17">
            <w:pPr>
              <w:jc w:val="right"/>
              <w:rPr>
                <w:rFonts w:ascii="宋体" w:hAnsi="宋体" w:eastAsia="宋体" w:cs="宋体"/>
                <w:sz w:val="24"/>
                <w:szCs w:val="24"/>
                <w:highlight w:val="none"/>
              </w:rPr>
            </w:pPr>
            <w:r>
              <w:rPr>
                <w:rFonts w:hint="eastAsia" w:ascii="宋体" w:hAnsi="宋体" w:eastAsia="宋体"/>
                <w:highlight w:val="none"/>
              </w:rPr>
              <w:t>95.80</w:t>
            </w:r>
          </w:p>
        </w:tc>
      </w:tr>
      <w:tr w14:paraId="6DA9C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DD174C">
            <w:pPr>
              <w:jc w:val="center"/>
              <w:rPr>
                <w:rFonts w:ascii="宋体" w:hAnsi="宋体" w:eastAsia="宋体" w:cs="宋体"/>
                <w:sz w:val="24"/>
                <w:szCs w:val="24"/>
                <w:highlight w:val="none"/>
              </w:rPr>
            </w:pPr>
            <w:r>
              <w:rPr>
                <w:rFonts w:hint="eastAsia" w:ascii="宋体" w:hAnsi="宋体" w:eastAsia="宋体"/>
                <w:highlight w:val="none"/>
              </w:rPr>
              <w:t>2</w:t>
            </w:r>
          </w:p>
        </w:tc>
        <w:tc>
          <w:tcPr>
            <w:tcW w:w="0" w:type="auto"/>
            <w:shd w:val="clear" w:color="auto" w:fill="auto"/>
          </w:tcPr>
          <w:p w14:paraId="5613B764">
            <w:pPr>
              <w:rPr>
                <w:rFonts w:ascii="宋体" w:hAnsi="宋体" w:eastAsia="宋体" w:cs="宋体"/>
                <w:sz w:val="24"/>
                <w:szCs w:val="24"/>
                <w:highlight w:val="none"/>
              </w:rPr>
            </w:pPr>
            <w:r>
              <w:rPr>
                <w:rFonts w:hint="eastAsia" w:ascii="宋体" w:hAnsi="宋体" w:eastAsia="宋体"/>
                <w:highlight w:val="none"/>
              </w:rPr>
              <w:t>基金投资</w:t>
            </w:r>
          </w:p>
        </w:tc>
        <w:tc>
          <w:tcPr>
            <w:tcW w:w="0" w:type="auto"/>
            <w:shd w:val="clear" w:color="auto" w:fill="auto"/>
          </w:tcPr>
          <w:p w14:paraId="4A98C82B">
            <w:pPr>
              <w:jc w:val="right"/>
              <w:rPr>
                <w:rFonts w:ascii="宋体" w:hAnsi="宋体" w:eastAsia="宋体" w:cs="宋体"/>
                <w:sz w:val="24"/>
                <w:szCs w:val="24"/>
                <w:highlight w:val="none"/>
              </w:rPr>
            </w:pPr>
            <w:r>
              <w:rPr>
                <w:rFonts w:hint="eastAsia" w:ascii="宋体" w:hAnsi="宋体" w:eastAsia="宋体"/>
                <w:highlight w:val="none"/>
              </w:rPr>
              <w:t>-</w:t>
            </w:r>
          </w:p>
        </w:tc>
        <w:tc>
          <w:tcPr>
            <w:tcW w:w="0" w:type="auto"/>
            <w:shd w:val="clear" w:color="auto" w:fill="auto"/>
          </w:tcPr>
          <w:p w14:paraId="7D76F2C6">
            <w:pPr>
              <w:jc w:val="right"/>
              <w:rPr>
                <w:rFonts w:ascii="宋体" w:hAnsi="宋体" w:eastAsia="宋体" w:cs="宋体"/>
                <w:sz w:val="24"/>
                <w:szCs w:val="24"/>
                <w:highlight w:val="none"/>
              </w:rPr>
            </w:pPr>
            <w:r>
              <w:rPr>
                <w:rFonts w:hint="eastAsia" w:ascii="宋体" w:hAnsi="宋体" w:eastAsia="宋体"/>
                <w:highlight w:val="none"/>
              </w:rPr>
              <w:t>-</w:t>
            </w:r>
          </w:p>
        </w:tc>
      </w:tr>
      <w:tr w14:paraId="5DA45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0DC6A1">
            <w:pPr>
              <w:jc w:val="center"/>
              <w:rPr>
                <w:rFonts w:ascii="宋体" w:hAnsi="宋体" w:eastAsia="宋体" w:cs="宋体"/>
                <w:sz w:val="24"/>
                <w:szCs w:val="24"/>
                <w:highlight w:val="none"/>
              </w:rPr>
            </w:pPr>
            <w:r>
              <w:rPr>
                <w:rFonts w:hint="eastAsia" w:ascii="宋体" w:hAnsi="宋体" w:eastAsia="宋体"/>
                <w:highlight w:val="none"/>
              </w:rPr>
              <w:t>3</w:t>
            </w:r>
          </w:p>
        </w:tc>
        <w:tc>
          <w:tcPr>
            <w:tcW w:w="0" w:type="auto"/>
            <w:shd w:val="clear" w:color="auto" w:fill="auto"/>
          </w:tcPr>
          <w:p w14:paraId="72CD1949">
            <w:pPr>
              <w:rPr>
                <w:rFonts w:ascii="宋体" w:hAnsi="宋体" w:eastAsia="宋体" w:cs="宋体"/>
                <w:sz w:val="24"/>
                <w:szCs w:val="24"/>
                <w:highlight w:val="none"/>
              </w:rPr>
            </w:pPr>
            <w:r>
              <w:rPr>
                <w:rFonts w:hint="eastAsia" w:ascii="宋体" w:hAnsi="宋体" w:eastAsia="宋体"/>
                <w:highlight w:val="none"/>
              </w:rPr>
              <w:t>固定收益投资</w:t>
            </w:r>
          </w:p>
        </w:tc>
        <w:tc>
          <w:tcPr>
            <w:tcW w:w="0" w:type="auto"/>
            <w:shd w:val="clear" w:color="auto" w:fill="auto"/>
          </w:tcPr>
          <w:p w14:paraId="3D14CEA7">
            <w:pPr>
              <w:jc w:val="right"/>
              <w:rPr>
                <w:rFonts w:ascii="宋体" w:hAnsi="宋体" w:eastAsia="宋体" w:cs="宋体"/>
                <w:sz w:val="24"/>
                <w:szCs w:val="24"/>
                <w:highlight w:val="none"/>
              </w:rPr>
            </w:pPr>
            <w:r>
              <w:rPr>
                <w:rFonts w:hint="eastAsia" w:ascii="宋体" w:hAnsi="宋体" w:eastAsia="宋体"/>
                <w:highlight w:val="none"/>
              </w:rPr>
              <w:t>-</w:t>
            </w:r>
          </w:p>
        </w:tc>
        <w:tc>
          <w:tcPr>
            <w:tcW w:w="0" w:type="auto"/>
            <w:shd w:val="clear" w:color="auto" w:fill="auto"/>
          </w:tcPr>
          <w:p w14:paraId="03FC6C72">
            <w:pPr>
              <w:jc w:val="right"/>
              <w:rPr>
                <w:rFonts w:ascii="宋体" w:hAnsi="宋体" w:eastAsia="宋体" w:cs="宋体"/>
                <w:sz w:val="24"/>
                <w:szCs w:val="24"/>
                <w:highlight w:val="none"/>
              </w:rPr>
            </w:pPr>
            <w:r>
              <w:rPr>
                <w:rFonts w:hint="eastAsia" w:ascii="宋体" w:hAnsi="宋体" w:eastAsia="宋体"/>
                <w:highlight w:val="none"/>
              </w:rPr>
              <w:t>-</w:t>
            </w:r>
          </w:p>
        </w:tc>
      </w:tr>
      <w:tr w14:paraId="1C37A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9D38F1C">
            <w:pPr>
              <w:jc w:val="center"/>
              <w:rPr>
                <w:rFonts w:ascii="宋体" w:hAnsi="宋体" w:eastAsia="宋体" w:cs="宋体"/>
                <w:sz w:val="24"/>
                <w:szCs w:val="24"/>
                <w:highlight w:val="none"/>
              </w:rPr>
            </w:pPr>
          </w:p>
        </w:tc>
        <w:tc>
          <w:tcPr>
            <w:tcW w:w="0" w:type="auto"/>
            <w:shd w:val="clear" w:color="auto" w:fill="auto"/>
          </w:tcPr>
          <w:p w14:paraId="7322B1CB">
            <w:pPr>
              <w:rPr>
                <w:rFonts w:ascii="宋体" w:hAnsi="宋体" w:eastAsia="宋体" w:cs="宋体"/>
                <w:sz w:val="24"/>
                <w:szCs w:val="24"/>
                <w:highlight w:val="none"/>
              </w:rPr>
            </w:pPr>
            <w:r>
              <w:rPr>
                <w:rFonts w:hint="eastAsia" w:ascii="宋体" w:hAnsi="宋体" w:eastAsia="宋体"/>
                <w:highlight w:val="none"/>
              </w:rPr>
              <w:t>其中：债券</w:t>
            </w:r>
          </w:p>
        </w:tc>
        <w:tc>
          <w:tcPr>
            <w:tcW w:w="0" w:type="auto"/>
            <w:shd w:val="clear" w:color="auto" w:fill="auto"/>
          </w:tcPr>
          <w:p w14:paraId="75416405">
            <w:pPr>
              <w:jc w:val="right"/>
              <w:rPr>
                <w:rFonts w:ascii="宋体" w:hAnsi="宋体" w:eastAsia="宋体" w:cs="宋体"/>
                <w:sz w:val="24"/>
                <w:szCs w:val="24"/>
                <w:highlight w:val="none"/>
              </w:rPr>
            </w:pPr>
            <w:r>
              <w:rPr>
                <w:rFonts w:hint="eastAsia" w:ascii="宋体" w:hAnsi="宋体" w:eastAsia="宋体"/>
                <w:highlight w:val="none"/>
              </w:rPr>
              <w:t>-</w:t>
            </w:r>
          </w:p>
        </w:tc>
        <w:tc>
          <w:tcPr>
            <w:tcW w:w="0" w:type="auto"/>
            <w:shd w:val="clear" w:color="auto" w:fill="auto"/>
          </w:tcPr>
          <w:p w14:paraId="52938C71">
            <w:pPr>
              <w:jc w:val="right"/>
              <w:rPr>
                <w:rFonts w:ascii="宋体" w:hAnsi="宋体" w:eastAsia="宋体" w:cs="宋体"/>
                <w:sz w:val="24"/>
                <w:szCs w:val="24"/>
                <w:highlight w:val="none"/>
              </w:rPr>
            </w:pPr>
            <w:r>
              <w:rPr>
                <w:rFonts w:hint="eastAsia" w:ascii="宋体" w:hAnsi="宋体" w:eastAsia="宋体"/>
                <w:highlight w:val="none"/>
              </w:rPr>
              <w:t>-</w:t>
            </w:r>
          </w:p>
        </w:tc>
      </w:tr>
      <w:tr w14:paraId="505EB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87D630">
            <w:pPr>
              <w:jc w:val="center"/>
              <w:rPr>
                <w:rFonts w:ascii="宋体" w:hAnsi="宋体" w:eastAsia="宋体" w:cs="宋体"/>
                <w:sz w:val="24"/>
                <w:szCs w:val="24"/>
                <w:highlight w:val="none"/>
              </w:rPr>
            </w:pPr>
          </w:p>
        </w:tc>
        <w:tc>
          <w:tcPr>
            <w:tcW w:w="0" w:type="auto"/>
            <w:shd w:val="clear" w:color="auto" w:fill="auto"/>
          </w:tcPr>
          <w:p w14:paraId="6DBAE613">
            <w:pPr>
              <w:rPr>
                <w:rFonts w:ascii="宋体" w:hAnsi="宋体" w:eastAsia="宋体" w:cs="宋体"/>
                <w:sz w:val="24"/>
                <w:szCs w:val="24"/>
                <w:highlight w:val="none"/>
              </w:rPr>
            </w:pPr>
            <w:r>
              <w:rPr>
                <w:rFonts w:hint="eastAsia" w:ascii="宋体" w:hAnsi="宋体" w:eastAsia="宋体"/>
                <w:highlight w:val="none"/>
              </w:rPr>
              <w:t>资产支持证券</w:t>
            </w:r>
          </w:p>
        </w:tc>
        <w:tc>
          <w:tcPr>
            <w:tcW w:w="0" w:type="auto"/>
            <w:shd w:val="clear" w:color="auto" w:fill="auto"/>
          </w:tcPr>
          <w:p w14:paraId="394CA4C4">
            <w:pPr>
              <w:jc w:val="right"/>
              <w:rPr>
                <w:rFonts w:ascii="宋体" w:hAnsi="宋体" w:eastAsia="宋体" w:cs="宋体"/>
                <w:sz w:val="24"/>
                <w:szCs w:val="24"/>
                <w:highlight w:val="none"/>
              </w:rPr>
            </w:pPr>
            <w:r>
              <w:rPr>
                <w:rFonts w:hint="eastAsia" w:ascii="宋体" w:hAnsi="宋体" w:eastAsia="宋体"/>
                <w:highlight w:val="none"/>
              </w:rPr>
              <w:t>-</w:t>
            </w:r>
          </w:p>
        </w:tc>
        <w:tc>
          <w:tcPr>
            <w:tcW w:w="0" w:type="auto"/>
            <w:shd w:val="clear" w:color="auto" w:fill="auto"/>
          </w:tcPr>
          <w:p w14:paraId="1BB345FB">
            <w:pPr>
              <w:jc w:val="right"/>
              <w:rPr>
                <w:rFonts w:ascii="宋体" w:hAnsi="宋体" w:eastAsia="宋体" w:cs="宋体"/>
                <w:sz w:val="24"/>
                <w:szCs w:val="24"/>
                <w:highlight w:val="none"/>
              </w:rPr>
            </w:pPr>
            <w:r>
              <w:rPr>
                <w:rFonts w:hint="eastAsia" w:ascii="宋体" w:hAnsi="宋体" w:eastAsia="宋体"/>
                <w:highlight w:val="none"/>
              </w:rPr>
              <w:t>-</w:t>
            </w:r>
          </w:p>
        </w:tc>
      </w:tr>
      <w:tr w14:paraId="0C811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5C11F9">
            <w:pPr>
              <w:jc w:val="center"/>
              <w:rPr>
                <w:rFonts w:ascii="宋体" w:hAnsi="宋体" w:eastAsia="宋体" w:cs="宋体"/>
                <w:sz w:val="24"/>
                <w:szCs w:val="24"/>
                <w:highlight w:val="none"/>
              </w:rPr>
            </w:pPr>
            <w:r>
              <w:rPr>
                <w:rFonts w:hint="eastAsia" w:ascii="宋体" w:hAnsi="宋体" w:eastAsia="宋体"/>
                <w:highlight w:val="none"/>
              </w:rPr>
              <w:t>4</w:t>
            </w:r>
          </w:p>
        </w:tc>
        <w:tc>
          <w:tcPr>
            <w:tcW w:w="0" w:type="auto"/>
            <w:shd w:val="clear" w:color="auto" w:fill="auto"/>
          </w:tcPr>
          <w:p w14:paraId="20D8602E">
            <w:pPr>
              <w:rPr>
                <w:rFonts w:ascii="宋体" w:hAnsi="宋体" w:eastAsia="宋体" w:cs="宋体"/>
                <w:sz w:val="24"/>
                <w:szCs w:val="24"/>
                <w:highlight w:val="none"/>
              </w:rPr>
            </w:pPr>
            <w:r>
              <w:rPr>
                <w:rFonts w:hint="eastAsia" w:ascii="宋体" w:hAnsi="宋体" w:eastAsia="宋体"/>
                <w:highlight w:val="none"/>
              </w:rPr>
              <w:t>贵金属投资</w:t>
            </w:r>
          </w:p>
        </w:tc>
        <w:tc>
          <w:tcPr>
            <w:tcW w:w="0" w:type="auto"/>
            <w:shd w:val="clear" w:color="auto" w:fill="auto"/>
          </w:tcPr>
          <w:p w14:paraId="6CFE33A2">
            <w:pPr>
              <w:jc w:val="right"/>
              <w:rPr>
                <w:rFonts w:ascii="宋体" w:hAnsi="宋体" w:eastAsia="宋体" w:cs="宋体"/>
                <w:sz w:val="24"/>
                <w:szCs w:val="24"/>
                <w:highlight w:val="none"/>
              </w:rPr>
            </w:pPr>
            <w:r>
              <w:rPr>
                <w:rFonts w:hint="eastAsia" w:ascii="宋体" w:hAnsi="宋体" w:eastAsia="宋体"/>
                <w:highlight w:val="none"/>
              </w:rPr>
              <w:t>-</w:t>
            </w:r>
          </w:p>
        </w:tc>
        <w:tc>
          <w:tcPr>
            <w:tcW w:w="0" w:type="auto"/>
            <w:shd w:val="clear" w:color="auto" w:fill="auto"/>
          </w:tcPr>
          <w:p w14:paraId="4D4C5933">
            <w:pPr>
              <w:jc w:val="right"/>
              <w:rPr>
                <w:rFonts w:ascii="宋体" w:hAnsi="宋体" w:eastAsia="宋体" w:cs="宋体"/>
                <w:sz w:val="24"/>
                <w:szCs w:val="24"/>
                <w:highlight w:val="none"/>
              </w:rPr>
            </w:pPr>
            <w:r>
              <w:rPr>
                <w:rFonts w:hint="eastAsia" w:ascii="宋体" w:hAnsi="宋体" w:eastAsia="宋体"/>
                <w:highlight w:val="none"/>
              </w:rPr>
              <w:t>-</w:t>
            </w:r>
          </w:p>
        </w:tc>
      </w:tr>
      <w:tr w14:paraId="0EDA4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519B05">
            <w:pPr>
              <w:jc w:val="center"/>
              <w:rPr>
                <w:rFonts w:ascii="宋体" w:hAnsi="宋体" w:eastAsia="宋体" w:cs="宋体"/>
                <w:sz w:val="24"/>
                <w:szCs w:val="24"/>
                <w:highlight w:val="none"/>
              </w:rPr>
            </w:pPr>
            <w:r>
              <w:rPr>
                <w:rFonts w:hint="eastAsia" w:ascii="宋体" w:hAnsi="宋体" w:eastAsia="宋体"/>
                <w:highlight w:val="none"/>
              </w:rPr>
              <w:t>5</w:t>
            </w:r>
          </w:p>
        </w:tc>
        <w:tc>
          <w:tcPr>
            <w:tcW w:w="0" w:type="auto"/>
            <w:shd w:val="clear" w:color="auto" w:fill="auto"/>
          </w:tcPr>
          <w:p w14:paraId="13D21BE3">
            <w:pPr>
              <w:rPr>
                <w:rFonts w:ascii="宋体" w:hAnsi="宋体" w:eastAsia="宋体" w:cs="宋体"/>
                <w:sz w:val="24"/>
                <w:szCs w:val="24"/>
                <w:highlight w:val="none"/>
              </w:rPr>
            </w:pPr>
            <w:r>
              <w:rPr>
                <w:rFonts w:hint="eastAsia" w:ascii="宋体" w:hAnsi="宋体" w:eastAsia="宋体"/>
                <w:highlight w:val="none"/>
              </w:rPr>
              <w:t>金融衍生品投资</w:t>
            </w:r>
          </w:p>
        </w:tc>
        <w:tc>
          <w:tcPr>
            <w:tcW w:w="0" w:type="auto"/>
            <w:shd w:val="clear" w:color="auto" w:fill="auto"/>
          </w:tcPr>
          <w:p w14:paraId="58FEC330">
            <w:pPr>
              <w:jc w:val="right"/>
              <w:rPr>
                <w:rFonts w:ascii="宋体" w:hAnsi="宋体" w:eastAsia="宋体" w:cs="宋体"/>
                <w:sz w:val="24"/>
                <w:szCs w:val="24"/>
                <w:highlight w:val="none"/>
              </w:rPr>
            </w:pPr>
            <w:r>
              <w:rPr>
                <w:rFonts w:hint="eastAsia" w:ascii="宋体" w:hAnsi="宋体" w:eastAsia="宋体"/>
                <w:highlight w:val="none"/>
              </w:rPr>
              <w:t>-</w:t>
            </w:r>
          </w:p>
        </w:tc>
        <w:tc>
          <w:tcPr>
            <w:tcW w:w="0" w:type="auto"/>
            <w:shd w:val="clear" w:color="auto" w:fill="auto"/>
          </w:tcPr>
          <w:p w14:paraId="6309A730">
            <w:pPr>
              <w:jc w:val="right"/>
              <w:rPr>
                <w:rFonts w:ascii="宋体" w:hAnsi="宋体" w:eastAsia="宋体" w:cs="宋体"/>
                <w:sz w:val="24"/>
                <w:szCs w:val="24"/>
                <w:highlight w:val="none"/>
              </w:rPr>
            </w:pPr>
            <w:r>
              <w:rPr>
                <w:rFonts w:hint="eastAsia" w:ascii="宋体" w:hAnsi="宋体" w:eastAsia="宋体"/>
                <w:highlight w:val="none"/>
              </w:rPr>
              <w:t>-</w:t>
            </w:r>
          </w:p>
        </w:tc>
      </w:tr>
      <w:tr w14:paraId="7EC46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3406E6">
            <w:pPr>
              <w:jc w:val="center"/>
              <w:rPr>
                <w:rFonts w:ascii="宋体" w:hAnsi="宋体" w:eastAsia="宋体" w:cs="宋体"/>
                <w:sz w:val="24"/>
                <w:szCs w:val="24"/>
                <w:highlight w:val="none"/>
              </w:rPr>
            </w:pPr>
            <w:r>
              <w:rPr>
                <w:rFonts w:hint="eastAsia" w:ascii="宋体" w:hAnsi="宋体" w:eastAsia="宋体"/>
                <w:highlight w:val="none"/>
              </w:rPr>
              <w:t>6</w:t>
            </w:r>
          </w:p>
        </w:tc>
        <w:tc>
          <w:tcPr>
            <w:tcW w:w="0" w:type="auto"/>
            <w:shd w:val="clear" w:color="auto" w:fill="auto"/>
          </w:tcPr>
          <w:p w14:paraId="27CED78D">
            <w:pPr>
              <w:rPr>
                <w:rFonts w:ascii="宋体" w:hAnsi="宋体" w:eastAsia="宋体" w:cs="宋体"/>
                <w:sz w:val="24"/>
                <w:szCs w:val="24"/>
                <w:highlight w:val="none"/>
              </w:rPr>
            </w:pPr>
            <w:r>
              <w:rPr>
                <w:rFonts w:hint="eastAsia" w:ascii="宋体" w:hAnsi="宋体" w:eastAsia="宋体"/>
                <w:highlight w:val="none"/>
              </w:rPr>
              <w:t>买入返售金融资产</w:t>
            </w:r>
          </w:p>
        </w:tc>
        <w:tc>
          <w:tcPr>
            <w:tcW w:w="0" w:type="auto"/>
            <w:shd w:val="clear" w:color="auto" w:fill="auto"/>
          </w:tcPr>
          <w:p w14:paraId="554CD367">
            <w:pPr>
              <w:jc w:val="right"/>
              <w:rPr>
                <w:rFonts w:ascii="宋体" w:hAnsi="宋体" w:eastAsia="宋体" w:cs="宋体"/>
                <w:sz w:val="24"/>
                <w:szCs w:val="24"/>
                <w:highlight w:val="none"/>
              </w:rPr>
            </w:pPr>
            <w:r>
              <w:rPr>
                <w:rFonts w:hint="eastAsia" w:ascii="宋体" w:hAnsi="宋体" w:eastAsia="宋体"/>
                <w:highlight w:val="none"/>
              </w:rPr>
              <w:t>-</w:t>
            </w:r>
          </w:p>
        </w:tc>
        <w:tc>
          <w:tcPr>
            <w:tcW w:w="0" w:type="auto"/>
            <w:shd w:val="clear" w:color="auto" w:fill="auto"/>
          </w:tcPr>
          <w:p w14:paraId="2AF9EB09">
            <w:pPr>
              <w:jc w:val="right"/>
              <w:rPr>
                <w:rFonts w:ascii="宋体" w:hAnsi="宋体" w:eastAsia="宋体" w:cs="宋体"/>
                <w:sz w:val="24"/>
                <w:szCs w:val="24"/>
                <w:highlight w:val="none"/>
              </w:rPr>
            </w:pPr>
            <w:r>
              <w:rPr>
                <w:rFonts w:hint="eastAsia" w:ascii="宋体" w:hAnsi="宋体" w:eastAsia="宋体"/>
                <w:highlight w:val="none"/>
              </w:rPr>
              <w:t>-</w:t>
            </w:r>
          </w:p>
        </w:tc>
      </w:tr>
      <w:tr w14:paraId="1313E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E1E385">
            <w:pPr>
              <w:jc w:val="center"/>
              <w:rPr>
                <w:rFonts w:ascii="宋体" w:hAnsi="宋体" w:eastAsia="宋体" w:cs="宋体"/>
                <w:sz w:val="24"/>
                <w:szCs w:val="24"/>
                <w:highlight w:val="none"/>
              </w:rPr>
            </w:pPr>
          </w:p>
        </w:tc>
        <w:tc>
          <w:tcPr>
            <w:tcW w:w="0" w:type="auto"/>
            <w:shd w:val="clear" w:color="auto" w:fill="auto"/>
          </w:tcPr>
          <w:p w14:paraId="5AFDB5BD">
            <w:pPr>
              <w:rPr>
                <w:rFonts w:ascii="宋体" w:hAnsi="宋体" w:eastAsia="宋体" w:cs="宋体"/>
                <w:sz w:val="24"/>
                <w:szCs w:val="24"/>
                <w:highlight w:val="none"/>
              </w:rPr>
            </w:pPr>
            <w:r>
              <w:rPr>
                <w:rFonts w:hint="eastAsia" w:ascii="宋体" w:hAnsi="宋体" w:eastAsia="宋体"/>
                <w:highlight w:val="none"/>
              </w:rPr>
              <w:t>其中：买断式回购的买入返售金融资产</w:t>
            </w:r>
          </w:p>
        </w:tc>
        <w:tc>
          <w:tcPr>
            <w:tcW w:w="0" w:type="auto"/>
            <w:shd w:val="clear" w:color="auto" w:fill="auto"/>
          </w:tcPr>
          <w:p w14:paraId="09FA2832">
            <w:pPr>
              <w:jc w:val="right"/>
              <w:rPr>
                <w:rFonts w:ascii="宋体" w:hAnsi="宋体" w:eastAsia="宋体" w:cs="宋体"/>
                <w:sz w:val="24"/>
                <w:szCs w:val="24"/>
                <w:highlight w:val="none"/>
              </w:rPr>
            </w:pPr>
            <w:r>
              <w:rPr>
                <w:rFonts w:hint="eastAsia" w:ascii="宋体" w:hAnsi="宋体" w:eastAsia="宋体"/>
                <w:highlight w:val="none"/>
              </w:rPr>
              <w:t>-</w:t>
            </w:r>
          </w:p>
        </w:tc>
        <w:tc>
          <w:tcPr>
            <w:tcW w:w="0" w:type="auto"/>
            <w:shd w:val="clear" w:color="auto" w:fill="auto"/>
          </w:tcPr>
          <w:p w14:paraId="5C47A5C2">
            <w:pPr>
              <w:jc w:val="right"/>
              <w:rPr>
                <w:rFonts w:ascii="宋体" w:hAnsi="宋体" w:eastAsia="宋体" w:cs="宋体"/>
                <w:sz w:val="24"/>
                <w:szCs w:val="24"/>
                <w:highlight w:val="none"/>
              </w:rPr>
            </w:pPr>
            <w:r>
              <w:rPr>
                <w:rFonts w:hint="eastAsia" w:ascii="宋体" w:hAnsi="宋体" w:eastAsia="宋体"/>
                <w:highlight w:val="none"/>
              </w:rPr>
              <w:t>-</w:t>
            </w:r>
          </w:p>
        </w:tc>
      </w:tr>
      <w:tr w14:paraId="4E68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FF7636">
            <w:pPr>
              <w:jc w:val="center"/>
              <w:rPr>
                <w:rFonts w:ascii="宋体" w:hAnsi="宋体" w:eastAsia="宋体" w:cs="宋体"/>
                <w:sz w:val="24"/>
                <w:szCs w:val="24"/>
                <w:highlight w:val="none"/>
              </w:rPr>
            </w:pPr>
            <w:r>
              <w:rPr>
                <w:rFonts w:hint="eastAsia" w:ascii="宋体" w:hAnsi="宋体" w:eastAsia="宋体"/>
                <w:highlight w:val="none"/>
              </w:rPr>
              <w:t>7</w:t>
            </w:r>
          </w:p>
        </w:tc>
        <w:tc>
          <w:tcPr>
            <w:tcW w:w="0" w:type="auto"/>
            <w:shd w:val="clear" w:color="auto" w:fill="auto"/>
          </w:tcPr>
          <w:p w14:paraId="24A3D854">
            <w:pPr>
              <w:rPr>
                <w:rFonts w:ascii="宋体" w:hAnsi="宋体" w:eastAsia="宋体" w:cs="宋体"/>
                <w:sz w:val="24"/>
                <w:szCs w:val="24"/>
                <w:highlight w:val="none"/>
              </w:rPr>
            </w:pPr>
            <w:r>
              <w:rPr>
                <w:rFonts w:hint="eastAsia" w:ascii="宋体" w:hAnsi="宋体" w:eastAsia="宋体"/>
                <w:highlight w:val="none"/>
              </w:rPr>
              <w:t>银行存款和结算备付金合计</w:t>
            </w:r>
          </w:p>
        </w:tc>
        <w:tc>
          <w:tcPr>
            <w:tcW w:w="0" w:type="auto"/>
            <w:shd w:val="clear" w:color="auto" w:fill="auto"/>
          </w:tcPr>
          <w:p w14:paraId="746238DD">
            <w:pPr>
              <w:jc w:val="right"/>
              <w:rPr>
                <w:rFonts w:ascii="宋体" w:hAnsi="宋体" w:eastAsia="宋体" w:cs="宋体"/>
                <w:sz w:val="24"/>
                <w:szCs w:val="24"/>
                <w:highlight w:val="none"/>
              </w:rPr>
            </w:pPr>
            <w:r>
              <w:rPr>
                <w:rFonts w:hint="eastAsia" w:ascii="宋体" w:hAnsi="宋体" w:eastAsia="宋体"/>
                <w:highlight w:val="none"/>
              </w:rPr>
              <w:t>48,124,722.51</w:t>
            </w:r>
          </w:p>
        </w:tc>
        <w:tc>
          <w:tcPr>
            <w:tcW w:w="0" w:type="auto"/>
            <w:shd w:val="clear" w:color="auto" w:fill="auto"/>
          </w:tcPr>
          <w:p w14:paraId="402BF7ED">
            <w:pPr>
              <w:jc w:val="right"/>
              <w:rPr>
                <w:rFonts w:ascii="宋体" w:hAnsi="宋体" w:eastAsia="宋体" w:cs="宋体"/>
                <w:sz w:val="24"/>
                <w:szCs w:val="24"/>
                <w:highlight w:val="none"/>
              </w:rPr>
            </w:pPr>
            <w:r>
              <w:rPr>
                <w:rFonts w:hint="eastAsia" w:ascii="宋体" w:hAnsi="宋体" w:eastAsia="宋体"/>
                <w:highlight w:val="none"/>
              </w:rPr>
              <w:t>1.13</w:t>
            </w:r>
          </w:p>
        </w:tc>
      </w:tr>
      <w:tr w14:paraId="55DA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60D136">
            <w:pPr>
              <w:jc w:val="center"/>
              <w:rPr>
                <w:rFonts w:ascii="宋体" w:hAnsi="宋体" w:eastAsia="宋体" w:cs="宋体"/>
                <w:sz w:val="24"/>
                <w:szCs w:val="24"/>
                <w:highlight w:val="none"/>
              </w:rPr>
            </w:pPr>
            <w:r>
              <w:rPr>
                <w:rFonts w:hint="eastAsia" w:ascii="宋体" w:hAnsi="宋体" w:eastAsia="宋体"/>
                <w:highlight w:val="none"/>
              </w:rPr>
              <w:t>8</w:t>
            </w:r>
          </w:p>
        </w:tc>
        <w:tc>
          <w:tcPr>
            <w:tcW w:w="0" w:type="auto"/>
            <w:shd w:val="clear" w:color="auto" w:fill="auto"/>
          </w:tcPr>
          <w:p w14:paraId="05E794B1">
            <w:pPr>
              <w:rPr>
                <w:rFonts w:ascii="宋体" w:hAnsi="宋体" w:eastAsia="宋体" w:cs="宋体"/>
                <w:sz w:val="24"/>
                <w:szCs w:val="24"/>
                <w:highlight w:val="none"/>
              </w:rPr>
            </w:pPr>
            <w:r>
              <w:rPr>
                <w:rFonts w:hint="eastAsia" w:ascii="宋体" w:hAnsi="宋体" w:eastAsia="宋体"/>
                <w:highlight w:val="none"/>
              </w:rPr>
              <w:t>其他各项资产</w:t>
            </w:r>
          </w:p>
        </w:tc>
        <w:tc>
          <w:tcPr>
            <w:tcW w:w="0" w:type="auto"/>
            <w:shd w:val="clear" w:color="auto" w:fill="auto"/>
          </w:tcPr>
          <w:p w14:paraId="63B0BF4F">
            <w:pPr>
              <w:jc w:val="right"/>
              <w:rPr>
                <w:rFonts w:ascii="宋体" w:hAnsi="宋体" w:eastAsia="宋体" w:cs="宋体"/>
                <w:sz w:val="24"/>
                <w:szCs w:val="24"/>
                <w:highlight w:val="none"/>
              </w:rPr>
            </w:pPr>
            <w:r>
              <w:rPr>
                <w:rFonts w:hint="eastAsia" w:ascii="宋体" w:hAnsi="宋体" w:eastAsia="宋体"/>
                <w:highlight w:val="none"/>
              </w:rPr>
              <w:t>131,102,701.60</w:t>
            </w:r>
          </w:p>
        </w:tc>
        <w:tc>
          <w:tcPr>
            <w:tcW w:w="0" w:type="auto"/>
            <w:shd w:val="clear" w:color="auto" w:fill="auto"/>
          </w:tcPr>
          <w:p w14:paraId="50099FE4">
            <w:pPr>
              <w:jc w:val="right"/>
              <w:rPr>
                <w:rFonts w:ascii="宋体" w:hAnsi="宋体" w:eastAsia="宋体" w:cs="宋体"/>
                <w:sz w:val="24"/>
                <w:szCs w:val="24"/>
                <w:highlight w:val="none"/>
              </w:rPr>
            </w:pPr>
            <w:r>
              <w:rPr>
                <w:rFonts w:hint="eastAsia" w:ascii="宋体" w:hAnsi="宋体" w:eastAsia="宋体"/>
                <w:highlight w:val="none"/>
              </w:rPr>
              <w:t>3.07</w:t>
            </w:r>
          </w:p>
        </w:tc>
      </w:tr>
      <w:tr w14:paraId="3E5EAE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BE468F">
            <w:pPr>
              <w:jc w:val="center"/>
              <w:rPr>
                <w:rFonts w:ascii="宋体" w:hAnsi="宋体" w:eastAsia="宋体" w:cs="宋体"/>
                <w:sz w:val="24"/>
                <w:szCs w:val="24"/>
                <w:highlight w:val="none"/>
              </w:rPr>
            </w:pPr>
            <w:r>
              <w:rPr>
                <w:rFonts w:hint="eastAsia" w:ascii="宋体" w:hAnsi="宋体" w:eastAsia="宋体"/>
                <w:highlight w:val="none"/>
              </w:rPr>
              <w:t>9</w:t>
            </w:r>
          </w:p>
        </w:tc>
        <w:tc>
          <w:tcPr>
            <w:tcW w:w="0" w:type="auto"/>
            <w:shd w:val="clear" w:color="auto" w:fill="auto"/>
          </w:tcPr>
          <w:p w14:paraId="37DE3422">
            <w:pPr>
              <w:rPr>
                <w:rFonts w:ascii="宋体" w:hAnsi="宋体" w:eastAsia="宋体" w:cs="宋体"/>
                <w:sz w:val="24"/>
                <w:szCs w:val="24"/>
                <w:highlight w:val="none"/>
              </w:rPr>
            </w:pPr>
            <w:r>
              <w:rPr>
                <w:rFonts w:hint="eastAsia" w:ascii="宋体" w:hAnsi="宋体" w:eastAsia="宋体"/>
                <w:highlight w:val="none"/>
              </w:rPr>
              <w:t>合计</w:t>
            </w:r>
          </w:p>
        </w:tc>
        <w:tc>
          <w:tcPr>
            <w:tcW w:w="0" w:type="auto"/>
            <w:shd w:val="clear" w:color="auto" w:fill="auto"/>
          </w:tcPr>
          <w:p w14:paraId="45087CC6">
            <w:pPr>
              <w:jc w:val="right"/>
              <w:rPr>
                <w:rFonts w:ascii="宋体" w:hAnsi="宋体" w:eastAsia="宋体" w:cs="宋体"/>
                <w:sz w:val="24"/>
                <w:szCs w:val="24"/>
                <w:highlight w:val="none"/>
              </w:rPr>
            </w:pPr>
            <w:r>
              <w:rPr>
                <w:rFonts w:hint="eastAsia" w:ascii="宋体" w:hAnsi="宋体" w:eastAsia="宋体"/>
                <w:highlight w:val="none"/>
              </w:rPr>
              <w:t>4,263,664,973.07</w:t>
            </w:r>
          </w:p>
        </w:tc>
        <w:tc>
          <w:tcPr>
            <w:tcW w:w="0" w:type="auto"/>
            <w:shd w:val="clear" w:color="auto" w:fill="auto"/>
          </w:tcPr>
          <w:p w14:paraId="29D0FDA2">
            <w:pPr>
              <w:jc w:val="right"/>
              <w:rPr>
                <w:rFonts w:ascii="宋体" w:hAnsi="宋体" w:eastAsia="宋体" w:cs="宋体"/>
                <w:sz w:val="24"/>
                <w:szCs w:val="24"/>
                <w:highlight w:val="none"/>
              </w:rPr>
            </w:pPr>
            <w:r>
              <w:rPr>
                <w:rFonts w:hint="eastAsia" w:ascii="宋体" w:hAnsi="宋体" w:eastAsia="宋体"/>
                <w:highlight w:val="none"/>
              </w:rPr>
              <w:t>100.00</w:t>
            </w:r>
          </w:p>
        </w:tc>
      </w:tr>
    </w:tbl>
    <w:p w14:paraId="72A031BB">
      <w:pPr>
        <w:pStyle w:val="8"/>
        <w:spacing w:before="0" w:beforeAutospacing="0" w:after="0" w:afterAutospacing="0" w:line="360" w:lineRule="auto"/>
        <w:ind w:firstLine="420"/>
        <w:rPr>
          <w:sz w:val="21"/>
          <w:szCs w:val="21"/>
          <w:highlight w:val="none"/>
        </w:rPr>
      </w:pPr>
      <w:r>
        <w:rPr>
          <w:rFonts w:hint="eastAsia"/>
          <w:sz w:val="21"/>
          <w:szCs w:val="21"/>
          <w:highlight w:val="none"/>
        </w:rPr>
        <w:t>注：权益投资中通过港股通机制投资香港股票金额4,084,437,548.96元，净值占比98.42%。</w:t>
      </w:r>
    </w:p>
    <w:p w14:paraId="4301C15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2 报告期末按行业分类的股票投资组合</w:t>
      </w:r>
    </w:p>
    <w:p w14:paraId="34744D0E">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2.1 报告期末按行业分类的境内股票投资组合</w:t>
      </w:r>
    </w:p>
    <w:p w14:paraId="3097CD86">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本基金本报告期末未持有境内股票。</w:t>
      </w:r>
    </w:p>
    <w:p w14:paraId="7014D362">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2.2 报告期末按行业分类的港股通投资股票投资组合</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34"/>
        <w:gridCol w:w="2704"/>
        <w:gridCol w:w="3378"/>
      </w:tblGrid>
      <w:tr w14:paraId="5562F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F6FBD4">
            <w:pPr>
              <w:jc w:val="center"/>
              <w:rPr>
                <w:rFonts w:ascii="宋体" w:hAnsi="宋体" w:eastAsia="宋体" w:cs="宋体"/>
                <w:sz w:val="24"/>
                <w:szCs w:val="24"/>
                <w:highlight w:val="none"/>
              </w:rPr>
            </w:pPr>
            <w:r>
              <w:rPr>
                <w:rFonts w:hint="eastAsia" w:ascii="宋体" w:hAnsi="宋体" w:eastAsia="宋体"/>
                <w:highlight w:val="none"/>
              </w:rPr>
              <w:t>行业类别</w:t>
            </w:r>
          </w:p>
        </w:tc>
        <w:tc>
          <w:tcPr>
            <w:tcW w:w="0" w:type="auto"/>
            <w:shd w:val="clear" w:color="auto" w:fill="auto"/>
          </w:tcPr>
          <w:p w14:paraId="6D0BC971">
            <w:pPr>
              <w:jc w:val="center"/>
              <w:rPr>
                <w:rFonts w:ascii="宋体" w:hAnsi="宋体" w:eastAsia="宋体" w:cs="宋体"/>
                <w:sz w:val="24"/>
                <w:szCs w:val="24"/>
                <w:highlight w:val="none"/>
              </w:rPr>
            </w:pPr>
            <w:r>
              <w:rPr>
                <w:rFonts w:hint="eastAsia" w:ascii="宋体" w:hAnsi="宋体" w:eastAsia="宋体"/>
                <w:highlight w:val="none"/>
              </w:rPr>
              <w:t>公允价值（人民币）</w:t>
            </w:r>
          </w:p>
        </w:tc>
        <w:tc>
          <w:tcPr>
            <w:tcW w:w="0" w:type="auto"/>
            <w:shd w:val="clear" w:color="auto" w:fill="auto"/>
          </w:tcPr>
          <w:p w14:paraId="7AA6A035">
            <w:pPr>
              <w:jc w:val="center"/>
              <w:rPr>
                <w:rFonts w:ascii="宋体" w:hAnsi="宋体" w:eastAsia="宋体" w:cs="宋体"/>
                <w:sz w:val="24"/>
                <w:szCs w:val="24"/>
                <w:highlight w:val="none"/>
              </w:rPr>
            </w:pPr>
            <w:r>
              <w:rPr>
                <w:rFonts w:hint="eastAsia" w:ascii="宋体" w:hAnsi="宋体" w:eastAsia="宋体"/>
                <w:highlight w:val="none"/>
              </w:rPr>
              <w:t>占基金资产净值比例（%）</w:t>
            </w:r>
          </w:p>
        </w:tc>
      </w:tr>
      <w:tr w14:paraId="12D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0AC965">
            <w:pPr>
              <w:rPr>
                <w:rFonts w:ascii="宋体" w:hAnsi="宋体" w:eastAsia="宋体" w:cs="宋体"/>
                <w:sz w:val="24"/>
                <w:szCs w:val="24"/>
                <w:highlight w:val="none"/>
              </w:rPr>
            </w:pPr>
            <w:r>
              <w:rPr>
                <w:rFonts w:hint="eastAsia" w:ascii="宋体" w:hAnsi="宋体" w:eastAsia="宋体"/>
                <w:highlight w:val="none"/>
              </w:rPr>
              <w:t>电信业务</w:t>
            </w:r>
          </w:p>
        </w:tc>
        <w:tc>
          <w:tcPr>
            <w:tcW w:w="0" w:type="auto"/>
            <w:shd w:val="clear" w:color="auto" w:fill="auto"/>
          </w:tcPr>
          <w:p w14:paraId="7F93CB7C">
            <w:pPr>
              <w:jc w:val="right"/>
              <w:rPr>
                <w:rFonts w:ascii="宋体" w:hAnsi="宋体" w:eastAsia="宋体" w:cs="宋体"/>
                <w:sz w:val="24"/>
                <w:szCs w:val="24"/>
                <w:highlight w:val="none"/>
              </w:rPr>
            </w:pPr>
            <w:r>
              <w:rPr>
                <w:rFonts w:hint="eastAsia" w:ascii="宋体" w:hAnsi="宋体" w:eastAsia="宋体"/>
                <w:highlight w:val="none"/>
              </w:rPr>
              <w:t>275,157,429.79</w:t>
            </w:r>
          </w:p>
        </w:tc>
        <w:tc>
          <w:tcPr>
            <w:tcW w:w="0" w:type="auto"/>
            <w:shd w:val="clear" w:color="auto" w:fill="auto"/>
          </w:tcPr>
          <w:p w14:paraId="3B74786F">
            <w:pPr>
              <w:jc w:val="right"/>
              <w:rPr>
                <w:rFonts w:ascii="宋体" w:hAnsi="宋体" w:eastAsia="宋体" w:cs="宋体"/>
                <w:sz w:val="24"/>
                <w:szCs w:val="24"/>
                <w:highlight w:val="none"/>
              </w:rPr>
            </w:pPr>
            <w:r>
              <w:rPr>
                <w:rFonts w:hint="eastAsia" w:ascii="宋体" w:hAnsi="宋体" w:eastAsia="宋体"/>
                <w:highlight w:val="none"/>
              </w:rPr>
              <w:t>6.63</w:t>
            </w:r>
          </w:p>
        </w:tc>
      </w:tr>
      <w:tr w14:paraId="5E19E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1FEB92">
            <w:pPr>
              <w:rPr>
                <w:rFonts w:ascii="宋体" w:hAnsi="宋体" w:eastAsia="宋体" w:cs="宋体"/>
                <w:sz w:val="24"/>
                <w:szCs w:val="24"/>
                <w:highlight w:val="none"/>
              </w:rPr>
            </w:pPr>
            <w:r>
              <w:rPr>
                <w:rFonts w:hint="eastAsia" w:ascii="宋体" w:hAnsi="宋体" w:eastAsia="宋体"/>
                <w:highlight w:val="none"/>
              </w:rPr>
              <w:t>房地产</w:t>
            </w:r>
          </w:p>
        </w:tc>
        <w:tc>
          <w:tcPr>
            <w:tcW w:w="0" w:type="auto"/>
            <w:shd w:val="clear" w:color="auto" w:fill="auto"/>
          </w:tcPr>
          <w:p w14:paraId="546A8E5B">
            <w:pPr>
              <w:jc w:val="right"/>
              <w:rPr>
                <w:rFonts w:ascii="宋体" w:hAnsi="宋体" w:eastAsia="宋体" w:cs="宋体"/>
                <w:sz w:val="24"/>
                <w:szCs w:val="24"/>
                <w:highlight w:val="none"/>
              </w:rPr>
            </w:pPr>
            <w:r>
              <w:rPr>
                <w:rFonts w:hint="eastAsia" w:ascii="宋体" w:hAnsi="宋体" w:eastAsia="宋体"/>
                <w:highlight w:val="none"/>
              </w:rPr>
              <w:t>720,318,088.96</w:t>
            </w:r>
          </w:p>
        </w:tc>
        <w:tc>
          <w:tcPr>
            <w:tcW w:w="0" w:type="auto"/>
            <w:shd w:val="clear" w:color="auto" w:fill="auto"/>
          </w:tcPr>
          <w:p w14:paraId="1A7C45DC">
            <w:pPr>
              <w:jc w:val="right"/>
              <w:rPr>
                <w:rFonts w:ascii="宋体" w:hAnsi="宋体" w:eastAsia="宋体" w:cs="宋体"/>
                <w:sz w:val="24"/>
                <w:szCs w:val="24"/>
                <w:highlight w:val="none"/>
              </w:rPr>
            </w:pPr>
            <w:r>
              <w:rPr>
                <w:rFonts w:hint="eastAsia" w:ascii="宋体" w:hAnsi="宋体" w:eastAsia="宋体"/>
                <w:highlight w:val="none"/>
              </w:rPr>
              <w:t>17.36</w:t>
            </w:r>
          </w:p>
        </w:tc>
      </w:tr>
      <w:tr w14:paraId="6D624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C845710">
            <w:pPr>
              <w:rPr>
                <w:rFonts w:ascii="宋体" w:hAnsi="宋体" w:eastAsia="宋体" w:cs="宋体"/>
                <w:sz w:val="24"/>
                <w:szCs w:val="24"/>
                <w:highlight w:val="none"/>
              </w:rPr>
            </w:pPr>
            <w:r>
              <w:rPr>
                <w:rFonts w:hint="eastAsia" w:ascii="宋体" w:hAnsi="宋体" w:eastAsia="宋体"/>
                <w:highlight w:val="none"/>
              </w:rPr>
              <w:t>非日常生活消费品</w:t>
            </w:r>
          </w:p>
        </w:tc>
        <w:tc>
          <w:tcPr>
            <w:tcW w:w="0" w:type="auto"/>
            <w:shd w:val="clear" w:color="auto" w:fill="auto"/>
          </w:tcPr>
          <w:p w14:paraId="5A5B1ED6">
            <w:pPr>
              <w:jc w:val="right"/>
              <w:rPr>
                <w:rFonts w:ascii="宋体" w:hAnsi="宋体" w:eastAsia="宋体" w:cs="宋体"/>
                <w:sz w:val="24"/>
                <w:szCs w:val="24"/>
                <w:highlight w:val="none"/>
              </w:rPr>
            </w:pPr>
            <w:r>
              <w:rPr>
                <w:rFonts w:hint="eastAsia" w:ascii="宋体" w:hAnsi="宋体" w:eastAsia="宋体"/>
                <w:highlight w:val="none"/>
              </w:rPr>
              <w:t>98,321,925.73</w:t>
            </w:r>
          </w:p>
        </w:tc>
        <w:tc>
          <w:tcPr>
            <w:tcW w:w="0" w:type="auto"/>
            <w:shd w:val="clear" w:color="auto" w:fill="auto"/>
          </w:tcPr>
          <w:p w14:paraId="2165604B">
            <w:pPr>
              <w:jc w:val="right"/>
              <w:rPr>
                <w:rFonts w:ascii="宋体" w:hAnsi="宋体" w:eastAsia="宋体" w:cs="宋体"/>
                <w:sz w:val="24"/>
                <w:szCs w:val="24"/>
                <w:highlight w:val="none"/>
              </w:rPr>
            </w:pPr>
            <w:r>
              <w:rPr>
                <w:rFonts w:hint="eastAsia" w:ascii="宋体" w:hAnsi="宋体" w:eastAsia="宋体"/>
                <w:highlight w:val="none"/>
              </w:rPr>
              <w:t>2.37</w:t>
            </w:r>
          </w:p>
        </w:tc>
      </w:tr>
      <w:tr w14:paraId="2723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75C84D1">
            <w:pPr>
              <w:rPr>
                <w:rFonts w:ascii="宋体" w:hAnsi="宋体" w:eastAsia="宋体" w:cs="宋体"/>
                <w:sz w:val="24"/>
                <w:szCs w:val="24"/>
                <w:highlight w:val="none"/>
              </w:rPr>
            </w:pPr>
            <w:r>
              <w:rPr>
                <w:rFonts w:hint="eastAsia" w:ascii="宋体" w:hAnsi="宋体" w:eastAsia="宋体"/>
                <w:highlight w:val="none"/>
              </w:rPr>
              <w:t>工业</w:t>
            </w:r>
          </w:p>
        </w:tc>
        <w:tc>
          <w:tcPr>
            <w:tcW w:w="0" w:type="auto"/>
            <w:shd w:val="clear" w:color="auto" w:fill="auto"/>
          </w:tcPr>
          <w:p w14:paraId="089A5B6E">
            <w:pPr>
              <w:jc w:val="right"/>
              <w:rPr>
                <w:rFonts w:ascii="宋体" w:hAnsi="宋体" w:eastAsia="宋体" w:cs="宋体"/>
                <w:sz w:val="24"/>
                <w:szCs w:val="24"/>
                <w:highlight w:val="none"/>
              </w:rPr>
            </w:pPr>
            <w:r>
              <w:rPr>
                <w:rFonts w:hint="eastAsia" w:ascii="宋体" w:hAnsi="宋体" w:eastAsia="宋体"/>
                <w:highlight w:val="none"/>
              </w:rPr>
              <w:t>690,354,549.08</w:t>
            </w:r>
          </w:p>
        </w:tc>
        <w:tc>
          <w:tcPr>
            <w:tcW w:w="0" w:type="auto"/>
            <w:shd w:val="clear" w:color="auto" w:fill="auto"/>
          </w:tcPr>
          <w:p w14:paraId="20E470A6">
            <w:pPr>
              <w:jc w:val="right"/>
              <w:rPr>
                <w:rFonts w:ascii="宋体" w:hAnsi="宋体" w:eastAsia="宋体" w:cs="宋体"/>
                <w:sz w:val="24"/>
                <w:szCs w:val="24"/>
                <w:highlight w:val="none"/>
              </w:rPr>
            </w:pPr>
            <w:r>
              <w:rPr>
                <w:rFonts w:hint="eastAsia" w:ascii="宋体" w:hAnsi="宋体" w:eastAsia="宋体"/>
                <w:highlight w:val="none"/>
              </w:rPr>
              <w:t>16.64</w:t>
            </w:r>
          </w:p>
        </w:tc>
      </w:tr>
      <w:tr w14:paraId="40D72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4DA115">
            <w:pPr>
              <w:rPr>
                <w:rFonts w:ascii="宋体" w:hAnsi="宋体" w:eastAsia="宋体" w:cs="宋体"/>
                <w:sz w:val="24"/>
                <w:szCs w:val="24"/>
                <w:highlight w:val="none"/>
              </w:rPr>
            </w:pPr>
            <w:r>
              <w:rPr>
                <w:rFonts w:hint="eastAsia" w:ascii="宋体" w:hAnsi="宋体" w:eastAsia="宋体"/>
                <w:highlight w:val="none"/>
              </w:rPr>
              <w:t>公用事业</w:t>
            </w:r>
          </w:p>
        </w:tc>
        <w:tc>
          <w:tcPr>
            <w:tcW w:w="0" w:type="auto"/>
            <w:shd w:val="clear" w:color="auto" w:fill="auto"/>
          </w:tcPr>
          <w:p w14:paraId="21E68869">
            <w:pPr>
              <w:jc w:val="right"/>
              <w:rPr>
                <w:rFonts w:ascii="宋体" w:hAnsi="宋体" w:eastAsia="宋体" w:cs="宋体"/>
                <w:sz w:val="24"/>
                <w:szCs w:val="24"/>
                <w:highlight w:val="none"/>
              </w:rPr>
            </w:pPr>
            <w:r>
              <w:rPr>
                <w:rFonts w:hint="eastAsia" w:ascii="宋体" w:hAnsi="宋体" w:eastAsia="宋体"/>
                <w:highlight w:val="none"/>
              </w:rPr>
              <w:t>412,443,957.73</w:t>
            </w:r>
          </w:p>
        </w:tc>
        <w:tc>
          <w:tcPr>
            <w:tcW w:w="0" w:type="auto"/>
            <w:shd w:val="clear" w:color="auto" w:fill="auto"/>
          </w:tcPr>
          <w:p w14:paraId="237CAF48">
            <w:pPr>
              <w:jc w:val="right"/>
              <w:rPr>
                <w:rFonts w:ascii="宋体" w:hAnsi="宋体" w:eastAsia="宋体" w:cs="宋体"/>
                <w:sz w:val="24"/>
                <w:szCs w:val="24"/>
                <w:highlight w:val="none"/>
              </w:rPr>
            </w:pPr>
            <w:r>
              <w:rPr>
                <w:rFonts w:hint="eastAsia" w:ascii="宋体" w:hAnsi="宋体" w:eastAsia="宋体"/>
                <w:highlight w:val="none"/>
              </w:rPr>
              <w:t>9.94</w:t>
            </w:r>
          </w:p>
        </w:tc>
      </w:tr>
      <w:tr w14:paraId="15EEE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0F3395">
            <w:pPr>
              <w:rPr>
                <w:rFonts w:ascii="宋体" w:hAnsi="宋体" w:eastAsia="宋体" w:cs="宋体"/>
                <w:sz w:val="24"/>
                <w:szCs w:val="24"/>
                <w:highlight w:val="none"/>
              </w:rPr>
            </w:pPr>
            <w:r>
              <w:rPr>
                <w:rFonts w:hint="eastAsia" w:ascii="宋体" w:hAnsi="宋体" w:eastAsia="宋体"/>
                <w:highlight w:val="none"/>
              </w:rPr>
              <w:t>金融</w:t>
            </w:r>
          </w:p>
        </w:tc>
        <w:tc>
          <w:tcPr>
            <w:tcW w:w="0" w:type="auto"/>
            <w:shd w:val="clear" w:color="auto" w:fill="auto"/>
          </w:tcPr>
          <w:p w14:paraId="0D73DBDD">
            <w:pPr>
              <w:jc w:val="right"/>
              <w:rPr>
                <w:rFonts w:ascii="宋体" w:hAnsi="宋体" w:eastAsia="宋体" w:cs="宋体"/>
                <w:sz w:val="24"/>
                <w:szCs w:val="24"/>
                <w:highlight w:val="none"/>
              </w:rPr>
            </w:pPr>
            <w:r>
              <w:rPr>
                <w:rFonts w:hint="eastAsia" w:ascii="宋体" w:hAnsi="宋体" w:eastAsia="宋体"/>
                <w:highlight w:val="none"/>
              </w:rPr>
              <w:t>875,076,400.65</w:t>
            </w:r>
          </w:p>
        </w:tc>
        <w:tc>
          <w:tcPr>
            <w:tcW w:w="0" w:type="auto"/>
            <w:shd w:val="clear" w:color="auto" w:fill="auto"/>
          </w:tcPr>
          <w:p w14:paraId="0B56A3F6">
            <w:pPr>
              <w:jc w:val="right"/>
              <w:rPr>
                <w:rFonts w:ascii="宋体" w:hAnsi="宋体" w:eastAsia="宋体" w:cs="宋体"/>
                <w:sz w:val="24"/>
                <w:szCs w:val="24"/>
                <w:highlight w:val="none"/>
              </w:rPr>
            </w:pPr>
            <w:r>
              <w:rPr>
                <w:rFonts w:hint="eastAsia" w:ascii="宋体" w:hAnsi="宋体" w:eastAsia="宋体"/>
                <w:highlight w:val="none"/>
              </w:rPr>
              <w:t>21.09</w:t>
            </w:r>
          </w:p>
        </w:tc>
      </w:tr>
      <w:tr w14:paraId="036E7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4B87AE6">
            <w:pPr>
              <w:rPr>
                <w:rFonts w:ascii="宋体" w:hAnsi="宋体" w:eastAsia="宋体" w:cs="宋体"/>
                <w:sz w:val="24"/>
                <w:szCs w:val="24"/>
                <w:highlight w:val="none"/>
              </w:rPr>
            </w:pPr>
            <w:r>
              <w:rPr>
                <w:rFonts w:hint="eastAsia" w:ascii="宋体" w:hAnsi="宋体" w:eastAsia="宋体"/>
                <w:highlight w:val="none"/>
              </w:rPr>
              <w:t>能源</w:t>
            </w:r>
          </w:p>
        </w:tc>
        <w:tc>
          <w:tcPr>
            <w:tcW w:w="0" w:type="auto"/>
            <w:shd w:val="clear" w:color="auto" w:fill="auto"/>
          </w:tcPr>
          <w:p w14:paraId="5B3F733C">
            <w:pPr>
              <w:jc w:val="right"/>
              <w:rPr>
                <w:rFonts w:ascii="宋体" w:hAnsi="宋体" w:eastAsia="宋体" w:cs="宋体"/>
                <w:sz w:val="24"/>
                <w:szCs w:val="24"/>
                <w:highlight w:val="none"/>
              </w:rPr>
            </w:pPr>
            <w:r>
              <w:rPr>
                <w:rFonts w:hint="eastAsia" w:ascii="宋体" w:hAnsi="宋体" w:eastAsia="宋体"/>
                <w:highlight w:val="none"/>
              </w:rPr>
              <w:t>696,672,953.59</w:t>
            </w:r>
          </w:p>
        </w:tc>
        <w:tc>
          <w:tcPr>
            <w:tcW w:w="0" w:type="auto"/>
            <w:shd w:val="clear" w:color="auto" w:fill="auto"/>
          </w:tcPr>
          <w:p w14:paraId="216988BB">
            <w:pPr>
              <w:jc w:val="right"/>
              <w:rPr>
                <w:rFonts w:ascii="宋体" w:hAnsi="宋体" w:eastAsia="宋体" w:cs="宋体"/>
                <w:sz w:val="24"/>
                <w:szCs w:val="24"/>
                <w:highlight w:val="none"/>
              </w:rPr>
            </w:pPr>
            <w:r>
              <w:rPr>
                <w:rFonts w:hint="eastAsia" w:ascii="宋体" w:hAnsi="宋体" w:eastAsia="宋体"/>
                <w:highlight w:val="none"/>
              </w:rPr>
              <w:t>16.79</w:t>
            </w:r>
          </w:p>
        </w:tc>
      </w:tr>
      <w:tr w14:paraId="7788C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8FC594">
            <w:pPr>
              <w:rPr>
                <w:rFonts w:ascii="宋体" w:hAnsi="宋体" w:eastAsia="宋体" w:cs="宋体"/>
                <w:sz w:val="24"/>
                <w:szCs w:val="24"/>
                <w:highlight w:val="none"/>
              </w:rPr>
            </w:pPr>
            <w:r>
              <w:rPr>
                <w:rFonts w:hint="eastAsia" w:ascii="宋体" w:hAnsi="宋体" w:eastAsia="宋体"/>
                <w:highlight w:val="none"/>
              </w:rPr>
              <w:t>日常消费品</w:t>
            </w:r>
          </w:p>
        </w:tc>
        <w:tc>
          <w:tcPr>
            <w:tcW w:w="0" w:type="auto"/>
            <w:shd w:val="clear" w:color="auto" w:fill="auto"/>
          </w:tcPr>
          <w:p w14:paraId="718E3DDE">
            <w:pPr>
              <w:jc w:val="right"/>
              <w:rPr>
                <w:rFonts w:ascii="宋体" w:hAnsi="宋体" w:eastAsia="宋体" w:cs="宋体"/>
                <w:sz w:val="24"/>
                <w:szCs w:val="24"/>
                <w:highlight w:val="none"/>
              </w:rPr>
            </w:pPr>
            <w:r>
              <w:rPr>
                <w:rFonts w:hint="eastAsia" w:ascii="宋体" w:hAnsi="宋体" w:eastAsia="宋体"/>
                <w:highlight w:val="none"/>
              </w:rPr>
              <w:t>212,742,828.55</w:t>
            </w:r>
          </w:p>
        </w:tc>
        <w:tc>
          <w:tcPr>
            <w:tcW w:w="0" w:type="auto"/>
            <w:shd w:val="clear" w:color="auto" w:fill="auto"/>
          </w:tcPr>
          <w:p w14:paraId="4B65FAD5">
            <w:pPr>
              <w:jc w:val="right"/>
              <w:rPr>
                <w:rFonts w:ascii="宋体" w:hAnsi="宋体" w:eastAsia="宋体" w:cs="宋体"/>
                <w:sz w:val="24"/>
                <w:szCs w:val="24"/>
                <w:highlight w:val="none"/>
              </w:rPr>
            </w:pPr>
            <w:r>
              <w:rPr>
                <w:rFonts w:hint="eastAsia" w:ascii="宋体" w:hAnsi="宋体" w:eastAsia="宋体"/>
                <w:highlight w:val="none"/>
              </w:rPr>
              <w:t>5.13</w:t>
            </w:r>
          </w:p>
        </w:tc>
      </w:tr>
      <w:tr w14:paraId="15474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140B36">
            <w:pPr>
              <w:rPr>
                <w:rFonts w:ascii="宋体" w:hAnsi="宋体" w:eastAsia="宋体" w:cs="宋体"/>
                <w:sz w:val="24"/>
                <w:szCs w:val="24"/>
                <w:highlight w:val="none"/>
              </w:rPr>
            </w:pPr>
            <w:r>
              <w:rPr>
                <w:rFonts w:hint="eastAsia" w:ascii="宋体" w:hAnsi="宋体" w:eastAsia="宋体"/>
                <w:highlight w:val="none"/>
              </w:rPr>
              <w:t>原材料</w:t>
            </w:r>
          </w:p>
        </w:tc>
        <w:tc>
          <w:tcPr>
            <w:tcW w:w="0" w:type="auto"/>
            <w:shd w:val="clear" w:color="auto" w:fill="auto"/>
          </w:tcPr>
          <w:p w14:paraId="621B65F2">
            <w:pPr>
              <w:jc w:val="right"/>
              <w:rPr>
                <w:rFonts w:ascii="宋体" w:hAnsi="宋体" w:eastAsia="宋体" w:cs="宋体"/>
                <w:sz w:val="24"/>
                <w:szCs w:val="24"/>
                <w:highlight w:val="none"/>
              </w:rPr>
            </w:pPr>
            <w:r>
              <w:rPr>
                <w:rFonts w:hint="eastAsia" w:ascii="宋体" w:hAnsi="宋体" w:eastAsia="宋体"/>
                <w:highlight w:val="none"/>
              </w:rPr>
              <w:t>103,349,414.88</w:t>
            </w:r>
          </w:p>
        </w:tc>
        <w:tc>
          <w:tcPr>
            <w:tcW w:w="0" w:type="auto"/>
            <w:shd w:val="clear" w:color="auto" w:fill="auto"/>
          </w:tcPr>
          <w:p w14:paraId="2396D0C1">
            <w:pPr>
              <w:jc w:val="right"/>
              <w:rPr>
                <w:rFonts w:ascii="宋体" w:hAnsi="宋体" w:eastAsia="宋体" w:cs="宋体"/>
                <w:sz w:val="24"/>
                <w:szCs w:val="24"/>
                <w:highlight w:val="none"/>
              </w:rPr>
            </w:pPr>
            <w:r>
              <w:rPr>
                <w:rFonts w:hint="eastAsia" w:ascii="宋体" w:hAnsi="宋体" w:eastAsia="宋体"/>
                <w:highlight w:val="none"/>
              </w:rPr>
              <w:t>2.49</w:t>
            </w:r>
          </w:p>
        </w:tc>
      </w:tr>
      <w:tr w14:paraId="21928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253AA5">
            <w:pPr>
              <w:rPr>
                <w:rFonts w:ascii="宋体" w:hAnsi="宋体" w:eastAsia="宋体" w:cs="宋体"/>
                <w:sz w:val="24"/>
                <w:szCs w:val="24"/>
                <w:highlight w:val="none"/>
              </w:rPr>
            </w:pPr>
            <w:r>
              <w:rPr>
                <w:rFonts w:hint="eastAsia" w:ascii="宋体" w:hAnsi="宋体" w:eastAsia="宋体"/>
                <w:highlight w:val="none"/>
              </w:rPr>
              <w:t>合计</w:t>
            </w:r>
          </w:p>
        </w:tc>
        <w:tc>
          <w:tcPr>
            <w:tcW w:w="0" w:type="auto"/>
            <w:shd w:val="clear" w:color="auto" w:fill="auto"/>
          </w:tcPr>
          <w:p w14:paraId="238759C4">
            <w:pPr>
              <w:jc w:val="right"/>
              <w:rPr>
                <w:rFonts w:ascii="宋体" w:hAnsi="宋体" w:eastAsia="宋体" w:cs="宋体"/>
                <w:sz w:val="24"/>
                <w:szCs w:val="24"/>
                <w:highlight w:val="none"/>
              </w:rPr>
            </w:pPr>
            <w:r>
              <w:rPr>
                <w:rFonts w:hint="eastAsia" w:ascii="宋体" w:hAnsi="宋体" w:eastAsia="宋体"/>
                <w:highlight w:val="none"/>
              </w:rPr>
              <w:t>4,084,437,548.96</w:t>
            </w:r>
          </w:p>
        </w:tc>
        <w:tc>
          <w:tcPr>
            <w:tcW w:w="0" w:type="auto"/>
            <w:shd w:val="clear" w:color="auto" w:fill="auto"/>
          </w:tcPr>
          <w:p w14:paraId="72475550">
            <w:pPr>
              <w:jc w:val="right"/>
              <w:rPr>
                <w:rFonts w:ascii="宋体" w:hAnsi="宋体" w:eastAsia="宋体" w:cs="宋体"/>
                <w:sz w:val="24"/>
                <w:szCs w:val="24"/>
                <w:highlight w:val="none"/>
              </w:rPr>
            </w:pPr>
            <w:r>
              <w:rPr>
                <w:rFonts w:hint="eastAsia" w:ascii="宋体" w:hAnsi="宋体" w:eastAsia="宋体"/>
                <w:highlight w:val="none"/>
              </w:rPr>
              <w:t>98.42</w:t>
            </w:r>
          </w:p>
        </w:tc>
      </w:tr>
    </w:tbl>
    <w:p w14:paraId="5B3664DD">
      <w:pPr>
        <w:pStyle w:val="8"/>
        <w:spacing w:before="0" w:beforeAutospacing="0" w:after="0" w:afterAutospacing="0" w:line="360" w:lineRule="auto"/>
        <w:ind w:firstLine="420"/>
        <w:rPr>
          <w:sz w:val="21"/>
          <w:szCs w:val="21"/>
          <w:highlight w:val="none"/>
        </w:rPr>
      </w:pPr>
      <w:r>
        <w:rPr>
          <w:rFonts w:hint="eastAsia"/>
          <w:sz w:val="21"/>
          <w:szCs w:val="21"/>
          <w:highlight w:val="none"/>
        </w:rPr>
        <w:t>注：以上分类采用彭博提供的国际通用行业分类标准。</w:t>
      </w:r>
    </w:p>
    <w:p w14:paraId="2B3C2C2C">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3报告期末按公允价值占基金资产净值比例大小排序的前十名股票投资明细</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1041"/>
        <w:gridCol w:w="1438"/>
        <w:gridCol w:w="1266"/>
        <w:gridCol w:w="1686"/>
        <w:gridCol w:w="2457"/>
      </w:tblGrid>
      <w:tr w14:paraId="444C4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F5D507">
            <w:pPr>
              <w:jc w:val="center"/>
              <w:rPr>
                <w:rFonts w:ascii="宋体" w:hAnsi="宋体" w:eastAsia="宋体" w:cs="宋体"/>
                <w:sz w:val="24"/>
                <w:szCs w:val="24"/>
                <w:highlight w:val="none"/>
              </w:rPr>
            </w:pPr>
            <w:r>
              <w:rPr>
                <w:rFonts w:hint="eastAsia" w:ascii="宋体" w:hAnsi="宋体" w:eastAsia="宋体"/>
                <w:highlight w:val="none"/>
              </w:rPr>
              <w:t>序号</w:t>
            </w:r>
          </w:p>
        </w:tc>
        <w:tc>
          <w:tcPr>
            <w:tcW w:w="0" w:type="auto"/>
            <w:shd w:val="clear" w:color="auto" w:fill="auto"/>
          </w:tcPr>
          <w:p w14:paraId="60DB4D90">
            <w:pPr>
              <w:jc w:val="center"/>
              <w:rPr>
                <w:rFonts w:ascii="宋体" w:hAnsi="宋体" w:eastAsia="宋体" w:cs="宋体"/>
                <w:sz w:val="24"/>
                <w:szCs w:val="24"/>
                <w:highlight w:val="none"/>
              </w:rPr>
            </w:pPr>
            <w:r>
              <w:rPr>
                <w:rFonts w:hint="eastAsia" w:ascii="宋体" w:hAnsi="宋体" w:eastAsia="宋体"/>
                <w:highlight w:val="none"/>
              </w:rPr>
              <w:t>股票代码</w:t>
            </w:r>
          </w:p>
        </w:tc>
        <w:tc>
          <w:tcPr>
            <w:tcW w:w="0" w:type="auto"/>
            <w:shd w:val="clear" w:color="auto" w:fill="auto"/>
          </w:tcPr>
          <w:p w14:paraId="405F0E5F">
            <w:pPr>
              <w:jc w:val="center"/>
              <w:rPr>
                <w:rFonts w:ascii="宋体" w:hAnsi="宋体" w:eastAsia="宋体" w:cs="宋体"/>
                <w:sz w:val="24"/>
                <w:szCs w:val="24"/>
                <w:highlight w:val="none"/>
              </w:rPr>
            </w:pPr>
            <w:r>
              <w:rPr>
                <w:rFonts w:hint="eastAsia" w:ascii="宋体" w:hAnsi="宋体" w:eastAsia="宋体"/>
                <w:highlight w:val="none"/>
              </w:rPr>
              <w:t>股票名称</w:t>
            </w:r>
          </w:p>
        </w:tc>
        <w:tc>
          <w:tcPr>
            <w:tcW w:w="0" w:type="auto"/>
            <w:shd w:val="clear" w:color="auto" w:fill="auto"/>
          </w:tcPr>
          <w:p w14:paraId="7657240A">
            <w:pPr>
              <w:jc w:val="center"/>
              <w:rPr>
                <w:rFonts w:ascii="宋体" w:hAnsi="宋体" w:eastAsia="宋体" w:cs="宋体"/>
                <w:sz w:val="24"/>
                <w:szCs w:val="24"/>
                <w:highlight w:val="none"/>
              </w:rPr>
            </w:pPr>
            <w:r>
              <w:rPr>
                <w:rFonts w:hint="eastAsia" w:ascii="宋体" w:hAnsi="宋体" w:eastAsia="宋体"/>
                <w:highlight w:val="none"/>
              </w:rPr>
              <w:t>数量(股)</w:t>
            </w:r>
          </w:p>
        </w:tc>
        <w:tc>
          <w:tcPr>
            <w:tcW w:w="0" w:type="auto"/>
            <w:shd w:val="clear" w:color="auto" w:fill="auto"/>
          </w:tcPr>
          <w:p w14:paraId="5B76BE9A">
            <w:pPr>
              <w:jc w:val="center"/>
              <w:rPr>
                <w:rFonts w:ascii="宋体" w:hAnsi="宋体" w:eastAsia="宋体" w:cs="宋体"/>
                <w:sz w:val="24"/>
                <w:szCs w:val="24"/>
                <w:highlight w:val="none"/>
              </w:rPr>
            </w:pPr>
            <w:r>
              <w:rPr>
                <w:rFonts w:hint="eastAsia" w:ascii="宋体" w:hAnsi="宋体" w:eastAsia="宋体"/>
                <w:highlight w:val="none"/>
              </w:rPr>
              <w:t>公允价值(元)</w:t>
            </w:r>
          </w:p>
        </w:tc>
        <w:tc>
          <w:tcPr>
            <w:tcW w:w="0" w:type="auto"/>
            <w:shd w:val="clear" w:color="auto" w:fill="auto"/>
          </w:tcPr>
          <w:p w14:paraId="560C2241">
            <w:pPr>
              <w:jc w:val="center"/>
              <w:rPr>
                <w:rFonts w:ascii="宋体" w:hAnsi="宋体" w:eastAsia="宋体" w:cs="宋体"/>
                <w:sz w:val="24"/>
                <w:szCs w:val="24"/>
                <w:highlight w:val="none"/>
              </w:rPr>
            </w:pPr>
            <w:r>
              <w:rPr>
                <w:rFonts w:hint="eastAsia" w:ascii="宋体" w:hAnsi="宋体" w:eastAsia="宋体"/>
                <w:highlight w:val="none"/>
              </w:rPr>
              <w:t>占基金资产净值比例(％)</w:t>
            </w:r>
          </w:p>
        </w:tc>
      </w:tr>
      <w:tr w14:paraId="4AE3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8A0CA2">
            <w:pPr>
              <w:jc w:val="center"/>
              <w:rPr>
                <w:rFonts w:ascii="宋体" w:hAnsi="宋体" w:eastAsia="宋体" w:cs="宋体"/>
                <w:sz w:val="24"/>
                <w:szCs w:val="24"/>
                <w:highlight w:val="none"/>
              </w:rPr>
            </w:pPr>
            <w:r>
              <w:rPr>
                <w:rFonts w:hint="eastAsia" w:ascii="宋体" w:hAnsi="宋体" w:eastAsia="宋体"/>
                <w:highlight w:val="none"/>
              </w:rPr>
              <w:t>1</w:t>
            </w:r>
          </w:p>
        </w:tc>
        <w:tc>
          <w:tcPr>
            <w:tcW w:w="0" w:type="auto"/>
            <w:shd w:val="clear" w:color="auto" w:fill="auto"/>
          </w:tcPr>
          <w:p w14:paraId="3CCC64DD">
            <w:pPr>
              <w:jc w:val="center"/>
              <w:rPr>
                <w:rFonts w:ascii="宋体" w:hAnsi="宋体" w:eastAsia="宋体" w:cs="宋体"/>
                <w:sz w:val="24"/>
                <w:szCs w:val="24"/>
                <w:highlight w:val="none"/>
              </w:rPr>
            </w:pPr>
            <w:r>
              <w:rPr>
                <w:rFonts w:hint="eastAsia" w:ascii="宋体" w:hAnsi="宋体" w:eastAsia="宋体"/>
                <w:highlight w:val="none"/>
              </w:rPr>
              <w:t>1171</w:t>
            </w:r>
          </w:p>
        </w:tc>
        <w:tc>
          <w:tcPr>
            <w:tcW w:w="0" w:type="auto"/>
            <w:shd w:val="clear" w:color="auto" w:fill="auto"/>
          </w:tcPr>
          <w:p w14:paraId="4D51733F">
            <w:pPr>
              <w:jc w:val="center"/>
              <w:rPr>
                <w:rFonts w:ascii="宋体" w:hAnsi="宋体" w:eastAsia="宋体" w:cs="宋体"/>
                <w:sz w:val="24"/>
                <w:szCs w:val="24"/>
                <w:highlight w:val="none"/>
              </w:rPr>
            </w:pPr>
            <w:r>
              <w:rPr>
                <w:rFonts w:hint="eastAsia" w:ascii="宋体" w:hAnsi="宋体" w:eastAsia="宋体"/>
                <w:highlight w:val="none"/>
              </w:rPr>
              <w:t>兖矿能源</w:t>
            </w:r>
          </w:p>
        </w:tc>
        <w:tc>
          <w:tcPr>
            <w:tcW w:w="0" w:type="auto"/>
            <w:shd w:val="clear" w:color="auto" w:fill="auto"/>
          </w:tcPr>
          <w:p w14:paraId="270803A2">
            <w:pPr>
              <w:jc w:val="right"/>
              <w:rPr>
                <w:rFonts w:ascii="宋体" w:hAnsi="宋体" w:eastAsia="宋体" w:cs="宋体"/>
                <w:sz w:val="24"/>
                <w:szCs w:val="24"/>
                <w:highlight w:val="none"/>
              </w:rPr>
            </w:pPr>
            <w:r>
              <w:rPr>
                <w:rFonts w:hint="eastAsia" w:ascii="宋体" w:hAnsi="宋体" w:eastAsia="宋体"/>
                <w:highlight w:val="none"/>
              </w:rPr>
              <w:t>22,709,500</w:t>
            </w:r>
          </w:p>
        </w:tc>
        <w:tc>
          <w:tcPr>
            <w:tcW w:w="0" w:type="auto"/>
            <w:shd w:val="clear" w:color="auto" w:fill="auto"/>
          </w:tcPr>
          <w:p w14:paraId="41E34208">
            <w:pPr>
              <w:jc w:val="right"/>
              <w:rPr>
                <w:rFonts w:ascii="宋体" w:hAnsi="宋体" w:eastAsia="宋体" w:cs="宋体"/>
                <w:sz w:val="24"/>
                <w:szCs w:val="24"/>
                <w:highlight w:val="none"/>
              </w:rPr>
            </w:pPr>
            <w:r>
              <w:rPr>
                <w:rFonts w:hint="eastAsia" w:ascii="宋体" w:hAnsi="宋体" w:eastAsia="宋体"/>
                <w:highlight w:val="none"/>
              </w:rPr>
              <w:t>161,744,541.78</w:t>
            </w:r>
          </w:p>
        </w:tc>
        <w:tc>
          <w:tcPr>
            <w:tcW w:w="0" w:type="auto"/>
            <w:shd w:val="clear" w:color="auto" w:fill="auto"/>
          </w:tcPr>
          <w:p w14:paraId="276DBA62">
            <w:pPr>
              <w:jc w:val="right"/>
              <w:rPr>
                <w:rFonts w:ascii="宋体" w:hAnsi="宋体" w:eastAsia="宋体" w:cs="宋体"/>
                <w:sz w:val="24"/>
                <w:szCs w:val="24"/>
                <w:highlight w:val="none"/>
              </w:rPr>
            </w:pPr>
            <w:r>
              <w:rPr>
                <w:rFonts w:hint="eastAsia" w:ascii="宋体" w:hAnsi="宋体" w:eastAsia="宋体"/>
                <w:highlight w:val="none"/>
              </w:rPr>
              <w:t>3.90</w:t>
            </w:r>
          </w:p>
        </w:tc>
      </w:tr>
      <w:tr w14:paraId="7918A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0675C4">
            <w:pPr>
              <w:jc w:val="center"/>
              <w:rPr>
                <w:rFonts w:ascii="宋体" w:hAnsi="宋体" w:eastAsia="宋体" w:cs="宋体"/>
                <w:sz w:val="24"/>
                <w:szCs w:val="24"/>
                <w:highlight w:val="none"/>
              </w:rPr>
            </w:pPr>
            <w:r>
              <w:rPr>
                <w:rFonts w:hint="eastAsia" w:ascii="宋体" w:hAnsi="宋体" w:eastAsia="宋体"/>
                <w:highlight w:val="none"/>
              </w:rPr>
              <w:t>2</w:t>
            </w:r>
          </w:p>
        </w:tc>
        <w:tc>
          <w:tcPr>
            <w:tcW w:w="0" w:type="auto"/>
            <w:shd w:val="clear" w:color="auto" w:fill="auto"/>
          </w:tcPr>
          <w:p w14:paraId="5A379FFB">
            <w:pPr>
              <w:jc w:val="center"/>
              <w:rPr>
                <w:rFonts w:ascii="宋体" w:hAnsi="宋体" w:eastAsia="宋体" w:cs="宋体"/>
                <w:sz w:val="24"/>
                <w:szCs w:val="24"/>
                <w:highlight w:val="none"/>
              </w:rPr>
            </w:pPr>
            <w:r>
              <w:rPr>
                <w:rFonts w:hint="eastAsia" w:ascii="宋体" w:hAnsi="宋体" w:eastAsia="宋体"/>
                <w:highlight w:val="none"/>
              </w:rPr>
              <w:t>0101</w:t>
            </w:r>
          </w:p>
        </w:tc>
        <w:tc>
          <w:tcPr>
            <w:tcW w:w="0" w:type="auto"/>
            <w:shd w:val="clear" w:color="auto" w:fill="auto"/>
          </w:tcPr>
          <w:p w14:paraId="286564AD">
            <w:pPr>
              <w:jc w:val="center"/>
              <w:rPr>
                <w:rFonts w:ascii="宋体" w:hAnsi="宋体" w:eastAsia="宋体" w:cs="宋体"/>
                <w:sz w:val="24"/>
                <w:szCs w:val="24"/>
                <w:highlight w:val="none"/>
              </w:rPr>
            </w:pPr>
            <w:r>
              <w:rPr>
                <w:rFonts w:hint="eastAsia" w:ascii="宋体" w:hAnsi="宋体" w:eastAsia="宋体"/>
                <w:highlight w:val="none"/>
              </w:rPr>
              <w:t>恒隆地产</w:t>
            </w:r>
          </w:p>
        </w:tc>
        <w:tc>
          <w:tcPr>
            <w:tcW w:w="0" w:type="auto"/>
            <w:shd w:val="clear" w:color="auto" w:fill="auto"/>
          </w:tcPr>
          <w:p w14:paraId="55D66193">
            <w:pPr>
              <w:jc w:val="right"/>
              <w:rPr>
                <w:rFonts w:ascii="宋体" w:hAnsi="宋体" w:eastAsia="宋体" w:cs="宋体"/>
                <w:sz w:val="24"/>
                <w:szCs w:val="24"/>
                <w:highlight w:val="none"/>
              </w:rPr>
            </w:pPr>
            <w:r>
              <w:rPr>
                <w:rFonts w:hint="eastAsia" w:ascii="宋体" w:hAnsi="宋体" w:eastAsia="宋体"/>
                <w:highlight w:val="none"/>
              </w:rPr>
              <w:t>21,271,000</w:t>
            </w:r>
          </w:p>
        </w:tc>
        <w:tc>
          <w:tcPr>
            <w:tcW w:w="0" w:type="auto"/>
            <w:shd w:val="clear" w:color="auto" w:fill="auto"/>
          </w:tcPr>
          <w:p w14:paraId="7B836008">
            <w:pPr>
              <w:jc w:val="right"/>
              <w:rPr>
                <w:rFonts w:ascii="宋体" w:hAnsi="宋体" w:eastAsia="宋体" w:cs="宋体"/>
                <w:sz w:val="24"/>
                <w:szCs w:val="24"/>
                <w:highlight w:val="none"/>
              </w:rPr>
            </w:pPr>
            <w:r>
              <w:rPr>
                <w:rFonts w:hint="eastAsia" w:ascii="宋体" w:hAnsi="宋体" w:eastAsia="宋体"/>
                <w:highlight w:val="none"/>
              </w:rPr>
              <w:t>145,291,682.49</w:t>
            </w:r>
          </w:p>
        </w:tc>
        <w:tc>
          <w:tcPr>
            <w:tcW w:w="0" w:type="auto"/>
            <w:shd w:val="clear" w:color="auto" w:fill="auto"/>
          </w:tcPr>
          <w:p w14:paraId="364D0C18">
            <w:pPr>
              <w:jc w:val="right"/>
              <w:rPr>
                <w:rFonts w:ascii="宋体" w:hAnsi="宋体" w:eastAsia="宋体" w:cs="宋体"/>
                <w:sz w:val="24"/>
                <w:szCs w:val="24"/>
                <w:highlight w:val="none"/>
              </w:rPr>
            </w:pPr>
            <w:r>
              <w:rPr>
                <w:rFonts w:hint="eastAsia" w:ascii="宋体" w:hAnsi="宋体" w:eastAsia="宋体"/>
                <w:highlight w:val="none"/>
              </w:rPr>
              <w:t>3.50</w:t>
            </w:r>
          </w:p>
        </w:tc>
      </w:tr>
      <w:tr w14:paraId="768C9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3B9B6B">
            <w:pPr>
              <w:jc w:val="center"/>
              <w:rPr>
                <w:rFonts w:ascii="宋体" w:hAnsi="宋体" w:eastAsia="宋体" w:cs="宋体"/>
                <w:sz w:val="24"/>
                <w:szCs w:val="24"/>
                <w:highlight w:val="none"/>
              </w:rPr>
            </w:pPr>
            <w:r>
              <w:rPr>
                <w:rFonts w:hint="eastAsia" w:ascii="宋体" w:hAnsi="宋体" w:eastAsia="宋体"/>
                <w:highlight w:val="none"/>
              </w:rPr>
              <w:t>3</w:t>
            </w:r>
          </w:p>
        </w:tc>
        <w:tc>
          <w:tcPr>
            <w:tcW w:w="0" w:type="auto"/>
            <w:shd w:val="clear" w:color="auto" w:fill="auto"/>
          </w:tcPr>
          <w:p w14:paraId="4E910F0B">
            <w:pPr>
              <w:jc w:val="center"/>
              <w:rPr>
                <w:rFonts w:ascii="宋体" w:hAnsi="宋体" w:eastAsia="宋体" w:cs="宋体"/>
                <w:sz w:val="24"/>
                <w:szCs w:val="24"/>
                <w:highlight w:val="none"/>
              </w:rPr>
            </w:pPr>
            <w:r>
              <w:rPr>
                <w:rFonts w:hint="eastAsia" w:ascii="宋体" w:hAnsi="宋体" w:eastAsia="宋体"/>
                <w:highlight w:val="none"/>
              </w:rPr>
              <w:t>0012</w:t>
            </w:r>
          </w:p>
        </w:tc>
        <w:tc>
          <w:tcPr>
            <w:tcW w:w="0" w:type="auto"/>
            <w:shd w:val="clear" w:color="auto" w:fill="auto"/>
          </w:tcPr>
          <w:p w14:paraId="53622083">
            <w:pPr>
              <w:jc w:val="center"/>
              <w:rPr>
                <w:rFonts w:ascii="宋体" w:hAnsi="宋体" w:eastAsia="宋体" w:cs="宋体"/>
                <w:sz w:val="24"/>
                <w:szCs w:val="24"/>
                <w:highlight w:val="none"/>
              </w:rPr>
            </w:pPr>
            <w:r>
              <w:rPr>
                <w:rFonts w:hint="eastAsia" w:ascii="宋体" w:hAnsi="宋体" w:eastAsia="宋体"/>
                <w:highlight w:val="none"/>
              </w:rPr>
              <w:t>恒基地产</w:t>
            </w:r>
          </w:p>
        </w:tc>
        <w:tc>
          <w:tcPr>
            <w:tcW w:w="0" w:type="auto"/>
            <w:shd w:val="clear" w:color="auto" w:fill="auto"/>
          </w:tcPr>
          <w:p w14:paraId="4C9925E9">
            <w:pPr>
              <w:jc w:val="right"/>
              <w:rPr>
                <w:rFonts w:ascii="宋体" w:hAnsi="宋体" w:eastAsia="宋体" w:cs="宋体"/>
                <w:sz w:val="24"/>
                <w:szCs w:val="24"/>
                <w:highlight w:val="none"/>
              </w:rPr>
            </w:pPr>
            <w:r>
              <w:rPr>
                <w:rFonts w:hint="eastAsia" w:ascii="宋体" w:hAnsi="宋体" w:eastAsia="宋体"/>
                <w:highlight w:val="none"/>
              </w:rPr>
              <w:t>4,749,000</w:t>
            </w:r>
          </w:p>
        </w:tc>
        <w:tc>
          <w:tcPr>
            <w:tcW w:w="0" w:type="auto"/>
            <w:shd w:val="clear" w:color="auto" w:fill="auto"/>
          </w:tcPr>
          <w:p w14:paraId="6621CFD8">
            <w:pPr>
              <w:jc w:val="right"/>
              <w:rPr>
                <w:rFonts w:ascii="宋体" w:hAnsi="宋体" w:eastAsia="宋体" w:cs="宋体"/>
                <w:sz w:val="24"/>
                <w:szCs w:val="24"/>
                <w:highlight w:val="none"/>
              </w:rPr>
            </w:pPr>
            <w:r>
              <w:rPr>
                <w:rFonts w:hint="eastAsia" w:ascii="宋体" w:hAnsi="宋体" w:eastAsia="宋体"/>
                <w:highlight w:val="none"/>
              </w:rPr>
              <w:t>118,881,847.60</w:t>
            </w:r>
          </w:p>
        </w:tc>
        <w:tc>
          <w:tcPr>
            <w:tcW w:w="0" w:type="auto"/>
            <w:shd w:val="clear" w:color="auto" w:fill="auto"/>
          </w:tcPr>
          <w:p w14:paraId="2C2540D1">
            <w:pPr>
              <w:jc w:val="right"/>
              <w:rPr>
                <w:rFonts w:ascii="宋体" w:hAnsi="宋体" w:eastAsia="宋体" w:cs="宋体"/>
                <w:sz w:val="24"/>
                <w:szCs w:val="24"/>
                <w:highlight w:val="none"/>
              </w:rPr>
            </w:pPr>
            <w:r>
              <w:rPr>
                <w:rFonts w:hint="eastAsia" w:ascii="宋体" w:hAnsi="宋体" w:eastAsia="宋体"/>
                <w:highlight w:val="none"/>
              </w:rPr>
              <w:t>2.86</w:t>
            </w:r>
          </w:p>
        </w:tc>
      </w:tr>
      <w:tr w14:paraId="0232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310164">
            <w:pPr>
              <w:jc w:val="center"/>
              <w:rPr>
                <w:rFonts w:ascii="宋体" w:hAnsi="宋体" w:eastAsia="宋体" w:cs="宋体"/>
                <w:sz w:val="24"/>
                <w:szCs w:val="24"/>
                <w:highlight w:val="none"/>
              </w:rPr>
            </w:pPr>
            <w:r>
              <w:rPr>
                <w:rFonts w:hint="eastAsia" w:ascii="宋体" w:hAnsi="宋体" w:eastAsia="宋体"/>
                <w:highlight w:val="none"/>
              </w:rPr>
              <w:t>4</w:t>
            </w:r>
          </w:p>
        </w:tc>
        <w:tc>
          <w:tcPr>
            <w:tcW w:w="0" w:type="auto"/>
            <w:shd w:val="clear" w:color="auto" w:fill="auto"/>
          </w:tcPr>
          <w:p w14:paraId="68E01B44">
            <w:pPr>
              <w:jc w:val="center"/>
              <w:rPr>
                <w:rFonts w:ascii="宋体" w:hAnsi="宋体" w:eastAsia="宋体" w:cs="宋体"/>
                <w:sz w:val="24"/>
                <w:szCs w:val="24"/>
                <w:highlight w:val="none"/>
              </w:rPr>
            </w:pPr>
            <w:r>
              <w:rPr>
                <w:rFonts w:hint="eastAsia" w:ascii="宋体" w:hAnsi="宋体" w:eastAsia="宋体"/>
                <w:highlight w:val="none"/>
              </w:rPr>
              <w:t>0008</w:t>
            </w:r>
          </w:p>
        </w:tc>
        <w:tc>
          <w:tcPr>
            <w:tcW w:w="0" w:type="auto"/>
            <w:shd w:val="clear" w:color="auto" w:fill="auto"/>
          </w:tcPr>
          <w:p w14:paraId="56323938">
            <w:pPr>
              <w:jc w:val="center"/>
              <w:rPr>
                <w:rFonts w:ascii="宋体" w:hAnsi="宋体" w:eastAsia="宋体" w:cs="宋体"/>
                <w:sz w:val="24"/>
                <w:szCs w:val="24"/>
                <w:highlight w:val="none"/>
              </w:rPr>
            </w:pPr>
            <w:r>
              <w:rPr>
                <w:rFonts w:hint="eastAsia" w:ascii="宋体" w:hAnsi="宋体" w:eastAsia="宋体"/>
                <w:highlight w:val="none"/>
              </w:rPr>
              <w:t>电讯盈科</w:t>
            </w:r>
          </w:p>
        </w:tc>
        <w:tc>
          <w:tcPr>
            <w:tcW w:w="0" w:type="auto"/>
            <w:shd w:val="clear" w:color="auto" w:fill="auto"/>
          </w:tcPr>
          <w:p w14:paraId="4D85B00B">
            <w:pPr>
              <w:jc w:val="right"/>
              <w:rPr>
                <w:rFonts w:ascii="宋体" w:hAnsi="宋体" w:eastAsia="宋体" w:cs="宋体"/>
                <w:sz w:val="24"/>
                <w:szCs w:val="24"/>
                <w:highlight w:val="none"/>
              </w:rPr>
            </w:pPr>
            <w:r>
              <w:rPr>
                <w:rFonts w:hint="eastAsia" w:ascii="宋体" w:hAnsi="宋体" w:eastAsia="宋体"/>
                <w:highlight w:val="none"/>
              </w:rPr>
              <w:t>22,950,000</w:t>
            </w:r>
          </w:p>
        </w:tc>
        <w:tc>
          <w:tcPr>
            <w:tcW w:w="0" w:type="auto"/>
            <w:shd w:val="clear" w:color="auto" w:fill="auto"/>
          </w:tcPr>
          <w:p w14:paraId="516D2C0E">
            <w:pPr>
              <w:jc w:val="right"/>
              <w:rPr>
                <w:rFonts w:ascii="宋体" w:hAnsi="宋体" w:eastAsia="宋体" w:cs="宋体"/>
                <w:sz w:val="24"/>
                <w:szCs w:val="24"/>
                <w:highlight w:val="none"/>
              </w:rPr>
            </w:pPr>
            <w:r>
              <w:rPr>
                <w:rFonts w:hint="eastAsia" w:ascii="宋体" w:hAnsi="宋体" w:eastAsia="宋体"/>
                <w:highlight w:val="none"/>
              </w:rPr>
              <w:t>111,552,915.83</w:t>
            </w:r>
          </w:p>
        </w:tc>
        <w:tc>
          <w:tcPr>
            <w:tcW w:w="0" w:type="auto"/>
            <w:shd w:val="clear" w:color="auto" w:fill="auto"/>
          </w:tcPr>
          <w:p w14:paraId="16BA6BB5">
            <w:pPr>
              <w:jc w:val="right"/>
              <w:rPr>
                <w:rFonts w:ascii="宋体" w:hAnsi="宋体" w:eastAsia="宋体" w:cs="宋体"/>
                <w:sz w:val="24"/>
                <w:szCs w:val="24"/>
                <w:highlight w:val="none"/>
              </w:rPr>
            </w:pPr>
            <w:r>
              <w:rPr>
                <w:rFonts w:hint="eastAsia" w:ascii="宋体" w:hAnsi="宋体" w:eastAsia="宋体"/>
                <w:highlight w:val="none"/>
              </w:rPr>
              <w:t>2.69</w:t>
            </w:r>
          </w:p>
        </w:tc>
      </w:tr>
      <w:tr w14:paraId="7AE01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741B8D1">
            <w:pPr>
              <w:jc w:val="center"/>
              <w:rPr>
                <w:rFonts w:ascii="宋体" w:hAnsi="宋体" w:eastAsia="宋体" w:cs="宋体"/>
                <w:sz w:val="24"/>
                <w:szCs w:val="24"/>
                <w:highlight w:val="none"/>
              </w:rPr>
            </w:pPr>
            <w:r>
              <w:rPr>
                <w:rFonts w:hint="eastAsia" w:ascii="宋体" w:hAnsi="宋体" w:eastAsia="宋体"/>
                <w:highlight w:val="none"/>
              </w:rPr>
              <w:t>5</w:t>
            </w:r>
          </w:p>
        </w:tc>
        <w:tc>
          <w:tcPr>
            <w:tcW w:w="0" w:type="auto"/>
            <w:shd w:val="clear" w:color="auto" w:fill="auto"/>
          </w:tcPr>
          <w:p w14:paraId="681759FB">
            <w:pPr>
              <w:jc w:val="center"/>
              <w:rPr>
                <w:rFonts w:ascii="宋体" w:hAnsi="宋体" w:eastAsia="宋体" w:cs="宋体"/>
                <w:sz w:val="24"/>
                <w:szCs w:val="24"/>
                <w:highlight w:val="none"/>
              </w:rPr>
            </w:pPr>
            <w:r>
              <w:rPr>
                <w:rFonts w:hint="eastAsia" w:ascii="宋体" w:hAnsi="宋体" w:eastAsia="宋体"/>
                <w:highlight w:val="none"/>
              </w:rPr>
              <w:t>0868</w:t>
            </w:r>
          </w:p>
        </w:tc>
        <w:tc>
          <w:tcPr>
            <w:tcW w:w="0" w:type="auto"/>
            <w:shd w:val="clear" w:color="auto" w:fill="auto"/>
          </w:tcPr>
          <w:p w14:paraId="1A7C5583">
            <w:pPr>
              <w:jc w:val="center"/>
              <w:rPr>
                <w:rFonts w:ascii="宋体" w:hAnsi="宋体" w:eastAsia="宋体" w:cs="宋体"/>
                <w:sz w:val="24"/>
                <w:szCs w:val="24"/>
                <w:highlight w:val="none"/>
              </w:rPr>
            </w:pPr>
            <w:r>
              <w:rPr>
                <w:rFonts w:hint="eastAsia" w:ascii="宋体" w:hAnsi="宋体" w:eastAsia="宋体"/>
                <w:highlight w:val="none"/>
              </w:rPr>
              <w:t>信义玻璃</w:t>
            </w:r>
          </w:p>
        </w:tc>
        <w:tc>
          <w:tcPr>
            <w:tcW w:w="0" w:type="auto"/>
            <w:shd w:val="clear" w:color="auto" w:fill="auto"/>
          </w:tcPr>
          <w:p w14:paraId="73503B6E">
            <w:pPr>
              <w:jc w:val="right"/>
              <w:rPr>
                <w:rFonts w:ascii="宋体" w:hAnsi="宋体" w:eastAsia="宋体" w:cs="宋体"/>
                <w:sz w:val="24"/>
                <w:szCs w:val="24"/>
                <w:highlight w:val="none"/>
              </w:rPr>
            </w:pPr>
            <w:r>
              <w:rPr>
                <w:rFonts w:hint="eastAsia" w:ascii="宋体" w:hAnsi="宋体" w:eastAsia="宋体"/>
                <w:highlight w:val="none"/>
              </w:rPr>
              <w:t>15,525,000</w:t>
            </w:r>
          </w:p>
        </w:tc>
        <w:tc>
          <w:tcPr>
            <w:tcW w:w="0" w:type="auto"/>
            <w:shd w:val="clear" w:color="auto" w:fill="auto"/>
          </w:tcPr>
          <w:p w14:paraId="7DBC1BFA">
            <w:pPr>
              <w:jc w:val="right"/>
              <w:rPr>
                <w:rFonts w:ascii="宋体" w:hAnsi="宋体" w:eastAsia="宋体" w:cs="宋体"/>
                <w:sz w:val="24"/>
                <w:szCs w:val="24"/>
                <w:highlight w:val="none"/>
              </w:rPr>
            </w:pPr>
            <w:r>
              <w:rPr>
                <w:rFonts w:hint="eastAsia" w:ascii="宋体" w:hAnsi="宋体" w:eastAsia="宋体"/>
                <w:highlight w:val="none"/>
              </w:rPr>
              <w:t>106,751,499.08</w:t>
            </w:r>
          </w:p>
        </w:tc>
        <w:tc>
          <w:tcPr>
            <w:tcW w:w="0" w:type="auto"/>
            <w:shd w:val="clear" w:color="auto" w:fill="auto"/>
          </w:tcPr>
          <w:p w14:paraId="226EF110">
            <w:pPr>
              <w:jc w:val="right"/>
              <w:rPr>
                <w:rFonts w:ascii="宋体" w:hAnsi="宋体" w:eastAsia="宋体" w:cs="宋体"/>
                <w:sz w:val="24"/>
                <w:szCs w:val="24"/>
                <w:highlight w:val="none"/>
              </w:rPr>
            </w:pPr>
            <w:r>
              <w:rPr>
                <w:rFonts w:hint="eastAsia" w:ascii="宋体" w:hAnsi="宋体" w:eastAsia="宋体"/>
                <w:highlight w:val="none"/>
              </w:rPr>
              <w:t>2.57</w:t>
            </w:r>
          </w:p>
        </w:tc>
      </w:tr>
      <w:tr w14:paraId="5BB6D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20DDA36">
            <w:pPr>
              <w:jc w:val="center"/>
              <w:rPr>
                <w:rFonts w:ascii="宋体" w:hAnsi="宋体" w:eastAsia="宋体" w:cs="宋体"/>
                <w:sz w:val="24"/>
                <w:szCs w:val="24"/>
                <w:highlight w:val="none"/>
              </w:rPr>
            </w:pPr>
            <w:r>
              <w:rPr>
                <w:rFonts w:hint="eastAsia" w:ascii="宋体" w:hAnsi="宋体" w:eastAsia="宋体"/>
                <w:highlight w:val="none"/>
              </w:rPr>
              <w:t>6</w:t>
            </w:r>
          </w:p>
        </w:tc>
        <w:tc>
          <w:tcPr>
            <w:tcW w:w="0" w:type="auto"/>
            <w:shd w:val="clear" w:color="auto" w:fill="auto"/>
          </w:tcPr>
          <w:p w14:paraId="34D73B5D">
            <w:pPr>
              <w:jc w:val="center"/>
              <w:rPr>
                <w:rFonts w:ascii="宋体" w:hAnsi="宋体" w:eastAsia="宋体" w:cs="宋体"/>
                <w:sz w:val="24"/>
                <w:szCs w:val="24"/>
                <w:highlight w:val="none"/>
              </w:rPr>
            </w:pPr>
            <w:r>
              <w:rPr>
                <w:rFonts w:hint="eastAsia" w:ascii="宋体" w:hAnsi="宋体" w:eastAsia="宋体"/>
                <w:highlight w:val="none"/>
              </w:rPr>
              <w:t>0857</w:t>
            </w:r>
          </w:p>
        </w:tc>
        <w:tc>
          <w:tcPr>
            <w:tcW w:w="0" w:type="auto"/>
            <w:shd w:val="clear" w:color="auto" w:fill="auto"/>
          </w:tcPr>
          <w:p w14:paraId="54738CF5">
            <w:pPr>
              <w:jc w:val="center"/>
              <w:rPr>
                <w:rFonts w:ascii="宋体" w:hAnsi="宋体" w:eastAsia="宋体" w:cs="宋体"/>
                <w:sz w:val="24"/>
                <w:szCs w:val="24"/>
                <w:highlight w:val="none"/>
              </w:rPr>
            </w:pPr>
            <w:r>
              <w:rPr>
                <w:rFonts w:hint="eastAsia" w:ascii="宋体" w:hAnsi="宋体" w:eastAsia="宋体"/>
                <w:highlight w:val="none"/>
              </w:rPr>
              <w:t>中国石油股份</w:t>
            </w:r>
          </w:p>
        </w:tc>
        <w:tc>
          <w:tcPr>
            <w:tcW w:w="0" w:type="auto"/>
            <w:shd w:val="clear" w:color="auto" w:fill="auto"/>
          </w:tcPr>
          <w:p w14:paraId="250C11FF">
            <w:pPr>
              <w:jc w:val="right"/>
              <w:rPr>
                <w:rFonts w:ascii="宋体" w:hAnsi="宋体" w:eastAsia="宋体" w:cs="宋体"/>
                <w:sz w:val="24"/>
                <w:szCs w:val="24"/>
                <w:highlight w:val="none"/>
              </w:rPr>
            </w:pPr>
            <w:r>
              <w:rPr>
                <w:rFonts w:hint="eastAsia" w:ascii="宋体" w:hAnsi="宋体" w:eastAsia="宋体"/>
                <w:highlight w:val="none"/>
              </w:rPr>
              <w:t>16,800,000</w:t>
            </w:r>
          </w:p>
        </w:tc>
        <w:tc>
          <w:tcPr>
            <w:tcW w:w="0" w:type="auto"/>
            <w:shd w:val="clear" w:color="auto" w:fill="auto"/>
          </w:tcPr>
          <w:p w14:paraId="01244E80">
            <w:pPr>
              <w:jc w:val="right"/>
              <w:rPr>
                <w:rFonts w:ascii="宋体" w:hAnsi="宋体" w:eastAsia="宋体" w:cs="宋体"/>
                <w:sz w:val="24"/>
                <w:szCs w:val="24"/>
                <w:highlight w:val="none"/>
              </w:rPr>
            </w:pPr>
            <w:r>
              <w:rPr>
                <w:rFonts w:hint="eastAsia" w:ascii="宋体" w:hAnsi="宋体" w:eastAsia="宋体"/>
                <w:highlight w:val="none"/>
              </w:rPr>
              <w:t>103,415,130.00</w:t>
            </w:r>
          </w:p>
        </w:tc>
        <w:tc>
          <w:tcPr>
            <w:tcW w:w="0" w:type="auto"/>
            <w:shd w:val="clear" w:color="auto" w:fill="auto"/>
          </w:tcPr>
          <w:p w14:paraId="6339B152">
            <w:pPr>
              <w:jc w:val="right"/>
              <w:rPr>
                <w:rFonts w:ascii="宋体" w:hAnsi="宋体" w:eastAsia="宋体" w:cs="宋体"/>
                <w:sz w:val="24"/>
                <w:szCs w:val="24"/>
                <w:highlight w:val="none"/>
              </w:rPr>
            </w:pPr>
            <w:r>
              <w:rPr>
                <w:rFonts w:hint="eastAsia" w:ascii="宋体" w:hAnsi="宋体" w:eastAsia="宋体"/>
                <w:highlight w:val="none"/>
              </w:rPr>
              <w:t>2.49</w:t>
            </w:r>
          </w:p>
        </w:tc>
      </w:tr>
      <w:tr w14:paraId="5092E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1A4F6D">
            <w:pPr>
              <w:jc w:val="center"/>
              <w:rPr>
                <w:rFonts w:ascii="宋体" w:hAnsi="宋体" w:eastAsia="宋体" w:cs="宋体"/>
                <w:sz w:val="24"/>
                <w:szCs w:val="24"/>
                <w:highlight w:val="none"/>
              </w:rPr>
            </w:pPr>
            <w:r>
              <w:rPr>
                <w:rFonts w:hint="eastAsia" w:ascii="宋体" w:hAnsi="宋体" w:eastAsia="宋体"/>
                <w:highlight w:val="none"/>
              </w:rPr>
              <w:t>7</w:t>
            </w:r>
          </w:p>
        </w:tc>
        <w:tc>
          <w:tcPr>
            <w:tcW w:w="0" w:type="auto"/>
            <w:shd w:val="clear" w:color="auto" w:fill="auto"/>
          </w:tcPr>
          <w:p w14:paraId="716E9384">
            <w:pPr>
              <w:jc w:val="center"/>
              <w:rPr>
                <w:rFonts w:ascii="宋体" w:hAnsi="宋体" w:eastAsia="宋体" w:cs="宋体"/>
                <w:sz w:val="24"/>
                <w:szCs w:val="24"/>
                <w:highlight w:val="none"/>
              </w:rPr>
            </w:pPr>
            <w:r>
              <w:rPr>
                <w:rFonts w:hint="eastAsia" w:ascii="宋体" w:hAnsi="宋体" w:eastAsia="宋体"/>
                <w:highlight w:val="none"/>
              </w:rPr>
              <w:t>1378</w:t>
            </w:r>
          </w:p>
        </w:tc>
        <w:tc>
          <w:tcPr>
            <w:tcW w:w="0" w:type="auto"/>
            <w:shd w:val="clear" w:color="auto" w:fill="auto"/>
          </w:tcPr>
          <w:p w14:paraId="38EDD0FD">
            <w:pPr>
              <w:jc w:val="center"/>
              <w:rPr>
                <w:rFonts w:ascii="宋体" w:hAnsi="宋体" w:eastAsia="宋体" w:cs="宋体"/>
                <w:sz w:val="24"/>
                <w:szCs w:val="24"/>
                <w:highlight w:val="none"/>
              </w:rPr>
            </w:pPr>
            <w:r>
              <w:rPr>
                <w:rFonts w:hint="eastAsia" w:ascii="宋体" w:hAnsi="宋体" w:eastAsia="宋体"/>
                <w:highlight w:val="none"/>
              </w:rPr>
              <w:t>中国宏桥</w:t>
            </w:r>
          </w:p>
        </w:tc>
        <w:tc>
          <w:tcPr>
            <w:tcW w:w="0" w:type="auto"/>
            <w:shd w:val="clear" w:color="auto" w:fill="auto"/>
          </w:tcPr>
          <w:p w14:paraId="73C20F73">
            <w:pPr>
              <w:jc w:val="right"/>
              <w:rPr>
                <w:rFonts w:ascii="宋体" w:hAnsi="宋体" w:eastAsia="宋体" w:cs="宋体"/>
                <w:sz w:val="24"/>
                <w:szCs w:val="24"/>
                <w:highlight w:val="none"/>
              </w:rPr>
            </w:pPr>
            <w:r>
              <w:rPr>
                <w:rFonts w:hint="eastAsia" w:ascii="宋体" w:hAnsi="宋体" w:eastAsia="宋体"/>
                <w:highlight w:val="none"/>
              </w:rPr>
              <w:t>6,303,000</w:t>
            </w:r>
          </w:p>
        </w:tc>
        <w:tc>
          <w:tcPr>
            <w:tcW w:w="0" w:type="auto"/>
            <w:shd w:val="clear" w:color="auto" w:fill="auto"/>
          </w:tcPr>
          <w:p w14:paraId="6FEB4729">
            <w:pPr>
              <w:jc w:val="right"/>
              <w:rPr>
                <w:rFonts w:ascii="宋体" w:hAnsi="宋体" w:eastAsia="宋体" w:cs="宋体"/>
                <w:sz w:val="24"/>
                <w:szCs w:val="24"/>
                <w:highlight w:val="none"/>
              </w:rPr>
            </w:pPr>
            <w:r>
              <w:rPr>
                <w:rFonts w:hint="eastAsia" w:ascii="宋体" w:hAnsi="宋体" w:eastAsia="宋体"/>
                <w:highlight w:val="none"/>
              </w:rPr>
              <w:t>103,349,414.88</w:t>
            </w:r>
          </w:p>
        </w:tc>
        <w:tc>
          <w:tcPr>
            <w:tcW w:w="0" w:type="auto"/>
            <w:shd w:val="clear" w:color="auto" w:fill="auto"/>
          </w:tcPr>
          <w:p w14:paraId="1696EB29">
            <w:pPr>
              <w:jc w:val="right"/>
              <w:rPr>
                <w:rFonts w:ascii="宋体" w:hAnsi="宋体" w:eastAsia="宋体" w:cs="宋体"/>
                <w:sz w:val="24"/>
                <w:szCs w:val="24"/>
                <w:highlight w:val="none"/>
              </w:rPr>
            </w:pPr>
            <w:r>
              <w:rPr>
                <w:rFonts w:hint="eastAsia" w:ascii="宋体" w:hAnsi="宋体" w:eastAsia="宋体"/>
                <w:highlight w:val="none"/>
              </w:rPr>
              <w:t>2.49</w:t>
            </w:r>
          </w:p>
        </w:tc>
      </w:tr>
      <w:tr w14:paraId="39B6D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8348B7E">
            <w:pPr>
              <w:jc w:val="center"/>
              <w:rPr>
                <w:rFonts w:ascii="宋体" w:hAnsi="宋体" w:eastAsia="宋体" w:cs="宋体"/>
                <w:sz w:val="24"/>
                <w:szCs w:val="24"/>
                <w:highlight w:val="none"/>
              </w:rPr>
            </w:pPr>
            <w:r>
              <w:rPr>
                <w:rFonts w:hint="eastAsia" w:ascii="宋体" w:hAnsi="宋体" w:eastAsia="宋体"/>
                <w:highlight w:val="none"/>
              </w:rPr>
              <w:t>8</w:t>
            </w:r>
          </w:p>
        </w:tc>
        <w:tc>
          <w:tcPr>
            <w:tcW w:w="0" w:type="auto"/>
            <w:shd w:val="clear" w:color="auto" w:fill="auto"/>
          </w:tcPr>
          <w:p w14:paraId="4BA3B30E">
            <w:pPr>
              <w:jc w:val="center"/>
              <w:rPr>
                <w:rFonts w:ascii="宋体" w:hAnsi="宋体" w:eastAsia="宋体" w:cs="宋体"/>
                <w:sz w:val="24"/>
                <w:szCs w:val="24"/>
                <w:highlight w:val="none"/>
              </w:rPr>
            </w:pPr>
            <w:r>
              <w:rPr>
                <w:rFonts w:hint="eastAsia" w:ascii="宋体" w:hAnsi="宋体" w:eastAsia="宋体"/>
                <w:highlight w:val="none"/>
              </w:rPr>
              <w:t>1898</w:t>
            </w:r>
          </w:p>
        </w:tc>
        <w:tc>
          <w:tcPr>
            <w:tcW w:w="0" w:type="auto"/>
            <w:shd w:val="clear" w:color="auto" w:fill="auto"/>
          </w:tcPr>
          <w:p w14:paraId="6419754B">
            <w:pPr>
              <w:jc w:val="center"/>
              <w:rPr>
                <w:rFonts w:ascii="宋体" w:hAnsi="宋体" w:eastAsia="宋体" w:cs="宋体"/>
                <w:sz w:val="24"/>
                <w:szCs w:val="24"/>
                <w:highlight w:val="none"/>
              </w:rPr>
            </w:pPr>
            <w:r>
              <w:rPr>
                <w:rFonts w:hint="eastAsia" w:ascii="宋体" w:hAnsi="宋体" w:eastAsia="宋体"/>
                <w:highlight w:val="none"/>
              </w:rPr>
              <w:t>中煤能源</w:t>
            </w:r>
          </w:p>
        </w:tc>
        <w:tc>
          <w:tcPr>
            <w:tcW w:w="0" w:type="auto"/>
            <w:shd w:val="clear" w:color="auto" w:fill="auto"/>
          </w:tcPr>
          <w:p w14:paraId="7776F75A">
            <w:pPr>
              <w:jc w:val="right"/>
              <w:rPr>
                <w:rFonts w:ascii="宋体" w:hAnsi="宋体" w:eastAsia="宋体" w:cs="宋体"/>
                <w:sz w:val="24"/>
                <w:szCs w:val="24"/>
                <w:highlight w:val="none"/>
              </w:rPr>
            </w:pPr>
            <w:r>
              <w:rPr>
                <w:rFonts w:hint="eastAsia" w:ascii="宋体" w:hAnsi="宋体" w:eastAsia="宋体"/>
                <w:highlight w:val="none"/>
              </w:rPr>
              <w:t>12,439,000</w:t>
            </w:r>
          </w:p>
        </w:tc>
        <w:tc>
          <w:tcPr>
            <w:tcW w:w="0" w:type="auto"/>
            <w:shd w:val="clear" w:color="auto" w:fill="auto"/>
          </w:tcPr>
          <w:p w14:paraId="029FAAD9">
            <w:pPr>
              <w:jc w:val="right"/>
              <w:rPr>
                <w:rFonts w:ascii="宋体" w:hAnsi="宋体" w:eastAsia="宋体" w:cs="宋体"/>
                <w:sz w:val="24"/>
                <w:szCs w:val="24"/>
                <w:highlight w:val="none"/>
              </w:rPr>
            </w:pPr>
            <w:r>
              <w:rPr>
                <w:rFonts w:hint="eastAsia" w:ascii="宋体" w:hAnsi="宋体" w:eastAsia="宋体"/>
                <w:highlight w:val="none"/>
              </w:rPr>
              <w:t>103,001,214.13</w:t>
            </w:r>
          </w:p>
        </w:tc>
        <w:tc>
          <w:tcPr>
            <w:tcW w:w="0" w:type="auto"/>
            <w:shd w:val="clear" w:color="auto" w:fill="auto"/>
          </w:tcPr>
          <w:p w14:paraId="52FFAB29">
            <w:pPr>
              <w:jc w:val="right"/>
              <w:rPr>
                <w:rFonts w:ascii="宋体" w:hAnsi="宋体" w:eastAsia="宋体" w:cs="宋体"/>
                <w:sz w:val="24"/>
                <w:szCs w:val="24"/>
                <w:highlight w:val="none"/>
              </w:rPr>
            </w:pPr>
            <w:r>
              <w:rPr>
                <w:rFonts w:hint="eastAsia" w:ascii="宋体" w:hAnsi="宋体" w:eastAsia="宋体"/>
                <w:highlight w:val="none"/>
              </w:rPr>
              <w:t>2.48</w:t>
            </w:r>
          </w:p>
        </w:tc>
      </w:tr>
      <w:tr w14:paraId="200F7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D85026">
            <w:pPr>
              <w:jc w:val="center"/>
              <w:rPr>
                <w:rFonts w:ascii="宋体" w:hAnsi="宋体" w:eastAsia="宋体" w:cs="宋体"/>
                <w:sz w:val="24"/>
                <w:szCs w:val="24"/>
                <w:highlight w:val="none"/>
              </w:rPr>
            </w:pPr>
            <w:r>
              <w:rPr>
                <w:rFonts w:hint="eastAsia" w:ascii="宋体" w:hAnsi="宋体" w:eastAsia="宋体"/>
                <w:highlight w:val="none"/>
              </w:rPr>
              <w:t>9</w:t>
            </w:r>
          </w:p>
        </w:tc>
        <w:tc>
          <w:tcPr>
            <w:tcW w:w="0" w:type="auto"/>
            <w:shd w:val="clear" w:color="auto" w:fill="auto"/>
          </w:tcPr>
          <w:p w14:paraId="4974E185">
            <w:pPr>
              <w:jc w:val="center"/>
              <w:rPr>
                <w:rFonts w:ascii="宋体" w:hAnsi="宋体" w:eastAsia="宋体" w:cs="宋体"/>
                <w:sz w:val="24"/>
                <w:szCs w:val="24"/>
                <w:highlight w:val="none"/>
              </w:rPr>
            </w:pPr>
            <w:r>
              <w:rPr>
                <w:rFonts w:hint="eastAsia" w:ascii="宋体" w:hAnsi="宋体" w:eastAsia="宋体"/>
                <w:highlight w:val="none"/>
              </w:rPr>
              <w:t>1308</w:t>
            </w:r>
          </w:p>
        </w:tc>
        <w:tc>
          <w:tcPr>
            <w:tcW w:w="0" w:type="auto"/>
            <w:shd w:val="clear" w:color="auto" w:fill="auto"/>
          </w:tcPr>
          <w:p w14:paraId="29079F27">
            <w:pPr>
              <w:jc w:val="center"/>
              <w:rPr>
                <w:rFonts w:ascii="宋体" w:hAnsi="宋体" w:eastAsia="宋体" w:cs="宋体"/>
                <w:sz w:val="24"/>
                <w:szCs w:val="24"/>
                <w:highlight w:val="none"/>
              </w:rPr>
            </w:pPr>
            <w:r>
              <w:rPr>
                <w:rFonts w:hint="eastAsia" w:ascii="宋体" w:hAnsi="宋体" w:eastAsia="宋体"/>
                <w:highlight w:val="none"/>
              </w:rPr>
              <w:t>海丰国际</w:t>
            </w:r>
          </w:p>
        </w:tc>
        <w:tc>
          <w:tcPr>
            <w:tcW w:w="0" w:type="auto"/>
            <w:shd w:val="clear" w:color="auto" w:fill="auto"/>
          </w:tcPr>
          <w:p w14:paraId="359C877D">
            <w:pPr>
              <w:jc w:val="right"/>
              <w:rPr>
                <w:rFonts w:ascii="宋体" w:hAnsi="宋体" w:eastAsia="宋体" w:cs="宋体"/>
                <w:sz w:val="24"/>
                <w:szCs w:val="24"/>
                <w:highlight w:val="none"/>
              </w:rPr>
            </w:pPr>
            <w:r>
              <w:rPr>
                <w:rFonts w:hint="eastAsia" w:ascii="宋体" w:hAnsi="宋体" w:eastAsia="宋体"/>
                <w:highlight w:val="none"/>
              </w:rPr>
              <w:t>4,399,000</w:t>
            </w:r>
          </w:p>
        </w:tc>
        <w:tc>
          <w:tcPr>
            <w:tcW w:w="0" w:type="auto"/>
            <w:shd w:val="clear" w:color="auto" w:fill="auto"/>
          </w:tcPr>
          <w:p w14:paraId="1FEAC33B">
            <w:pPr>
              <w:jc w:val="right"/>
              <w:rPr>
                <w:rFonts w:ascii="宋体" w:hAnsi="宋体" w:eastAsia="宋体" w:cs="宋体"/>
                <w:sz w:val="24"/>
                <w:szCs w:val="24"/>
                <w:highlight w:val="none"/>
              </w:rPr>
            </w:pPr>
            <w:r>
              <w:rPr>
                <w:rFonts w:hint="eastAsia" w:ascii="宋体" w:hAnsi="宋体" w:eastAsia="宋体"/>
                <w:highlight w:val="none"/>
              </w:rPr>
              <w:t>100,893,451.46</w:t>
            </w:r>
          </w:p>
        </w:tc>
        <w:tc>
          <w:tcPr>
            <w:tcW w:w="0" w:type="auto"/>
            <w:shd w:val="clear" w:color="auto" w:fill="auto"/>
          </w:tcPr>
          <w:p w14:paraId="58E8E949">
            <w:pPr>
              <w:jc w:val="right"/>
              <w:rPr>
                <w:rFonts w:ascii="宋体" w:hAnsi="宋体" w:eastAsia="宋体" w:cs="宋体"/>
                <w:sz w:val="24"/>
                <w:szCs w:val="24"/>
                <w:highlight w:val="none"/>
              </w:rPr>
            </w:pPr>
            <w:r>
              <w:rPr>
                <w:rFonts w:hint="eastAsia" w:ascii="宋体" w:hAnsi="宋体" w:eastAsia="宋体"/>
                <w:highlight w:val="none"/>
              </w:rPr>
              <w:t>2.43</w:t>
            </w:r>
          </w:p>
        </w:tc>
      </w:tr>
      <w:tr w14:paraId="2E694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2F8FB8B">
            <w:pPr>
              <w:jc w:val="center"/>
              <w:rPr>
                <w:rFonts w:ascii="宋体" w:hAnsi="宋体" w:eastAsia="宋体" w:cs="宋体"/>
                <w:sz w:val="24"/>
                <w:szCs w:val="24"/>
                <w:highlight w:val="none"/>
              </w:rPr>
            </w:pPr>
            <w:r>
              <w:rPr>
                <w:rFonts w:hint="eastAsia" w:ascii="宋体" w:hAnsi="宋体" w:eastAsia="宋体"/>
                <w:highlight w:val="none"/>
              </w:rPr>
              <w:t>10</w:t>
            </w:r>
          </w:p>
        </w:tc>
        <w:tc>
          <w:tcPr>
            <w:tcW w:w="0" w:type="auto"/>
            <w:shd w:val="clear" w:color="auto" w:fill="auto"/>
          </w:tcPr>
          <w:p w14:paraId="41DA94E4">
            <w:pPr>
              <w:jc w:val="center"/>
              <w:rPr>
                <w:rFonts w:ascii="宋体" w:hAnsi="宋体" w:eastAsia="宋体" w:cs="宋体"/>
                <w:sz w:val="24"/>
                <w:szCs w:val="24"/>
                <w:highlight w:val="none"/>
              </w:rPr>
            </w:pPr>
            <w:r>
              <w:rPr>
                <w:rFonts w:hint="eastAsia" w:ascii="宋体" w:hAnsi="宋体" w:eastAsia="宋体"/>
                <w:highlight w:val="none"/>
              </w:rPr>
              <w:t>1908</w:t>
            </w:r>
          </w:p>
        </w:tc>
        <w:tc>
          <w:tcPr>
            <w:tcW w:w="0" w:type="auto"/>
            <w:shd w:val="clear" w:color="auto" w:fill="auto"/>
          </w:tcPr>
          <w:p w14:paraId="76B84522">
            <w:pPr>
              <w:jc w:val="center"/>
              <w:rPr>
                <w:rFonts w:ascii="宋体" w:hAnsi="宋体" w:eastAsia="宋体" w:cs="宋体"/>
                <w:sz w:val="24"/>
                <w:szCs w:val="24"/>
                <w:highlight w:val="none"/>
              </w:rPr>
            </w:pPr>
            <w:r>
              <w:rPr>
                <w:rFonts w:hint="eastAsia" w:ascii="宋体" w:hAnsi="宋体" w:eastAsia="宋体"/>
                <w:highlight w:val="none"/>
              </w:rPr>
              <w:t>建发国际集团</w:t>
            </w:r>
          </w:p>
        </w:tc>
        <w:tc>
          <w:tcPr>
            <w:tcW w:w="0" w:type="auto"/>
            <w:shd w:val="clear" w:color="auto" w:fill="auto"/>
          </w:tcPr>
          <w:p w14:paraId="08C8B4EC">
            <w:pPr>
              <w:jc w:val="right"/>
              <w:rPr>
                <w:rFonts w:ascii="宋体" w:hAnsi="宋体" w:eastAsia="宋体" w:cs="宋体"/>
                <w:sz w:val="24"/>
                <w:szCs w:val="24"/>
                <w:highlight w:val="none"/>
              </w:rPr>
            </w:pPr>
            <w:r>
              <w:rPr>
                <w:rFonts w:hint="eastAsia" w:ascii="宋体" w:hAnsi="宋体" w:eastAsia="宋体"/>
                <w:highlight w:val="none"/>
              </w:rPr>
              <w:t>6,832,000</w:t>
            </w:r>
          </w:p>
        </w:tc>
        <w:tc>
          <w:tcPr>
            <w:tcW w:w="0" w:type="auto"/>
            <w:shd w:val="clear" w:color="auto" w:fill="auto"/>
          </w:tcPr>
          <w:p w14:paraId="692C1D2E">
            <w:pPr>
              <w:jc w:val="right"/>
              <w:rPr>
                <w:rFonts w:ascii="宋体" w:hAnsi="宋体" w:eastAsia="宋体" w:cs="宋体"/>
                <w:sz w:val="24"/>
                <w:szCs w:val="24"/>
                <w:highlight w:val="none"/>
              </w:rPr>
            </w:pPr>
            <w:r>
              <w:rPr>
                <w:rFonts w:hint="eastAsia" w:ascii="宋体" w:hAnsi="宋体" w:eastAsia="宋体"/>
                <w:highlight w:val="none"/>
              </w:rPr>
              <w:t>98,939,425.31</w:t>
            </w:r>
          </w:p>
        </w:tc>
        <w:tc>
          <w:tcPr>
            <w:tcW w:w="0" w:type="auto"/>
            <w:shd w:val="clear" w:color="auto" w:fill="auto"/>
          </w:tcPr>
          <w:p w14:paraId="7BB2F9A4">
            <w:pPr>
              <w:jc w:val="right"/>
              <w:rPr>
                <w:rFonts w:ascii="宋体" w:hAnsi="宋体" w:eastAsia="宋体" w:cs="宋体"/>
                <w:sz w:val="24"/>
                <w:szCs w:val="24"/>
                <w:highlight w:val="none"/>
              </w:rPr>
            </w:pPr>
            <w:r>
              <w:rPr>
                <w:rFonts w:hint="eastAsia" w:ascii="宋体" w:hAnsi="宋体" w:eastAsia="宋体"/>
                <w:highlight w:val="none"/>
              </w:rPr>
              <w:t>2.38</w:t>
            </w:r>
          </w:p>
        </w:tc>
      </w:tr>
    </w:tbl>
    <w:p w14:paraId="53F8F440">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4 报告期末按债券品种分类的债券投资组合</w:t>
      </w:r>
    </w:p>
    <w:p w14:paraId="5BDB0BCD">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本基金本报告期末未持有债券。</w:t>
      </w:r>
    </w:p>
    <w:p w14:paraId="08589143">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5 报告期末按公允价值占基金资产净值比例大小排序的前五名债券投资明细</w:t>
      </w:r>
    </w:p>
    <w:p w14:paraId="156CBF1D">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本基金本报告期末未持有债券。</w:t>
      </w:r>
    </w:p>
    <w:p w14:paraId="670E6472">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6 报告期末按公允价值占基金资产净值比例大小排序的前十名资产支持证券投资明细</w:t>
      </w:r>
    </w:p>
    <w:p w14:paraId="66D98A3D">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本基金本报告期末未持有资产支持证券。</w:t>
      </w:r>
    </w:p>
    <w:p w14:paraId="58EAD92D">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7 报告期末按公允价值占基金资产净值比例大小排序的前五名贵金属投资明细</w:t>
      </w:r>
    </w:p>
    <w:p w14:paraId="17677055">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本基金本报告期末未持有贵金属。</w:t>
      </w:r>
    </w:p>
    <w:p w14:paraId="5A56F014">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8报告期末按公允价值占基金资产净值比例大小排序的前五名权证投资明细</w:t>
      </w:r>
    </w:p>
    <w:p w14:paraId="5F6CF7B7">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本基金本报告期末未持有权证。</w:t>
      </w:r>
    </w:p>
    <w:p w14:paraId="51EA4DA5">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9报告期末本基金投资的股指期货交易情况说明</w:t>
      </w:r>
    </w:p>
    <w:p w14:paraId="5BBAFC1E">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9.1报告期末本基金投资的股指期货持仓和损益明细</w:t>
      </w:r>
    </w:p>
    <w:p w14:paraId="06496BAD">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本基金本报告期末未持有股指期货。</w:t>
      </w:r>
    </w:p>
    <w:p w14:paraId="6ED62F3F">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9.2本基金投资股指期货的投资政策</w:t>
      </w:r>
    </w:p>
    <w:p w14:paraId="6CFE6F78">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本基金本报告期末未持有股指期货。</w:t>
      </w:r>
    </w:p>
    <w:p w14:paraId="6FD1ABAD">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10报告期末本基金投资的国债期货交易情况说明</w:t>
      </w:r>
    </w:p>
    <w:p w14:paraId="27EA7382">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10.1 本期国债期货投资政策</w:t>
      </w:r>
    </w:p>
    <w:p w14:paraId="130E4A72">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本基金本报告期末未持有国债期货。</w:t>
      </w:r>
    </w:p>
    <w:p w14:paraId="6207BB16">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10.2 报告期末本基金投资的国债期货持仓和损益明细</w:t>
      </w:r>
    </w:p>
    <w:p w14:paraId="0C0282A2">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本基金本报告期末未持有国债期货。</w:t>
      </w:r>
    </w:p>
    <w:p w14:paraId="6FF855AB">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11投资组合报告附注</w:t>
      </w:r>
    </w:p>
    <w:p w14:paraId="5361E6EE">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11.1基金投资前十名证券的发行主体被监管部门立案调查或编制日前一年内受到公开谴责、处罚的投资决策程序说明</w:t>
      </w:r>
    </w:p>
    <w:p w14:paraId="5AA3E3DE">
      <w:pPr>
        <w:pStyle w:val="8"/>
        <w:spacing w:before="0" w:beforeAutospacing="0" w:after="0" w:afterAutospacing="0" w:line="360" w:lineRule="auto"/>
        <w:ind w:firstLine="420"/>
        <w:rPr>
          <w:sz w:val="21"/>
          <w:szCs w:val="21"/>
          <w:highlight w:val="none"/>
        </w:rPr>
      </w:pPr>
      <w:r>
        <w:rPr>
          <w:rFonts w:hint="eastAsia"/>
          <w:sz w:val="21"/>
          <w:szCs w:val="21"/>
          <w:highlight w:val="none"/>
        </w:rPr>
        <w:t>本基金投资的前十名证券的发行主体中，中国石油天然气股份有限公司在报告编制前一年受到唐山市生态环境局曹妃甸区分局、环县市场监督管理局、郑州市应急管理局、鄂托克旗应急管理局、陕西省自然资源和规划局、靖边县交通运输局的处罚。兖矿能源集团股份有限公司在报告编制前一年受到济宁市城乡水务局、济宁市能源局的处罚。本基金对上述证券的投资决策程序符合相关法规及公司制度的要求。除上述主体外，基金管理人未发现本基金投资的前十名证券发行主体出现本期被监管部门立案调查，或在报告编制日前一年受到公开谴责、处罚的情形。</w:t>
      </w:r>
    </w:p>
    <w:p w14:paraId="3AD22F2F">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11.2报告期内基金投资的前十名股票中，没有投资超出基金合同规定备选股票库之外的股票。本基金管理人从制度和流程上要求股票必须先入库再买入。</w:t>
      </w:r>
    </w:p>
    <w:p w14:paraId="3F1EF36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11.3其他资产构成</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1"/>
        <w:gridCol w:w="3582"/>
        <w:gridCol w:w="3583"/>
      </w:tblGrid>
      <w:tr w14:paraId="265F8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864B3B7">
            <w:pPr>
              <w:jc w:val="center"/>
              <w:rPr>
                <w:rFonts w:ascii="宋体" w:hAnsi="宋体" w:eastAsia="宋体" w:cs="宋体"/>
                <w:sz w:val="24"/>
                <w:szCs w:val="24"/>
                <w:highlight w:val="none"/>
              </w:rPr>
            </w:pPr>
            <w:r>
              <w:rPr>
                <w:rFonts w:hint="eastAsia" w:ascii="宋体" w:hAnsi="宋体" w:eastAsia="宋体"/>
                <w:highlight w:val="none"/>
              </w:rPr>
              <w:t>序号</w:t>
            </w:r>
          </w:p>
        </w:tc>
        <w:tc>
          <w:tcPr>
            <w:tcW w:w="0" w:type="auto"/>
            <w:shd w:val="clear" w:color="auto" w:fill="auto"/>
          </w:tcPr>
          <w:p w14:paraId="112A4DD7">
            <w:pPr>
              <w:jc w:val="center"/>
              <w:rPr>
                <w:rFonts w:ascii="宋体" w:hAnsi="宋体" w:eastAsia="宋体" w:cs="宋体"/>
                <w:sz w:val="24"/>
                <w:szCs w:val="24"/>
                <w:highlight w:val="none"/>
              </w:rPr>
            </w:pPr>
            <w:r>
              <w:rPr>
                <w:rFonts w:hint="eastAsia" w:ascii="宋体" w:hAnsi="宋体" w:eastAsia="宋体"/>
                <w:highlight w:val="none"/>
              </w:rPr>
              <w:t>名称</w:t>
            </w:r>
          </w:p>
        </w:tc>
        <w:tc>
          <w:tcPr>
            <w:tcW w:w="0" w:type="auto"/>
            <w:shd w:val="clear" w:color="auto" w:fill="auto"/>
          </w:tcPr>
          <w:p w14:paraId="67461454">
            <w:pPr>
              <w:jc w:val="center"/>
              <w:rPr>
                <w:rFonts w:ascii="宋体" w:hAnsi="宋体" w:eastAsia="宋体" w:cs="宋体"/>
                <w:sz w:val="24"/>
                <w:szCs w:val="24"/>
                <w:highlight w:val="none"/>
              </w:rPr>
            </w:pPr>
            <w:r>
              <w:rPr>
                <w:rFonts w:hint="eastAsia" w:ascii="宋体" w:hAnsi="宋体" w:eastAsia="宋体"/>
                <w:highlight w:val="none"/>
              </w:rPr>
              <w:t>金额(元)</w:t>
            </w:r>
          </w:p>
        </w:tc>
      </w:tr>
      <w:tr w14:paraId="2AB95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CABE7D">
            <w:pPr>
              <w:jc w:val="center"/>
              <w:rPr>
                <w:rFonts w:ascii="宋体" w:hAnsi="宋体" w:eastAsia="宋体" w:cs="宋体"/>
                <w:sz w:val="24"/>
                <w:szCs w:val="24"/>
                <w:highlight w:val="none"/>
              </w:rPr>
            </w:pPr>
            <w:r>
              <w:rPr>
                <w:rFonts w:hint="eastAsia" w:ascii="宋体" w:hAnsi="宋体" w:eastAsia="宋体"/>
                <w:highlight w:val="none"/>
              </w:rPr>
              <w:t>1</w:t>
            </w:r>
          </w:p>
        </w:tc>
        <w:tc>
          <w:tcPr>
            <w:tcW w:w="0" w:type="auto"/>
            <w:shd w:val="clear" w:color="auto" w:fill="auto"/>
          </w:tcPr>
          <w:p w14:paraId="4F4A4EF4">
            <w:pPr>
              <w:rPr>
                <w:rFonts w:ascii="宋体" w:hAnsi="宋体" w:eastAsia="宋体" w:cs="宋体"/>
                <w:sz w:val="24"/>
                <w:szCs w:val="24"/>
                <w:highlight w:val="none"/>
              </w:rPr>
            </w:pPr>
            <w:r>
              <w:rPr>
                <w:rFonts w:hint="eastAsia" w:ascii="宋体" w:hAnsi="宋体" w:eastAsia="宋体"/>
                <w:highlight w:val="none"/>
              </w:rPr>
              <w:t>存出保证金</w:t>
            </w:r>
          </w:p>
        </w:tc>
        <w:tc>
          <w:tcPr>
            <w:tcW w:w="0" w:type="auto"/>
            <w:shd w:val="clear" w:color="auto" w:fill="auto"/>
          </w:tcPr>
          <w:p w14:paraId="34E88955">
            <w:pPr>
              <w:jc w:val="right"/>
              <w:rPr>
                <w:rFonts w:ascii="宋体" w:hAnsi="宋体" w:eastAsia="宋体" w:cs="宋体"/>
                <w:sz w:val="24"/>
                <w:szCs w:val="24"/>
                <w:highlight w:val="none"/>
              </w:rPr>
            </w:pPr>
            <w:r>
              <w:rPr>
                <w:rFonts w:hint="eastAsia" w:ascii="宋体" w:hAnsi="宋体" w:eastAsia="宋体"/>
                <w:highlight w:val="none"/>
              </w:rPr>
              <w:t>37,103.40</w:t>
            </w:r>
          </w:p>
        </w:tc>
      </w:tr>
      <w:tr w14:paraId="4396C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0AE002">
            <w:pPr>
              <w:jc w:val="center"/>
              <w:rPr>
                <w:rFonts w:ascii="宋体" w:hAnsi="宋体" w:eastAsia="宋体" w:cs="宋体"/>
                <w:sz w:val="24"/>
                <w:szCs w:val="24"/>
                <w:highlight w:val="none"/>
              </w:rPr>
            </w:pPr>
            <w:r>
              <w:rPr>
                <w:rFonts w:hint="eastAsia" w:ascii="宋体" w:hAnsi="宋体" w:eastAsia="宋体"/>
                <w:highlight w:val="none"/>
              </w:rPr>
              <w:t>2</w:t>
            </w:r>
          </w:p>
        </w:tc>
        <w:tc>
          <w:tcPr>
            <w:tcW w:w="0" w:type="auto"/>
            <w:shd w:val="clear" w:color="auto" w:fill="auto"/>
          </w:tcPr>
          <w:p w14:paraId="4337E4BE">
            <w:pPr>
              <w:rPr>
                <w:rFonts w:ascii="宋体" w:hAnsi="宋体" w:eastAsia="宋体" w:cs="宋体"/>
                <w:sz w:val="24"/>
                <w:szCs w:val="24"/>
                <w:highlight w:val="none"/>
              </w:rPr>
            </w:pPr>
            <w:r>
              <w:rPr>
                <w:rFonts w:hint="eastAsia" w:ascii="宋体" w:hAnsi="宋体" w:eastAsia="宋体"/>
                <w:highlight w:val="none"/>
              </w:rPr>
              <w:t>应收证券清算款</w:t>
            </w:r>
          </w:p>
        </w:tc>
        <w:tc>
          <w:tcPr>
            <w:tcW w:w="0" w:type="auto"/>
            <w:shd w:val="clear" w:color="auto" w:fill="auto"/>
          </w:tcPr>
          <w:p w14:paraId="6DBFB97B">
            <w:pPr>
              <w:jc w:val="right"/>
              <w:rPr>
                <w:rFonts w:ascii="宋体" w:hAnsi="宋体" w:eastAsia="宋体" w:cs="宋体"/>
                <w:sz w:val="24"/>
                <w:szCs w:val="24"/>
                <w:highlight w:val="none"/>
              </w:rPr>
            </w:pPr>
            <w:r>
              <w:rPr>
                <w:rFonts w:hint="eastAsia" w:ascii="宋体" w:hAnsi="宋体" w:eastAsia="宋体"/>
                <w:highlight w:val="none"/>
              </w:rPr>
              <w:t>68,481,825.03</w:t>
            </w:r>
          </w:p>
        </w:tc>
      </w:tr>
      <w:tr w14:paraId="6387E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7B39C7">
            <w:pPr>
              <w:jc w:val="center"/>
              <w:rPr>
                <w:rFonts w:ascii="宋体" w:hAnsi="宋体" w:eastAsia="宋体" w:cs="宋体"/>
                <w:sz w:val="24"/>
                <w:szCs w:val="24"/>
                <w:highlight w:val="none"/>
              </w:rPr>
            </w:pPr>
            <w:r>
              <w:rPr>
                <w:rFonts w:hint="eastAsia" w:ascii="宋体" w:hAnsi="宋体" w:eastAsia="宋体"/>
                <w:highlight w:val="none"/>
              </w:rPr>
              <w:t>3</w:t>
            </w:r>
          </w:p>
        </w:tc>
        <w:tc>
          <w:tcPr>
            <w:tcW w:w="0" w:type="auto"/>
            <w:shd w:val="clear" w:color="auto" w:fill="auto"/>
          </w:tcPr>
          <w:p w14:paraId="5D06886D">
            <w:pPr>
              <w:rPr>
                <w:rFonts w:ascii="宋体" w:hAnsi="宋体" w:eastAsia="宋体" w:cs="宋体"/>
                <w:sz w:val="24"/>
                <w:szCs w:val="24"/>
                <w:highlight w:val="none"/>
              </w:rPr>
            </w:pPr>
            <w:r>
              <w:rPr>
                <w:rFonts w:hint="eastAsia" w:ascii="宋体" w:hAnsi="宋体" w:eastAsia="宋体"/>
                <w:highlight w:val="none"/>
              </w:rPr>
              <w:t>应收股利</w:t>
            </w:r>
          </w:p>
        </w:tc>
        <w:tc>
          <w:tcPr>
            <w:tcW w:w="0" w:type="auto"/>
            <w:shd w:val="clear" w:color="auto" w:fill="auto"/>
          </w:tcPr>
          <w:p w14:paraId="12EC3B74">
            <w:pPr>
              <w:jc w:val="right"/>
              <w:rPr>
                <w:rFonts w:ascii="宋体" w:hAnsi="宋体" w:eastAsia="宋体" w:cs="宋体"/>
                <w:sz w:val="24"/>
                <w:szCs w:val="24"/>
                <w:highlight w:val="none"/>
              </w:rPr>
            </w:pPr>
            <w:r>
              <w:rPr>
                <w:rFonts w:hint="eastAsia" w:ascii="宋体" w:hAnsi="宋体" w:eastAsia="宋体"/>
                <w:highlight w:val="none"/>
              </w:rPr>
              <w:t>62,508,156.93</w:t>
            </w:r>
          </w:p>
        </w:tc>
      </w:tr>
      <w:tr w14:paraId="2DCB2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03FD76">
            <w:pPr>
              <w:jc w:val="center"/>
              <w:rPr>
                <w:rFonts w:ascii="宋体" w:hAnsi="宋体" w:eastAsia="宋体" w:cs="宋体"/>
                <w:sz w:val="24"/>
                <w:szCs w:val="24"/>
                <w:highlight w:val="none"/>
              </w:rPr>
            </w:pPr>
            <w:r>
              <w:rPr>
                <w:rFonts w:hint="eastAsia" w:ascii="宋体" w:hAnsi="宋体" w:eastAsia="宋体"/>
                <w:highlight w:val="none"/>
              </w:rPr>
              <w:t>4</w:t>
            </w:r>
          </w:p>
        </w:tc>
        <w:tc>
          <w:tcPr>
            <w:tcW w:w="0" w:type="auto"/>
            <w:shd w:val="clear" w:color="auto" w:fill="auto"/>
          </w:tcPr>
          <w:p w14:paraId="44389A00">
            <w:pPr>
              <w:rPr>
                <w:rFonts w:ascii="宋体" w:hAnsi="宋体" w:eastAsia="宋体" w:cs="宋体"/>
                <w:sz w:val="24"/>
                <w:szCs w:val="24"/>
                <w:highlight w:val="none"/>
              </w:rPr>
            </w:pPr>
            <w:r>
              <w:rPr>
                <w:rFonts w:hint="eastAsia" w:ascii="宋体" w:hAnsi="宋体" w:eastAsia="宋体"/>
                <w:highlight w:val="none"/>
              </w:rPr>
              <w:t>应收利息</w:t>
            </w:r>
          </w:p>
        </w:tc>
        <w:tc>
          <w:tcPr>
            <w:tcW w:w="0" w:type="auto"/>
            <w:shd w:val="clear" w:color="auto" w:fill="auto"/>
          </w:tcPr>
          <w:p w14:paraId="43BBA0A7">
            <w:pPr>
              <w:jc w:val="right"/>
              <w:rPr>
                <w:rFonts w:ascii="宋体" w:hAnsi="宋体" w:eastAsia="宋体" w:cs="宋体"/>
                <w:sz w:val="24"/>
                <w:szCs w:val="24"/>
                <w:highlight w:val="none"/>
              </w:rPr>
            </w:pPr>
            <w:r>
              <w:rPr>
                <w:rFonts w:hint="eastAsia" w:ascii="宋体" w:hAnsi="宋体" w:eastAsia="宋体"/>
                <w:highlight w:val="none"/>
              </w:rPr>
              <w:t>-</w:t>
            </w:r>
          </w:p>
        </w:tc>
      </w:tr>
      <w:tr w14:paraId="2C92D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48C4DC">
            <w:pPr>
              <w:jc w:val="center"/>
              <w:rPr>
                <w:rFonts w:ascii="宋体" w:hAnsi="宋体" w:eastAsia="宋体" w:cs="宋体"/>
                <w:sz w:val="24"/>
                <w:szCs w:val="24"/>
                <w:highlight w:val="none"/>
              </w:rPr>
            </w:pPr>
            <w:r>
              <w:rPr>
                <w:rFonts w:hint="eastAsia" w:ascii="宋体" w:hAnsi="宋体" w:eastAsia="宋体"/>
                <w:highlight w:val="none"/>
              </w:rPr>
              <w:t>5</w:t>
            </w:r>
          </w:p>
        </w:tc>
        <w:tc>
          <w:tcPr>
            <w:tcW w:w="0" w:type="auto"/>
            <w:shd w:val="clear" w:color="auto" w:fill="auto"/>
          </w:tcPr>
          <w:p w14:paraId="2AF9F7A6">
            <w:pPr>
              <w:rPr>
                <w:rFonts w:ascii="宋体" w:hAnsi="宋体" w:eastAsia="宋体" w:cs="宋体"/>
                <w:sz w:val="24"/>
                <w:szCs w:val="24"/>
                <w:highlight w:val="none"/>
              </w:rPr>
            </w:pPr>
            <w:r>
              <w:rPr>
                <w:rFonts w:hint="eastAsia" w:ascii="宋体" w:hAnsi="宋体" w:eastAsia="宋体"/>
                <w:highlight w:val="none"/>
              </w:rPr>
              <w:t>应收申购款</w:t>
            </w:r>
          </w:p>
        </w:tc>
        <w:tc>
          <w:tcPr>
            <w:tcW w:w="0" w:type="auto"/>
            <w:shd w:val="clear" w:color="auto" w:fill="auto"/>
          </w:tcPr>
          <w:p w14:paraId="50525E0B">
            <w:pPr>
              <w:jc w:val="right"/>
              <w:rPr>
                <w:rFonts w:ascii="宋体" w:hAnsi="宋体" w:eastAsia="宋体" w:cs="宋体"/>
                <w:sz w:val="24"/>
                <w:szCs w:val="24"/>
                <w:highlight w:val="none"/>
              </w:rPr>
            </w:pPr>
            <w:r>
              <w:rPr>
                <w:rFonts w:hint="eastAsia" w:ascii="宋体" w:hAnsi="宋体" w:eastAsia="宋体"/>
                <w:highlight w:val="none"/>
              </w:rPr>
              <w:t>-</w:t>
            </w:r>
          </w:p>
        </w:tc>
      </w:tr>
      <w:tr w14:paraId="23982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EE1392">
            <w:pPr>
              <w:jc w:val="center"/>
              <w:rPr>
                <w:rFonts w:ascii="宋体" w:hAnsi="宋体" w:eastAsia="宋体" w:cs="宋体"/>
                <w:sz w:val="24"/>
                <w:szCs w:val="24"/>
                <w:highlight w:val="none"/>
              </w:rPr>
            </w:pPr>
            <w:r>
              <w:rPr>
                <w:rFonts w:hint="eastAsia" w:ascii="宋体" w:hAnsi="宋体" w:eastAsia="宋体"/>
                <w:highlight w:val="none"/>
              </w:rPr>
              <w:t>6</w:t>
            </w:r>
          </w:p>
        </w:tc>
        <w:tc>
          <w:tcPr>
            <w:tcW w:w="0" w:type="auto"/>
            <w:shd w:val="clear" w:color="auto" w:fill="auto"/>
          </w:tcPr>
          <w:p w14:paraId="1ACAF3AB">
            <w:pPr>
              <w:rPr>
                <w:rFonts w:ascii="宋体" w:hAnsi="宋体" w:eastAsia="宋体" w:cs="宋体"/>
                <w:sz w:val="24"/>
                <w:szCs w:val="24"/>
                <w:highlight w:val="none"/>
              </w:rPr>
            </w:pPr>
            <w:r>
              <w:rPr>
                <w:rFonts w:hint="eastAsia" w:ascii="宋体" w:hAnsi="宋体" w:eastAsia="宋体"/>
                <w:highlight w:val="none"/>
              </w:rPr>
              <w:t>其他应收款</w:t>
            </w:r>
          </w:p>
        </w:tc>
        <w:tc>
          <w:tcPr>
            <w:tcW w:w="0" w:type="auto"/>
            <w:shd w:val="clear" w:color="auto" w:fill="auto"/>
          </w:tcPr>
          <w:p w14:paraId="34AD8CEF">
            <w:pPr>
              <w:jc w:val="right"/>
              <w:rPr>
                <w:rFonts w:ascii="宋体" w:hAnsi="宋体" w:eastAsia="宋体" w:cs="宋体"/>
                <w:sz w:val="24"/>
                <w:szCs w:val="24"/>
                <w:highlight w:val="none"/>
              </w:rPr>
            </w:pPr>
            <w:r>
              <w:rPr>
                <w:rFonts w:hint="eastAsia" w:ascii="宋体" w:hAnsi="宋体" w:eastAsia="宋体"/>
                <w:highlight w:val="none"/>
              </w:rPr>
              <w:t>-</w:t>
            </w:r>
          </w:p>
        </w:tc>
      </w:tr>
      <w:tr w14:paraId="77F08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BA0DCC">
            <w:pPr>
              <w:jc w:val="center"/>
              <w:rPr>
                <w:rFonts w:ascii="宋体" w:hAnsi="宋体" w:eastAsia="宋体" w:cs="宋体"/>
                <w:sz w:val="24"/>
                <w:szCs w:val="24"/>
                <w:highlight w:val="none"/>
              </w:rPr>
            </w:pPr>
            <w:r>
              <w:rPr>
                <w:rFonts w:hint="eastAsia" w:ascii="宋体" w:hAnsi="宋体" w:eastAsia="宋体"/>
                <w:highlight w:val="none"/>
              </w:rPr>
              <w:t>7</w:t>
            </w:r>
          </w:p>
        </w:tc>
        <w:tc>
          <w:tcPr>
            <w:tcW w:w="0" w:type="auto"/>
            <w:shd w:val="clear" w:color="auto" w:fill="auto"/>
          </w:tcPr>
          <w:p w14:paraId="4263CC55">
            <w:pPr>
              <w:rPr>
                <w:rFonts w:ascii="宋体" w:hAnsi="宋体" w:eastAsia="宋体" w:cs="宋体"/>
                <w:sz w:val="24"/>
                <w:szCs w:val="24"/>
                <w:highlight w:val="none"/>
              </w:rPr>
            </w:pPr>
            <w:r>
              <w:rPr>
                <w:rFonts w:hint="eastAsia" w:ascii="宋体" w:hAnsi="宋体" w:eastAsia="宋体"/>
                <w:highlight w:val="none"/>
              </w:rPr>
              <w:t>待摊费用</w:t>
            </w:r>
          </w:p>
        </w:tc>
        <w:tc>
          <w:tcPr>
            <w:tcW w:w="0" w:type="auto"/>
            <w:shd w:val="clear" w:color="auto" w:fill="auto"/>
          </w:tcPr>
          <w:p w14:paraId="252326F5">
            <w:pPr>
              <w:jc w:val="right"/>
              <w:rPr>
                <w:rFonts w:ascii="宋体" w:hAnsi="宋体" w:eastAsia="宋体" w:cs="宋体"/>
                <w:sz w:val="24"/>
                <w:szCs w:val="24"/>
                <w:highlight w:val="none"/>
              </w:rPr>
            </w:pPr>
            <w:r>
              <w:rPr>
                <w:rFonts w:hint="eastAsia" w:ascii="宋体" w:hAnsi="宋体" w:eastAsia="宋体"/>
                <w:highlight w:val="none"/>
              </w:rPr>
              <w:t>75,616.24</w:t>
            </w:r>
          </w:p>
        </w:tc>
      </w:tr>
      <w:tr w14:paraId="308B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C75CA1">
            <w:pPr>
              <w:jc w:val="center"/>
              <w:rPr>
                <w:rFonts w:ascii="宋体" w:hAnsi="宋体" w:eastAsia="宋体" w:cs="宋体"/>
                <w:sz w:val="24"/>
                <w:szCs w:val="24"/>
                <w:highlight w:val="none"/>
              </w:rPr>
            </w:pPr>
            <w:r>
              <w:rPr>
                <w:rFonts w:hint="eastAsia" w:ascii="宋体" w:hAnsi="宋体" w:eastAsia="宋体"/>
                <w:highlight w:val="none"/>
              </w:rPr>
              <w:t>8</w:t>
            </w:r>
          </w:p>
        </w:tc>
        <w:tc>
          <w:tcPr>
            <w:tcW w:w="0" w:type="auto"/>
            <w:shd w:val="clear" w:color="auto" w:fill="auto"/>
          </w:tcPr>
          <w:p w14:paraId="3DC06C74">
            <w:pPr>
              <w:rPr>
                <w:rFonts w:ascii="宋体" w:hAnsi="宋体" w:eastAsia="宋体" w:cs="宋体"/>
                <w:sz w:val="24"/>
                <w:szCs w:val="24"/>
                <w:highlight w:val="none"/>
              </w:rPr>
            </w:pPr>
            <w:r>
              <w:rPr>
                <w:rFonts w:hint="eastAsia" w:ascii="宋体" w:hAnsi="宋体" w:eastAsia="宋体"/>
                <w:highlight w:val="none"/>
              </w:rPr>
              <w:t>其他</w:t>
            </w:r>
          </w:p>
        </w:tc>
        <w:tc>
          <w:tcPr>
            <w:tcW w:w="0" w:type="auto"/>
            <w:shd w:val="clear" w:color="auto" w:fill="auto"/>
          </w:tcPr>
          <w:p w14:paraId="0E838D71">
            <w:pPr>
              <w:jc w:val="right"/>
              <w:rPr>
                <w:rFonts w:ascii="宋体" w:hAnsi="宋体" w:eastAsia="宋体" w:cs="宋体"/>
                <w:sz w:val="24"/>
                <w:szCs w:val="24"/>
                <w:highlight w:val="none"/>
              </w:rPr>
            </w:pPr>
            <w:r>
              <w:rPr>
                <w:rFonts w:hint="eastAsia" w:ascii="宋体" w:hAnsi="宋体" w:eastAsia="宋体"/>
                <w:highlight w:val="none"/>
              </w:rPr>
              <w:t>-</w:t>
            </w:r>
          </w:p>
        </w:tc>
      </w:tr>
      <w:tr w14:paraId="29742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0C109D3">
            <w:pPr>
              <w:jc w:val="center"/>
              <w:rPr>
                <w:rFonts w:ascii="宋体" w:hAnsi="宋体" w:eastAsia="宋体" w:cs="宋体"/>
                <w:sz w:val="24"/>
                <w:szCs w:val="24"/>
                <w:highlight w:val="none"/>
              </w:rPr>
            </w:pPr>
            <w:r>
              <w:rPr>
                <w:rFonts w:hint="eastAsia" w:ascii="宋体" w:hAnsi="宋体" w:eastAsia="宋体"/>
                <w:highlight w:val="none"/>
              </w:rPr>
              <w:t>9</w:t>
            </w:r>
          </w:p>
        </w:tc>
        <w:tc>
          <w:tcPr>
            <w:tcW w:w="0" w:type="auto"/>
            <w:shd w:val="clear" w:color="auto" w:fill="auto"/>
          </w:tcPr>
          <w:p w14:paraId="3D90F155">
            <w:pPr>
              <w:rPr>
                <w:rFonts w:ascii="宋体" w:hAnsi="宋体" w:eastAsia="宋体" w:cs="宋体"/>
                <w:sz w:val="24"/>
                <w:szCs w:val="24"/>
                <w:highlight w:val="none"/>
              </w:rPr>
            </w:pPr>
            <w:r>
              <w:rPr>
                <w:rFonts w:hint="eastAsia" w:ascii="宋体" w:hAnsi="宋体" w:eastAsia="宋体"/>
                <w:highlight w:val="none"/>
              </w:rPr>
              <w:t>合计</w:t>
            </w:r>
          </w:p>
        </w:tc>
        <w:tc>
          <w:tcPr>
            <w:tcW w:w="0" w:type="auto"/>
            <w:shd w:val="clear" w:color="auto" w:fill="auto"/>
          </w:tcPr>
          <w:p w14:paraId="20C39922">
            <w:pPr>
              <w:jc w:val="right"/>
              <w:rPr>
                <w:rFonts w:ascii="宋体" w:hAnsi="宋体" w:eastAsia="宋体" w:cs="宋体"/>
                <w:sz w:val="24"/>
                <w:szCs w:val="24"/>
                <w:highlight w:val="none"/>
              </w:rPr>
            </w:pPr>
            <w:r>
              <w:rPr>
                <w:rFonts w:hint="eastAsia" w:ascii="宋体" w:hAnsi="宋体" w:eastAsia="宋体"/>
                <w:highlight w:val="none"/>
              </w:rPr>
              <w:t>131,102,701.60</w:t>
            </w:r>
          </w:p>
        </w:tc>
      </w:tr>
    </w:tbl>
    <w:p w14:paraId="33A8577E">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11.4报告期末持有的处于转股期的可转换债券明细</w:t>
      </w:r>
    </w:p>
    <w:p w14:paraId="78B28B3C">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本基金本报告期末未持有处于转股期的可转换债券。</w:t>
      </w:r>
    </w:p>
    <w:p w14:paraId="7B05D3EF">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11.5报告期末前十名股票中存在流通受限情况的说明</w:t>
      </w:r>
    </w:p>
    <w:p w14:paraId="5241A454">
      <w:pPr>
        <w:pStyle w:val="8"/>
        <w:spacing w:before="0" w:beforeAutospacing="0" w:after="0" w:afterAutospacing="0" w:line="360" w:lineRule="auto"/>
        <w:ind w:firstLine="420"/>
        <w:rPr>
          <w:sz w:val="21"/>
          <w:szCs w:val="21"/>
          <w:highlight w:val="none"/>
        </w:rPr>
      </w:pPr>
      <w:r>
        <w:rPr>
          <w:rFonts w:hint="eastAsia"/>
          <w:sz w:val="21"/>
          <w:szCs w:val="21"/>
          <w:highlight w:val="none"/>
        </w:rPr>
        <w:t>本基金本报告期末前十名股票中不存在流通受限情况。</w:t>
      </w:r>
    </w:p>
    <w:p w14:paraId="45390744">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11.6投资组合报告附注的其他文字描述部分</w:t>
      </w:r>
    </w:p>
    <w:p w14:paraId="412B3E11">
      <w:pPr>
        <w:pStyle w:val="8"/>
        <w:spacing w:before="0" w:beforeAutospacing="0" w:after="0" w:afterAutospacing="0" w:line="360" w:lineRule="auto"/>
        <w:ind w:firstLine="420"/>
        <w:rPr>
          <w:sz w:val="21"/>
          <w:szCs w:val="21"/>
          <w:highlight w:val="none"/>
        </w:rPr>
      </w:pPr>
      <w:bookmarkStart w:id="122" w:name="chapter_level1_14_60_section_6_end"/>
      <w:bookmarkEnd w:id="122"/>
      <w:r>
        <w:rPr>
          <w:rFonts w:hint="eastAsia"/>
          <w:sz w:val="21"/>
          <w:szCs w:val="21"/>
          <w:highlight w:val="none"/>
        </w:rPr>
        <w:t>由于四舍五入的原因，分项之和与合计项之间可能存在尾差。</w:t>
      </w:r>
      <w:bookmarkStart w:id="123" w:name="field_0_fundportfolio_1_end"/>
      <w:bookmarkEnd w:id="123"/>
      <w:r>
        <w:rPr>
          <w:rFonts w:hint="eastAsia"/>
          <w:sz w:val="21"/>
          <w:szCs w:val="21"/>
          <w:highlight w:val="none"/>
        </w:rPr>
        <w:t xml:space="preserve">  </w:t>
      </w:r>
    </w:p>
    <w:p w14:paraId="73469457">
      <w:pPr>
        <w:widowControl/>
        <w:jc w:val="left"/>
        <w:rPr>
          <w:rFonts w:ascii="宋体" w:hAnsi="宋体" w:eastAsia="宋体"/>
          <w:highlight w:val="none"/>
        </w:rPr>
      </w:pPr>
      <w:r>
        <w:rPr>
          <w:rFonts w:ascii="宋体" w:hAnsi="宋体" w:eastAsia="宋体"/>
          <w:highlight w:val="none"/>
        </w:rPr>
        <w:br w:type="page"/>
      </w:r>
    </w:p>
    <w:p w14:paraId="2400F922">
      <w:pPr>
        <w:pStyle w:val="2"/>
        <w:jc w:val="center"/>
        <w:rPr>
          <w:rFonts w:ascii="宋体" w:hAnsi="宋体" w:eastAsia="宋体"/>
          <w:sz w:val="30"/>
          <w:highlight w:val="none"/>
        </w:rPr>
      </w:pPr>
      <w:bookmarkStart w:id="124" w:name="_Toc207933753"/>
      <w:bookmarkStart w:id="125" w:name="chapter_level1_15_3500"/>
      <w:r>
        <w:rPr>
          <w:rFonts w:hint="eastAsia" w:ascii="宋体" w:hAnsi="宋体" w:eastAsia="宋体"/>
          <w:sz w:val="30"/>
          <w:highlight w:val="none"/>
        </w:rPr>
        <w:t>第十二部分 基金的业绩</w:t>
      </w:r>
      <w:bookmarkEnd w:id="124"/>
      <w:bookmarkEnd w:id="125"/>
    </w:p>
    <w:p w14:paraId="2EB259A2">
      <w:pPr>
        <w:pStyle w:val="8"/>
        <w:spacing w:before="0" w:beforeAutospacing="0" w:after="0" w:afterAutospacing="0" w:line="360" w:lineRule="auto"/>
        <w:ind w:firstLine="420"/>
        <w:rPr>
          <w:sz w:val="21"/>
          <w:szCs w:val="21"/>
          <w:highlight w:val="none"/>
        </w:rPr>
      </w:pPr>
      <w:bookmarkStart w:id="126" w:name="chapter_level1_15_3500_section_1"/>
      <w:bookmarkEnd w:id="126"/>
      <w:r>
        <w:rPr>
          <w:rFonts w:hint="eastAsia"/>
          <w:sz w:val="21"/>
          <w:szCs w:val="21"/>
          <w:highlight w:val="none"/>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0820F7D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自基金合同生效开始，基金份额净值增长率及其与同期业绩比较基准收益率的比较 </w:t>
      </w:r>
    </w:p>
    <w:p w14:paraId="7D1C172A">
      <w:pPr>
        <w:pStyle w:val="8"/>
        <w:spacing w:before="0" w:beforeAutospacing="0" w:after="0" w:afterAutospacing="0" w:line="360" w:lineRule="auto"/>
        <w:ind w:firstLine="420"/>
        <w:rPr>
          <w:sz w:val="21"/>
          <w:szCs w:val="21"/>
          <w:highlight w:val="none"/>
        </w:rPr>
      </w:pPr>
      <w:bookmarkStart w:id="127" w:name="field_0_indatatable_1_start"/>
      <w:bookmarkEnd w:id="127"/>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1048"/>
        <w:gridCol w:w="996"/>
        <w:gridCol w:w="1206"/>
        <w:gridCol w:w="1153"/>
        <w:gridCol w:w="846"/>
        <w:gridCol w:w="846"/>
      </w:tblGrid>
      <w:tr w14:paraId="2DA82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4BDEF6E">
            <w:pPr>
              <w:jc w:val="center"/>
              <w:rPr>
                <w:rFonts w:ascii="宋体" w:hAnsi="宋体" w:eastAsia="宋体" w:cs="宋体"/>
                <w:sz w:val="24"/>
                <w:szCs w:val="24"/>
                <w:highlight w:val="none"/>
              </w:rPr>
            </w:pPr>
            <w:r>
              <w:rPr>
                <w:rFonts w:hint="eastAsia" w:ascii="宋体" w:hAnsi="宋体" w:eastAsia="宋体"/>
                <w:highlight w:val="none"/>
              </w:rPr>
              <w:t>期间</w:t>
            </w:r>
          </w:p>
        </w:tc>
        <w:tc>
          <w:tcPr>
            <w:tcW w:w="0" w:type="auto"/>
            <w:shd w:val="clear" w:color="auto" w:fill="auto"/>
          </w:tcPr>
          <w:p w14:paraId="799BC7C7">
            <w:pPr>
              <w:jc w:val="center"/>
              <w:rPr>
                <w:rFonts w:ascii="宋体" w:hAnsi="宋体" w:eastAsia="宋体" w:cs="宋体"/>
                <w:sz w:val="24"/>
                <w:szCs w:val="24"/>
                <w:highlight w:val="none"/>
              </w:rPr>
            </w:pPr>
            <w:r>
              <w:rPr>
                <w:rFonts w:hint="eastAsia" w:ascii="宋体" w:hAnsi="宋体" w:eastAsia="宋体"/>
                <w:highlight w:val="none"/>
              </w:rPr>
              <w:t>①净值增长率</w:t>
            </w:r>
          </w:p>
        </w:tc>
        <w:tc>
          <w:tcPr>
            <w:tcW w:w="0" w:type="auto"/>
            <w:shd w:val="clear" w:color="auto" w:fill="auto"/>
          </w:tcPr>
          <w:p w14:paraId="2EF60D0F">
            <w:pPr>
              <w:jc w:val="center"/>
              <w:rPr>
                <w:rFonts w:ascii="宋体" w:hAnsi="宋体" w:eastAsia="宋体" w:cs="宋体"/>
                <w:sz w:val="24"/>
                <w:szCs w:val="24"/>
                <w:highlight w:val="none"/>
              </w:rPr>
            </w:pPr>
            <w:r>
              <w:rPr>
                <w:rFonts w:hint="eastAsia" w:ascii="宋体" w:hAnsi="宋体" w:eastAsia="宋体"/>
                <w:highlight w:val="none"/>
              </w:rPr>
              <w:t>②净值增长率标准差</w:t>
            </w:r>
          </w:p>
        </w:tc>
        <w:tc>
          <w:tcPr>
            <w:tcW w:w="0" w:type="auto"/>
            <w:shd w:val="clear" w:color="auto" w:fill="auto"/>
          </w:tcPr>
          <w:p w14:paraId="76515E3A">
            <w:pPr>
              <w:jc w:val="center"/>
              <w:rPr>
                <w:rFonts w:ascii="宋体" w:hAnsi="宋体" w:eastAsia="宋体" w:cs="宋体"/>
                <w:sz w:val="24"/>
                <w:szCs w:val="24"/>
                <w:highlight w:val="none"/>
              </w:rPr>
            </w:pPr>
            <w:r>
              <w:rPr>
                <w:rFonts w:hint="eastAsia" w:ascii="宋体" w:hAnsi="宋体" w:eastAsia="宋体"/>
                <w:highlight w:val="none"/>
              </w:rPr>
              <w:t>③业绩比较基准收益率</w:t>
            </w:r>
          </w:p>
        </w:tc>
        <w:tc>
          <w:tcPr>
            <w:tcW w:w="0" w:type="auto"/>
            <w:shd w:val="clear" w:color="auto" w:fill="auto"/>
          </w:tcPr>
          <w:p w14:paraId="10398B2A">
            <w:pPr>
              <w:jc w:val="center"/>
              <w:rPr>
                <w:rFonts w:ascii="宋体" w:hAnsi="宋体" w:eastAsia="宋体" w:cs="宋体"/>
                <w:sz w:val="24"/>
                <w:szCs w:val="24"/>
                <w:highlight w:val="none"/>
              </w:rPr>
            </w:pPr>
            <w:r>
              <w:rPr>
                <w:rFonts w:hint="eastAsia" w:ascii="宋体" w:hAnsi="宋体" w:eastAsia="宋体"/>
                <w:highlight w:val="none"/>
              </w:rPr>
              <w:t>④业绩比较基准收益率标准差</w:t>
            </w:r>
          </w:p>
        </w:tc>
        <w:tc>
          <w:tcPr>
            <w:tcW w:w="0" w:type="auto"/>
            <w:shd w:val="clear" w:color="auto" w:fill="auto"/>
          </w:tcPr>
          <w:p w14:paraId="4E9BDFD7">
            <w:pPr>
              <w:jc w:val="center"/>
              <w:rPr>
                <w:rFonts w:ascii="宋体" w:hAnsi="宋体" w:eastAsia="宋体" w:cs="宋体"/>
                <w:sz w:val="24"/>
                <w:szCs w:val="24"/>
                <w:highlight w:val="none"/>
              </w:rPr>
            </w:pPr>
            <w:r>
              <w:rPr>
                <w:rFonts w:hint="eastAsia" w:ascii="宋体" w:hAnsi="宋体" w:eastAsia="宋体"/>
                <w:highlight w:val="none"/>
              </w:rPr>
              <w:t>①-③</w:t>
            </w:r>
          </w:p>
        </w:tc>
        <w:tc>
          <w:tcPr>
            <w:tcW w:w="0" w:type="auto"/>
            <w:shd w:val="clear" w:color="auto" w:fill="auto"/>
          </w:tcPr>
          <w:p w14:paraId="2230AC6F">
            <w:pPr>
              <w:jc w:val="center"/>
              <w:rPr>
                <w:rFonts w:ascii="宋体" w:hAnsi="宋体" w:eastAsia="宋体" w:cs="宋体"/>
                <w:sz w:val="24"/>
                <w:szCs w:val="24"/>
                <w:highlight w:val="none"/>
              </w:rPr>
            </w:pPr>
            <w:r>
              <w:rPr>
                <w:rFonts w:hint="eastAsia" w:ascii="宋体" w:hAnsi="宋体" w:eastAsia="宋体"/>
                <w:highlight w:val="none"/>
              </w:rPr>
              <w:t>②-④</w:t>
            </w:r>
          </w:p>
        </w:tc>
      </w:tr>
      <w:tr w14:paraId="299B1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0A87A4">
            <w:pPr>
              <w:jc w:val="center"/>
              <w:rPr>
                <w:rFonts w:ascii="宋体" w:hAnsi="宋体" w:eastAsia="宋体" w:cs="宋体"/>
                <w:sz w:val="24"/>
                <w:szCs w:val="24"/>
                <w:highlight w:val="none"/>
              </w:rPr>
            </w:pPr>
            <w:r>
              <w:rPr>
                <w:rFonts w:hint="eastAsia" w:ascii="宋体" w:hAnsi="宋体" w:eastAsia="宋体"/>
                <w:highlight w:val="none"/>
              </w:rPr>
              <w:t>2021.05.11-2021.12.31</w:t>
            </w:r>
          </w:p>
        </w:tc>
        <w:tc>
          <w:tcPr>
            <w:tcW w:w="0" w:type="auto"/>
            <w:shd w:val="clear" w:color="auto" w:fill="auto"/>
          </w:tcPr>
          <w:p w14:paraId="6A5EC976">
            <w:pPr>
              <w:jc w:val="center"/>
              <w:rPr>
                <w:rFonts w:ascii="宋体" w:hAnsi="宋体" w:eastAsia="宋体" w:cs="宋体"/>
                <w:sz w:val="24"/>
                <w:szCs w:val="24"/>
                <w:highlight w:val="none"/>
              </w:rPr>
            </w:pPr>
            <w:r>
              <w:rPr>
                <w:rFonts w:hint="eastAsia" w:ascii="宋体" w:hAnsi="宋体" w:eastAsia="宋体"/>
                <w:highlight w:val="none"/>
              </w:rPr>
              <w:t>-14.53%</w:t>
            </w:r>
          </w:p>
        </w:tc>
        <w:tc>
          <w:tcPr>
            <w:tcW w:w="0" w:type="auto"/>
            <w:shd w:val="clear" w:color="auto" w:fill="auto"/>
          </w:tcPr>
          <w:p w14:paraId="389B076B">
            <w:pPr>
              <w:jc w:val="center"/>
              <w:rPr>
                <w:rFonts w:ascii="宋体" w:hAnsi="宋体" w:eastAsia="宋体" w:cs="宋体"/>
                <w:sz w:val="24"/>
                <w:szCs w:val="24"/>
                <w:highlight w:val="none"/>
              </w:rPr>
            </w:pPr>
            <w:r>
              <w:rPr>
                <w:rFonts w:hint="eastAsia" w:ascii="宋体" w:hAnsi="宋体" w:eastAsia="宋体"/>
                <w:highlight w:val="none"/>
              </w:rPr>
              <w:t>1.00%</w:t>
            </w:r>
          </w:p>
        </w:tc>
        <w:tc>
          <w:tcPr>
            <w:tcW w:w="0" w:type="auto"/>
            <w:shd w:val="clear" w:color="auto" w:fill="auto"/>
          </w:tcPr>
          <w:p w14:paraId="66EBBA4A">
            <w:pPr>
              <w:jc w:val="center"/>
              <w:rPr>
                <w:rFonts w:ascii="宋体" w:hAnsi="宋体" w:eastAsia="宋体" w:cs="宋体"/>
                <w:sz w:val="24"/>
                <w:szCs w:val="24"/>
                <w:highlight w:val="none"/>
              </w:rPr>
            </w:pPr>
            <w:r>
              <w:rPr>
                <w:rFonts w:hint="eastAsia" w:ascii="宋体" w:hAnsi="宋体" w:eastAsia="宋体"/>
                <w:highlight w:val="none"/>
              </w:rPr>
              <w:t>-22.19%</w:t>
            </w:r>
          </w:p>
        </w:tc>
        <w:tc>
          <w:tcPr>
            <w:tcW w:w="0" w:type="auto"/>
            <w:shd w:val="clear" w:color="auto" w:fill="auto"/>
          </w:tcPr>
          <w:p w14:paraId="76CED910">
            <w:pPr>
              <w:jc w:val="center"/>
              <w:rPr>
                <w:rFonts w:ascii="宋体" w:hAnsi="宋体" w:eastAsia="宋体" w:cs="宋体"/>
                <w:sz w:val="24"/>
                <w:szCs w:val="24"/>
                <w:highlight w:val="none"/>
              </w:rPr>
            </w:pPr>
            <w:r>
              <w:rPr>
                <w:rFonts w:hint="eastAsia" w:ascii="宋体" w:hAnsi="宋体" w:eastAsia="宋体"/>
                <w:highlight w:val="none"/>
              </w:rPr>
              <w:t>1.08%</w:t>
            </w:r>
          </w:p>
        </w:tc>
        <w:tc>
          <w:tcPr>
            <w:tcW w:w="0" w:type="auto"/>
            <w:shd w:val="clear" w:color="auto" w:fill="auto"/>
          </w:tcPr>
          <w:p w14:paraId="0F791C5D">
            <w:pPr>
              <w:jc w:val="center"/>
              <w:rPr>
                <w:rFonts w:ascii="宋体" w:hAnsi="宋体" w:eastAsia="宋体" w:cs="宋体"/>
                <w:sz w:val="24"/>
                <w:szCs w:val="24"/>
                <w:highlight w:val="none"/>
              </w:rPr>
            </w:pPr>
            <w:r>
              <w:rPr>
                <w:rFonts w:hint="eastAsia" w:ascii="宋体" w:hAnsi="宋体" w:eastAsia="宋体"/>
                <w:highlight w:val="none"/>
              </w:rPr>
              <w:t>7.66%</w:t>
            </w:r>
          </w:p>
        </w:tc>
        <w:tc>
          <w:tcPr>
            <w:tcW w:w="0" w:type="auto"/>
            <w:shd w:val="clear" w:color="auto" w:fill="auto"/>
          </w:tcPr>
          <w:p w14:paraId="5C75AA26">
            <w:pPr>
              <w:jc w:val="center"/>
              <w:rPr>
                <w:rFonts w:ascii="宋体" w:hAnsi="宋体" w:eastAsia="宋体" w:cs="宋体"/>
                <w:sz w:val="24"/>
                <w:szCs w:val="24"/>
                <w:highlight w:val="none"/>
              </w:rPr>
            </w:pPr>
            <w:r>
              <w:rPr>
                <w:rFonts w:hint="eastAsia" w:ascii="宋体" w:hAnsi="宋体" w:eastAsia="宋体"/>
                <w:highlight w:val="none"/>
              </w:rPr>
              <w:t>-0.08%</w:t>
            </w:r>
          </w:p>
        </w:tc>
      </w:tr>
      <w:tr w14:paraId="38770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886830">
            <w:pPr>
              <w:jc w:val="center"/>
              <w:rPr>
                <w:rFonts w:ascii="宋体" w:hAnsi="宋体" w:eastAsia="宋体" w:cs="宋体"/>
                <w:sz w:val="24"/>
                <w:szCs w:val="24"/>
                <w:highlight w:val="none"/>
              </w:rPr>
            </w:pPr>
            <w:r>
              <w:rPr>
                <w:rFonts w:hint="eastAsia" w:ascii="宋体" w:hAnsi="宋体" w:eastAsia="宋体"/>
                <w:highlight w:val="none"/>
              </w:rPr>
              <w:t>2022.01.01-2022.12.31</w:t>
            </w:r>
          </w:p>
        </w:tc>
        <w:tc>
          <w:tcPr>
            <w:tcW w:w="0" w:type="auto"/>
            <w:shd w:val="clear" w:color="auto" w:fill="auto"/>
          </w:tcPr>
          <w:p w14:paraId="6CF376BF">
            <w:pPr>
              <w:jc w:val="center"/>
              <w:rPr>
                <w:rFonts w:ascii="宋体" w:hAnsi="宋体" w:eastAsia="宋体" w:cs="宋体"/>
                <w:sz w:val="24"/>
                <w:szCs w:val="24"/>
                <w:highlight w:val="none"/>
              </w:rPr>
            </w:pPr>
            <w:r>
              <w:rPr>
                <w:rFonts w:hint="eastAsia" w:ascii="宋体" w:hAnsi="宋体" w:eastAsia="宋体"/>
                <w:highlight w:val="none"/>
              </w:rPr>
              <w:t>-11.46%</w:t>
            </w:r>
          </w:p>
        </w:tc>
        <w:tc>
          <w:tcPr>
            <w:tcW w:w="0" w:type="auto"/>
            <w:shd w:val="clear" w:color="auto" w:fill="auto"/>
          </w:tcPr>
          <w:p w14:paraId="2870BB5F">
            <w:pPr>
              <w:jc w:val="center"/>
              <w:rPr>
                <w:rFonts w:ascii="宋体" w:hAnsi="宋体" w:eastAsia="宋体" w:cs="宋体"/>
                <w:sz w:val="24"/>
                <w:szCs w:val="24"/>
                <w:highlight w:val="none"/>
              </w:rPr>
            </w:pPr>
            <w:r>
              <w:rPr>
                <w:rFonts w:hint="eastAsia" w:ascii="宋体" w:hAnsi="宋体" w:eastAsia="宋体"/>
                <w:highlight w:val="none"/>
              </w:rPr>
              <w:t>1.86%</w:t>
            </w:r>
          </w:p>
        </w:tc>
        <w:tc>
          <w:tcPr>
            <w:tcW w:w="0" w:type="auto"/>
            <w:shd w:val="clear" w:color="auto" w:fill="auto"/>
          </w:tcPr>
          <w:p w14:paraId="1F41B4A6">
            <w:pPr>
              <w:jc w:val="center"/>
              <w:rPr>
                <w:rFonts w:ascii="宋体" w:hAnsi="宋体" w:eastAsia="宋体" w:cs="宋体"/>
                <w:sz w:val="24"/>
                <w:szCs w:val="24"/>
                <w:highlight w:val="none"/>
              </w:rPr>
            </w:pPr>
            <w:r>
              <w:rPr>
                <w:rFonts w:hint="eastAsia" w:ascii="宋体" w:hAnsi="宋体" w:eastAsia="宋体"/>
                <w:highlight w:val="none"/>
              </w:rPr>
              <w:t>-23.08%</w:t>
            </w:r>
          </w:p>
        </w:tc>
        <w:tc>
          <w:tcPr>
            <w:tcW w:w="0" w:type="auto"/>
            <w:shd w:val="clear" w:color="auto" w:fill="auto"/>
          </w:tcPr>
          <w:p w14:paraId="34F4B98F">
            <w:pPr>
              <w:jc w:val="center"/>
              <w:rPr>
                <w:rFonts w:ascii="宋体" w:hAnsi="宋体" w:eastAsia="宋体" w:cs="宋体"/>
                <w:sz w:val="24"/>
                <w:szCs w:val="24"/>
                <w:highlight w:val="none"/>
              </w:rPr>
            </w:pPr>
            <w:r>
              <w:rPr>
                <w:rFonts w:hint="eastAsia" w:ascii="宋体" w:hAnsi="宋体" w:eastAsia="宋体"/>
                <w:highlight w:val="none"/>
              </w:rPr>
              <w:t>2.01%</w:t>
            </w:r>
          </w:p>
        </w:tc>
        <w:tc>
          <w:tcPr>
            <w:tcW w:w="0" w:type="auto"/>
            <w:shd w:val="clear" w:color="auto" w:fill="auto"/>
          </w:tcPr>
          <w:p w14:paraId="0768128E">
            <w:pPr>
              <w:jc w:val="center"/>
              <w:rPr>
                <w:rFonts w:ascii="宋体" w:hAnsi="宋体" w:eastAsia="宋体" w:cs="宋体"/>
                <w:sz w:val="24"/>
                <w:szCs w:val="24"/>
                <w:highlight w:val="none"/>
              </w:rPr>
            </w:pPr>
            <w:r>
              <w:rPr>
                <w:rFonts w:hint="eastAsia" w:ascii="宋体" w:hAnsi="宋体" w:eastAsia="宋体"/>
                <w:highlight w:val="none"/>
              </w:rPr>
              <w:t>11.62%</w:t>
            </w:r>
          </w:p>
        </w:tc>
        <w:tc>
          <w:tcPr>
            <w:tcW w:w="0" w:type="auto"/>
            <w:shd w:val="clear" w:color="auto" w:fill="auto"/>
          </w:tcPr>
          <w:p w14:paraId="19ABC158">
            <w:pPr>
              <w:jc w:val="center"/>
              <w:rPr>
                <w:rFonts w:ascii="宋体" w:hAnsi="宋体" w:eastAsia="宋体" w:cs="宋体"/>
                <w:sz w:val="24"/>
                <w:szCs w:val="24"/>
                <w:highlight w:val="none"/>
              </w:rPr>
            </w:pPr>
            <w:r>
              <w:rPr>
                <w:rFonts w:hint="eastAsia" w:ascii="宋体" w:hAnsi="宋体" w:eastAsia="宋体"/>
                <w:highlight w:val="none"/>
              </w:rPr>
              <w:t>-0.15%</w:t>
            </w:r>
          </w:p>
        </w:tc>
      </w:tr>
      <w:tr w14:paraId="1C467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0B87AC">
            <w:pPr>
              <w:jc w:val="center"/>
              <w:rPr>
                <w:rFonts w:ascii="宋体" w:hAnsi="宋体" w:eastAsia="宋体" w:cs="宋体"/>
                <w:sz w:val="24"/>
                <w:szCs w:val="24"/>
                <w:highlight w:val="none"/>
              </w:rPr>
            </w:pPr>
            <w:r>
              <w:rPr>
                <w:rFonts w:hint="eastAsia" w:ascii="宋体" w:hAnsi="宋体" w:eastAsia="宋体"/>
                <w:highlight w:val="none"/>
              </w:rPr>
              <w:t>2023.01.01-2023.12.31</w:t>
            </w:r>
          </w:p>
        </w:tc>
        <w:tc>
          <w:tcPr>
            <w:tcW w:w="0" w:type="auto"/>
            <w:shd w:val="clear" w:color="auto" w:fill="auto"/>
          </w:tcPr>
          <w:p w14:paraId="6EF88083">
            <w:pPr>
              <w:jc w:val="center"/>
              <w:rPr>
                <w:rFonts w:ascii="宋体" w:hAnsi="宋体" w:eastAsia="宋体" w:cs="宋体"/>
                <w:sz w:val="24"/>
                <w:szCs w:val="24"/>
                <w:highlight w:val="none"/>
              </w:rPr>
            </w:pPr>
            <w:r>
              <w:rPr>
                <w:rFonts w:hint="eastAsia" w:ascii="宋体" w:hAnsi="宋体" w:eastAsia="宋体"/>
                <w:highlight w:val="none"/>
              </w:rPr>
              <w:t>-1.38%</w:t>
            </w:r>
          </w:p>
        </w:tc>
        <w:tc>
          <w:tcPr>
            <w:tcW w:w="0" w:type="auto"/>
            <w:shd w:val="clear" w:color="auto" w:fill="auto"/>
          </w:tcPr>
          <w:p w14:paraId="081612C2">
            <w:pPr>
              <w:jc w:val="center"/>
              <w:rPr>
                <w:rFonts w:ascii="宋体" w:hAnsi="宋体" w:eastAsia="宋体" w:cs="宋体"/>
                <w:sz w:val="24"/>
                <w:szCs w:val="24"/>
                <w:highlight w:val="none"/>
              </w:rPr>
            </w:pPr>
            <w:r>
              <w:rPr>
                <w:rFonts w:hint="eastAsia" w:ascii="宋体" w:hAnsi="宋体" w:eastAsia="宋体"/>
                <w:highlight w:val="none"/>
              </w:rPr>
              <w:t>1.02%</w:t>
            </w:r>
          </w:p>
        </w:tc>
        <w:tc>
          <w:tcPr>
            <w:tcW w:w="0" w:type="auto"/>
            <w:shd w:val="clear" w:color="auto" w:fill="auto"/>
          </w:tcPr>
          <w:p w14:paraId="4C37BD59">
            <w:pPr>
              <w:jc w:val="center"/>
              <w:rPr>
                <w:rFonts w:ascii="宋体" w:hAnsi="宋体" w:eastAsia="宋体" w:cs="宋体"/>
                <w:sz w:val="24"/>
                <w:szCs w:val="24"/>
                <w:highlight w:val="none"/>
              </w:rPr>
            </w:pPr>
            <w:r>
              <w:rPr>
                <w:rFonts w:hint="eastAsia" w:ascii="宋体" w:hAnsi="宋体" w:eastAsia="宋体"/>
                <w:highlight w:val="none"/>
              </w:rPr>
              <w:t>-7.20%</w:t>
            </w:r>
          </w:p>
        </w:tc>
        <w:tc>
          <w:tcPr>
            <w:tcW w:w="0" w:type="auto"/>
            <w:shd w:val="clear" w:color="auto" w:fill="auto"/>
          </w:tcPr>
          <w:p w14:paraId="4FDA48FF">
            <w:pPr>
              <w:jc w:val="center"/>
              <w:rPr>
                <w:rFonts w:ascii="宋体" w:hAnsi="宋体" w:eastAsia="宋体" w:cs="宋体"/>
                <w:sz w:val="24"/>
                <w:szCs w:val="24"/>
                <w:highlight w:val="none"/>
              </w:rPr>
            </w:pPr>
            <w:r>
              <w:rPr>
                <w:rFonts w:hint="eastAsia" w:ascii="宋体" w:hAnsi="宋体" w:eastAsia="宋体"/>
                <w:highlight w:val="none"/>
              </w:rPr>
              <w:t>1.06%</w:t>
            </w:r>
          </w:p>
        </w:tc>
        <w:tc>
          <w:tcPr>
            <w:tcW w:w="0" w:type="auto"/>
            <w:shd w:val="clear" w:color="auto" w:fill="auto"/>
          </w:tcPr>
          <w:p w14:paraId="0AB0BD31">
            <w:pPr>
              <w:jc w:val="center"/>
              <w:rPr>
                <w:rFonts w:ascii="宋体" w:hAnsi="宋体" w:eastAsia="宋体" w:cs="宋体"/>
                <w:sz w:val="24"/>
                <w:szCs w:val="24"/>
                <w:highlight w:val="none"/>
              </w:rPr>
            </w:pPr>
            <w:r>
              <w:rPr>
                <w:rFonts w:hint="eastAsia" w:ascii="宋体" w:hAnsi="宋体" w:eastAsia="宋体"/>
                <w:highlight w:val="none"/>
              </w:rPr>
              <w:t>5.82%</w:t>
            </w:r>
          </w:p>
        </w:tc>
        <w:tc>
          <w:tcPr>
            <w:tcW w:w="0" w:type="auto"/>
            <w:shd w:val="clear" w:color="auto" w:fill="auto"/>
          </w:tcPr>
          <w:p w14:paraId="2F222F33">
            <w:pPr>
              <w:jc w:val="center"/>
              <w:rPr>
                <w:rFonts w:ascii="宋体" w:hAnsi="宋体" w:eastAsia="宋体" w:cs="宋体"/>
                <w:sz w:val="24"/>
                <w:szCs w:val="24"/>
                <w:highlight w:val="none"/>
              </w:rPr>
            </w:pPr>
            <w:r>
              <w:rPr>
                <w:rFonts w:hint="eastAsia" w:ascii="宋体" w:hAnsi="宋体" w:eastAsia="宋体"/>
                <w:highlight w:val="none"/>
              </w:rPr>
              <w:t>-0.04%</w:t>
            </w:r>
          </w:p>
        </w:tc>
      </w:tr>
      <w:tr w14:paraId="1943D3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925185">
            <w:pPr>
              <w:jc w:val="center"/>
              <w:rPr>
                <w:rFonts w:ascii="宋体" w:hAnsi="宋体" w:eastAsia="宋体" w:cs="宋体"/>
                <w:sz w:val="24"/>
                <w:szCs w:val="24"/>
                <w:highlight w:val="none"/>
              </w:rPr>
            </w:pPr>
            <w:r>
              <w:rPr>
                <w:rFonts w:hint="eastAsia" w:ascii="宋体" w:hAnsi="宋体" w:eastAsia="宋体"/>
                <w:highlight w:val="none"/>
              </w:rPr>
              <w:t>2024.01.01-2024.12.31</w:t>
            </w:r>
          </w:p>
        </w:tc>
        <w:tc>
          <w:tcPr>
            <w:tcW w:w="0" w:type="auto"/>
            <w:shd w:val="clear" w:color="auto" w:fill="auto"/>
          </w:tcPr>
          <w:p w14:paraId="00B7AB4A">
            <w:pPr>
              <w:jc w:val="center"/>
              <w:rPr>
                <w:rFonts w:ascii="宋体" w:hAnsi="宋体" w:eastAsia="宋体" w:cs="宋体"/>
                <w:sz w:val="24"/>
                <w:szCs w:val="24"/>
                <w:highlight w:val="none"/>
              </w:rPr>
            </w:pPr>
            <w:r>
              <w:rPr>
                <w:rFonts w:hint="eastAsia" w:ascii="宋体" w:hAnsi="宋体" w:eastAsia="宋体"/>
                <w:highlight w:val="none"/>
              </w:rPr>
              <w:t>23.19%</w:t>
            </w:r>
          </w:p>
        </w:tc>
        <w:tc>
          <w:tcPr>
            <w:tcW w:w="0" w:type="auto"/>
            <w:shd w:val="clear" w:color="auto" w:fill="auto"/>
          </w:tcPr>
          <w:p w14:paraId="12F4D9C9">
            <w:pPr>
              <w:jc w:val="center"/>
              <w:rPr>
                <w:rFonts w:ascii="宋体" w:hAnsi="宋体" w:eastAsia="宋体" w:cs="宋体"/>
                <w:sz w:val="24"/>
                <w:szCs w:val="24"/>
                <w:highlight w:val="none"/>
              </w:rPr>
            </w:pPr>
            <w:r>
              <w:rPr>
                <w:rFonts w:hint="eastAsia" w:ascii="宋体" w:hAnsi="宋体" w:eastAsia="宋体"/>
                <w:highlight w:val="none"/>
              </w:rPr>
              <w:t>1.25%</w:t>
            </w:r>
          </w:p>
        </w:tc>
        <w:tc>
          <w:tcPr>
            <w:tcW w:w="0" w:type="auto"/>
            <w:shd w:val="clear" w:color="auto" w:fill="auto"/>
          </w:tcPr>
          <w:p w14:paraId="4A320C68">
            <w:pPr>
              <w:jc w:val="center"/>
              <w:rPr>
                <w:rFonts w:ascii="宋体" w:hAnsi="宋体" w:eastAsia="宋体" w:cs="宋体"/>
                <w:sz w:val="24"/>
                <w:szCs w:val="24"/>
                <w:highlight w:val="none"/>
              </w:rPr>
            </w:pPr>
            <w:r>
              <w:rPr>
                <w:rFonts w:hint="eastAsia" w:ascii="宋体" w:hAnsi="宋体" w:eastAsia="宋体"/>
                <w:highlight w:val="none"/>
              </w:rPr>
              <w:t>17.96%</w:t>
            </w:r>
          </w:p>
        </w:tc>
        <w:tc>
          <w:tcPr>
            <w:tcW w:w="0" w:type="auto"/>
            <w:shd w:val="clear" w:color="auto" w:fill="auto"/>
          </w:tcPr>
          <w:p w14:paraId="193EDF39">
            <w:pPr>
              <w:jc w:val="center"/>
              <w:rPr>
                <w:rFonts w:ascii="宋体" w:hAnsi="宋体" w:eastAsia="宋体" w:cs="宋体"/>
                <w:sz w:val="24"/>
                <w:szCs w:val="24"/>
                <w:highlight w:val="none"/>
              </w:rPr>
            </w:pPr>
            <w:r>
              <w:rPr>
                <w:rFonts w:hint="eastAsia" w:ascii="宋体" w:hAnsi="宋体" w:eastAsia="宋体"/>
                <w:highlight w:val="none"/>
              </w:rPr>
              <w:t>1.28%</w:t>
            </w:r>
          </w:p>
        </w:tc>
        <w:tc>
          <w:tcPr>
            <w:tcW w:w="0" w:type="auto"/>
            <w:shd w:val="clear" w:color="auto" w:fill="auto"/>
          </w:tcPr>
          <w:p w14:paraId="3B2E4413">
            <w:pPr>
              <w:jc w:val="center"/>
              <w:rPr>
                <w:rFonts w:ascii="宋体" w:hAnsi="宋体" w:eastAsia="宋体" w:cs="宋体"/>
                <w:sz w:val="24"/>
                <w:szCs w:val="24"/>
                <w:highlight w:val="none"/>
              </w:rPr>
            </w:pPr>
            <w:r>
              <w:rPr>
                <w:rFonts w:hint="eastAsia" w:ascii="宋体" w:hAnsi="宋体" w:eastAsia="宋体"/>
                <w:highlight w:val="none"/>
              </w:rPr>
              <w:t>5.23%</w:t>
            </w:r>
          </w:p>
        </w:tc>
        <w:tc>
          <w:tcPr>
            <w:tcW w:w="0" w:type="auto"/>
            <w:shd w:val="clear" w:color="auto" w:fill="auto"/>
          </w:tcPr>
          <w:p w14:paraId="41F15D4E">
            <w:pPr>
              <w:jc w:val="center"/>
              <w:rPr>
                <w:rFonts w:ascii="宋体" w:hAnsi="宋体" w:eastAsia="宋体" w:cs="宋体"/>
                <w:sz w:val="24"/>
                <w:szCs w:val="24"/>
                <w:highlight w:val="none"/>
              </w:rPr>
            </w:pPr>
            <w:r>
              <w:rPr>
                <w:rFonts w:hint="eastAsia" w:ascii="宋体" w:hAnsi="宋体" w:eastAsia="宋体"/>
                <w:highlight w:val="none"/>
              </w:rPr>
              <w:t>-0.03%</w:t>
            </w:r>
          </w:p>
        </w:tc>
      </w:tr>
      <w:tr w14:paraId="442A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30C15C">
            <w:pPr>
              <w:jc w:val="center"/>
              <w:rPr>
                <w:rFonts w:ascii="宋体" w:hAnsi="宋体" w:eastAsia="宋体" w:cs="宋体"/>
                <w:sz w:val="24"/>
                <w:szCs w:val="24"/>
                <w:highlight w:val="none"/>
              </w:rPr>
            </w:pPr>
            <w:r>
              <w:rPr>
                <w:rFonts w:hint="eastAsia" w:ascii="宋体" w:hAnsi="宋体" w:eastAsia="宋体"/>
                <w:highlight w:val="none"/>
              </w:rPr>
              <w:t>2025.01.01-2025.06.30</w:t>
            </w:r>
          </w:p>
        </w:tc>
        <w:tc>
          <w:tcPr>
            <w:tcW w:w="0" w:type="auto"/>
            <w:shd w:val="clear" w:color="auto" w:fill="auto"/>
          </w:tcPr>
          <w:p w14:paraId="2D989DB3">
            <w:pPr>
              <w:jc w:val="center"/>
              <w:rPr>
                <w:rFonts w:ascii="宋体" w:hAnsi="宋体" w:eastAsia="宋体" w:cs="宋体"/>
                <w:sz w:val="24"/>
                <w:szCs w:val="24"/>
                <w:highlight w:val="none"/>
              </w:rPr>
            </w:pPr>
            <w:r>
              <w:rPr>
                <w:rFonts w:hint="eastAsia" w:ascii="宋体" w:hAnsi="宋体" w:eastAsia="宋体"/>
                <w:highlight w:val="none"/>
              </w:rPr>
              <w:t>14.24%</w:t>
            </w:r>
          </w:p>
        </w:tc>
        <w:tc>
          <w:tcPr>
            <w:tcW w:w="0" w:type="auto"/>
            <w:shd w:val="clear" w:color="auto" w:fill="auto"/>
          </w:tcPr>
          <w:p w14:paraId="03B370C5">
            <w:pPr>
              <w:jc w:val="center"/>
              <w:rPr>
                <w:rFonts w:ascii="宋体" w:hAnsi="宋体" w:eastAsia="宋体" w:cs="宋体"/>
                <w:sz w:val="24"/>
                <w:szCs w:val="24"/>
                <w:highlight w:val="none"/>
              </w:rPr>
            </w:pPr>
            <w:r>
              <w:rPr>
                <w:rFonts w:hint="eastAsia" w:ascii="宋体" w:hAnsi="宋体" w:eastAsia="宋体"/>
                <w:highlight w:val="none"/>
              </w:rPr>
              <w:t>1.20%</w:t>
            </w:r>
          </w:p>
        </w:tc>
        <w:tc>
          <w:tcPr>
            <w:tcW w:w="0" w:type="auto"/>
            <w:shd w:val="clear" w:color="auto" w:fill="auto"/>
          </w:tcPr>
          <w:p w14:paraId="318DF2CA">
            <w:pPr>
              <w:jc w:val="center"/>
              <w:rPr>
                <w:rFonts w:ascii="宋体" w:hAnsi="宋体" w:eastAsia="宋体" w:cs="宋体"/>
                <w:sz w:val="24"/>
                <w:szCs w:val="24"/>
                <w:highlight w:val="none"/>
              </w:rPr>
            </w:pPr>
            <w:r>
              <w:rPr>
                <w:rFonts w:hint="eastAsia" w:ascii="宋体" w:hAnsi="宋体" w:eastAsia="宋体"/>
                <w:highlight w:val="none"/>
              </w:rPr>
              <w:t>11.17%</w:t>
            </w:r>
          </w:p>
        </w:tc>
        <w:tc>
          <w:tcPr>
            <w:tcW w:w="0" w:type="auto"/>
            <w:shd w:val="clear" w:color="auto" w:fill="auto"/>
          </w:tcPr>
          <w:p w14:paraId="1A98B6DB">
            <w:pPr>
              <w:jc w:val="center"/>
              <w:rPr>
                <w:rFonts w:ascii="宋体" w:hAnsi="宋体" w:eastAsia="宋体" w:cs="宋体"/>
                <w:sz w:val="24"/>
                <w:szCs w:val="24"/>
                <w:highlight w:val="none"/>
              </w:rPr>
            </w:pPr>
            <w:r>
              <w:rPr>
                <w:rFonts w:hint="eastAsia" w:ascii="宋体" w:hAnsi="宋体" w:eastAsia="宋体"/>
                <w:highlight w:val="none"/>
              </w:rPr>
              <w:t>1.22%</w:t>
            </w:r>
          </w:p>
        </w:tc>
        <w:tc>
          <w:tcPr>
            <w:tcW w:w="0" w:type="auto"/>
            <w:shd w:val="clear" w:color="auto" w:fill="auto"/>
          </w:tcPr>
          <w:p w14:paraId="2C0D4C0B">
            <w:pPr>
              <w:jc w:val="center"/>
              <w:rPr>
                <w:rFonts w:ascii="宋体" w:hAnsi="宋体" w:eastAsia="宋体" w:cs="宋体"/>
                <w:sz w:val="24"/>
                <w:szCs w:val="24"/>
                <w:highlight w:val="none"/>
              </w:rPr>
            </w:pPr>
            <w:r>
              <w:rPr>
                <w:rFonts w:hint="eastAsia" w:ascii="宋体" w:hAnsi="宋体" w:eastAsia="宋体"/>
                <w:highlight w:val="none"/>
              </w:rPr>
              <w:t>3.07%</w:t>
            </w:r>
          </w:p>
        </w:tc>
        <w:tc>
          <w:tcPr>
            <w:tcW w:w="0" w:type="auto"/>
            <w:shd w:val="clear" w:color="auto" w:fill="auto"/>
          </w:tcPr>
          <w:p w14:paraId="684F4584">
            <w:pPr>
              <w:jc w:val="center"/>
              <w:rPr>
                <w:rFonts w:ascii="宋体" w:hAnsi="宋体" w:eastAsia="宋体" w:cs="宋体"/>
                <w:sz w:val="24"/>
                <w:szCs w:val="24"/>
                <w:highlight w:val="none"/>
              </w:rPr>
            </w:pPr>
            <w:r>
              <w:rPr>
                <w:rFonts w:hint="eastAsia" w:ascii="宋体" w:hAnsi="宋体" w:eastAsia="宋体"/>
                <w:highlight w:val="none"/>
              </w:rPr>
              <w:t>-0.02%</w:t>
            </w:r>
          </w:p>
        </w:tc>
      </w:tr>
      <w:tr w14:paraId="493089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BCF942">
            <w:pPr>
              <w:jc w:val="center"/>
              <w:rPr>
                <w:rFonts w:ascii="宋体" w:hAnsi="宋体" w:eastAsia="宋体" w:cs="宋体"/>
                <w:sz w:val="24"/>
                <w:szCs w:val="24"/>
                <w:highlight w:val="none"/>
              </w:rPr>
            </w:pPr>
            <w:r>
              <w:rPr>
                <w:rFonts w:hint="eastAsia" w:ascii="宋体" w:hAnsi="宋体" w:eastAsia="宋体"/>
                <w:highlight w:val="none"/>
              </w:rPr>
              <w:t>2021.05.11-2025.06.30</w:t>
            </w:r>
          </w:p>
        </w:tc>
        <w:tc>
          <w:tcPr>
            <w:tcW w:w="0" w:type="auto"/>
            <w:shd w:val="clear" w:color="auto" w:fill="auto"/>
          </w:tcPr>
          <w:p w14:paraId="3D51E9C9">
            <w:pPr>
              <w:jc w:val="center"/>
              <w:rPr>
                <w:rFonts w:ascii="宋体" w:hAnsi="宋体" w:eastAsia="宋体" w:cs="宋体"/>
                <w:sz w:val="24"/>
                <w:szCs w:val="24"/>
                <w:highlight w:val="none"/>
              </w:rPr>
            </w:pPr>
            <w:r>
              <w:rPr>
                <w:rFonts w:hint="eastAsia" w:ascii="宋体" w:hAnsi="宋体" w:eastAsia="宋体"/>
                <w:highlight w:val="none"/>
              </w:rPr>
              <w:t>5.03%</w:t>
            </w:r>
          </w:p>
        </w:tc>
        <w:tc>
          <w:tcPr>
            <w:tcW w:w="0" w:type="auto"/>
            <w:shd w:val="clear" w:color="auto" w:fill="auto"/>
          </w:tcPr>
          <w:p w14:paraId="032A5401">
            <w:pPr>
              <w:jc w:val="center"/>
              <w:rPr>
                <w:rFonts w:ascii="宋体" w:hAnsi="宋体" w:eastAsia="宋体" w:cs="宋体"/>
                <w:sz w:val="24"/>
                <w:szCs w:val="24"/>
                <w:highlight w:val="none"/>
              </w:rPr>
            </w:pPr>
            <w:r>
              <w:rPr>
                <w:rFonts w:hint="eastAsia" w:ascii="宋体" w:hAnsi="宋体" w:eastAsia="宋体"/>
                <w:highlight w:val="none"/>
              </w:rPr>
              <w:t>1.34%</w:t>
            </w:r>
          </w:p>
        </w:tc>
        <w:tc>
          <w:tcPr>
            <w:tcW w:w="0" w:type="auto"/>
            <w:shd w:val="clear" w:color="auto" w:fill="auto"/>
          </w:tcPr>
          <w:p w14:paraId="50ABA8CE">
            <w:pPr>
              <w:jc w:val="center"/>
              <w:rPr>
                <w:rFonts w:ascii="宋体" w:hAnsi="宋体" w:eastAsia="宋体" w:cs="宋体"/>
                <w:sz w:val="24"/>
                <w:szCs w:val="24"/>
                <w:highlight w:val="none"/>
              </w:rPr>
            </w:pPr>
            <w:r>
              <w:rPr>
                <w:rFonts w:hint="eastAsia" w:ascii="宋体" w:hAnsi="宋体" w:eastAsia="宋体"/>
                <w:highlight w:val="none"/>
              </w:rPr>
              <w:t>-27.17%</w:t>
            </w:r>
          </w:p>
        </w:tc>
        <w:tc>
          <w:tcPr>
            <w:tcW w:w="0" w:type="auto"/>
            <w:shd w:val="clear" w:color="auto" w:fill="auto"/>
          </w:tcPr>
          <w:p w14:paraId="738D6FB7">
            <w:pPr>
              <w:jc w:val="center"/>
              <w:rPr>
                <w:rFonts w:ascii="宋体" w:hAnsi="宋体" w:eastAsia="宋体" w:cs="宋体"/>
                <w:sz w:val="24"/>
                <w:szCs w:val="24"/>
                <w:highlight w:val="none"/>
              </w:rPr>
            </w:pPr>
            <w:r>
              <w:rPr>
                <w:rFonts w:hint="eastAsia" w:ascii="宋体" w:hAnsi="宋体" w:eastAsia="宋体"/>
                <w:highlight w:val="none"/>
              </w:rPr>
              <w:t>1.41%</w:t>
            </w:r>
          </w:p>
        </w:tc>
        <w:tc>
          <w:tcPr>
            <w:tcW w:w="0" w:type="auto"/>
            <w:shd w:val="clear" w:color="auto" w:fill="auto"/>
          </w:tcPr>
          <w:p w14:paraId="5E1302FC">
            <w:pPr>
              <w:jc w:val="center"/>
              <w:rPr>
                <w:rFonts w:ascii="宋体" w:hAnsi="宋体" w:eastAsia="宋体" w:cs="宋体"/>
                <w:sz w:val="24"/>
                <w:szCs w:val="24"/>
                <w:highlight w:val="none"/>
              </w:rPr>
            </w:pPr>
            <w:r>
              <w:rPr>
                <w:rFonts w:hint="eastAsia" w:ascii="宋体" w:hAnsi="宋体" w:eastAsia="宋体"/>
                <w:highlight w:val="none"/>
              </w:rPr>
              <w:t>32.20%</w:t>
            </w:r>
          </w:p>
        </w:tc>
        <w:tc>
          <w:tcPr>
            <w:tcW w:w="0" w:type="auto"/>
            <w:shd w:val="clear" w:color="auto" w:fill="auto"/>
          </w:tcPr>
          <w:p w14:paraId="0B58A25C">
            <w:pPr>
              <w:jc w:val="center"/>
              <w:rPr>
                <w:rFonts w:ascii="宋体" w:hAnsi="宋体" w:eastAsia="宋体" w:cs="宋体"/>
                <w:sz w:val="24"/>
                <w:szCs w:val="24"/>
                <w:highlight w:val="none"/>
              </w:rPr>
            </w:pPr>
            <w:r>
              <w:rPr>
                <w:rFonts w:hint="eastAsia" w:ascii="宋体" w:hAnsi="宋体" w:eastAsia="宋体"/>
                <w:highlight w:val="none"/>
              </w:rPr>
              <w:t>-0.07%</w:t>
            </w:r>
          </w:p>
        </w:tc>
      </w:tr>
    </w:tbl>
    <w:p w14:paraId="40259D83">
      <w:pPr>
        <w:pStyle w:val="8"/>
        <w:spacing w:before="0" w:beforeAutospacing="0" w:after="0" w:afterAutospacing="0" w:line="360" w:lineRule="auto"/>
        <w:ind w:firstLine="420"/>
        <w:rPr>
          <w:sz w:val="21"/>
          <w:szCs w:val="21"/>
          <w:highlight w:val="none"/>
        </w:rPr>
      </w:pPr>
      <w:bookmarkStart w:id="128" w:name="field_0_indatatable_1_end"/>
      <w:bookmarkEnd w:id="128"/>
      <w:bookmarkStart w:id="129" w:name="chapter_level1_15_3500_section_1_end"/>
      <w:bookmarkEnd w:id="129"/>
      <w:r>
        <w:rPr>
          <w:rFonts w:hint="eastAsia"/>
          <w:sz w:val="21"/>
          <w:szCs w:val="21"/>
          <w:highlight w:val="none"/>
        </w:rPr>
        <w:t xml:space="preserve">  </w:t>
      </w:r>
    </w:p>
    <w:p w14:paraId="1D29636A">
      <w:pPr>
        <w:widowControl/>
        <w:jc w:val="left"/>
        <w:rPr>
          <w:rFonts w:ascii="宋体" w:hAnsi="宋体" w:eastAsia="宋体"/>
          <w:highlight w:val="none"/>
        </w:rPr>
      </w:pPr>
      <w:r>
        <w:rPr>
          <w:rFonts w:ascii="宋体" w:hAnsi="宋体" w:eastAsia="宋体"/>
          <w:highlight w:val="none"/>
        </w:rPr>
        <w:br w:type="page"/>
      </w:r>
    </w:p>
    <w:p w14:paraId="50EA4E36">
      <w:pPr>
        <w:pStyle w:val="2"/>
        <w:jc w:val="center"/>
        <w:rPr>
          <w:rFonts w:ascii="宋体" w:hAnsi="宋体" w:eastAsia="宋体"/>
          <w:sz w:val="30"/>
          <w:highlight w:val="none"/>
        </w:rPr>
      </w:pPr>
      <w:bookmarkStart w:id="130" w:name="_Toc207933754"/>
      <w:bookmarkStart w:id="131" w:name="chapter_level1_16_62"/>
      <w:r>
        <w:rPr>
          <w:rFonts w:hint="eastAsia" w:ascii="宋体" w:hAnsi="宋体" w:eastAsia="宋体"/>
          <w:sz w:val="30"/>
          <w:highlight w:val="none"/>
        </w:rPr>
        <w:t>第十三部分  基金的财产</w:t>
      </w:r>
      <w:bookmarkEnd w:id="130"/>
      <w:bookmarkEnd w:id="131"/>
    </w:p>
    <w:p w14:paraId="792ED189">
      <w:pPr>
        <w:pStyle w:val="8"/>
        <w:spacing w:before="0" w:beforeAutospacing="0" w:after="0" w:afterAutospacing="0" w:line="360" w:lineRule="auto"/>
        <w:ind w:firstLine="420"/>
        <w:rPr>
          <w:sz w:val="21"/>
          <w:szCs w:val="21"/>
          <w:highlight w:val="none"/>
        </w:rPr>
      </w:pPr>
      <w:bookmarkStart w:id="132" w:name="chapter_level1_16_62_section_1"/>
      <w:bookmarkEnd w:id="132"/>
      <w:r>
        <w:rPr>
          <w:rStyle w:val="12"/>
          <w:rFonts w:hint="eastAsia"/>
          <w:sz w:val="21"/>
          <w:szCs w:val="21"/>
          <w:highlight w:val="none"/>
        </w:rPr>
        <w:t>一、基金资产总值</w:t>
      </w:r>
    </w:p>
    <w:p w14:paraId="5D36C44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基金资产总值是指基金拥有的各类有价证券、银行存款本息、基金应收申购款及其他资产的价值总和。 </w:t>
      </w:r>
    </w:p>
    <w:p w14:paraId="040B9E25">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二、基金资产净值</w:t>
      </w:r>
    </w:p>
    <w:p w14:paraId="5F77C50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基金资产净值是指基金资产总值减去基金负债后的价值。 </w:t>
      </w:r>
    </w:p>
    <w:p w14:paraId="699546B7">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三、基金财产的账户</w:t>
      </w:r>
    </w:p>
    <w:p w14:paraId="18FC022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1229FA72">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四、基金财产的保管和处分</w:t>
      </w:r>
    </w:p>
    <w:p w14:paraId="08FDBC4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6999172F">
      <w:pPr>
        <w:pStyle w:val="8"/>
        <w:spacing w:before="0" w:beforeAutospacing="0" w:after="0" w:afterAutospacing="0" w:line="360" w:lineRule="auto"/>
        <w:ind w:firstLine="420"/>
        <w:rPr>
          <w:sz w:val="21"/>
          <w:szCs w:val="21"/>
          <w:highlight w:val="none"/>
        </w:rPr>
      </w:pPr>
      <w:r>
        <w:rPr>
          <w:rFonts w:hint="eastAsia"/>
          <w:sz w:val="21"/>
          <w:szCs w:val="21"/>
          <w:highlight w:val="none"/>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3" w:name="chapter_level1_16_62_section_1_end"/>
      <w:bookmarkEnd w:id="133"/>
      <w:r>
        <w:rPr>
          <w:rFonts w:hint="eastAsia"/>
          <w:sz w:val="21"/>
          <w:szCs w:val="21"/>
          <w:highlight w:val="none"/>
        </w:rPr>
        <w:t xml:space="preserve">得相互抵销。非因基金财产本身承担的债务，不得对基金财产强制执行。 </w:t>
      </w:r>
    </w:p>
    <w:p w14:paraId="390D0A5B">
      <w:pPr>
        <w:widowControl/>
        <w:jc w:val="left"/>
        <w:rPr>
          <w:rFonts w:ascii="宋体" w:hAnsi="宋体" w:eastAsia="宋体"/>
          <w:highlight w:val="none"/>
        </w:rPr>
      </w:pPr>
      <w:r>
        <w:rPr>
          <w:rFonts w:ascii="宋体" w:hAnsi="宋体" w:eastAsia="宋体"/>
          <w:highlight w:val="none"/>
        </w:rPr>
        <w:br w:type="page"/>
      </w:r>
    </w:p>
    <w:p w14:paraId="65AC33E1">
      <w:pPr>
        <w:pStyle w:val="2"/>
        <w:jc w:val="center"/>
        <w:rPr>
          <w:rFonts w:ascii="宋体" w:hAnsi="宋体" w:eastAsia="宋体"/>
          <w:sz w:val="30"/>
          <w:highlight w:val="none"/>
        </w:rPr>
      </w:pPr>
      <w:bookmarkStart w:id="134" w:name="chapter_level1_17_63"/>
      <w:bookmarkStart w:id="135" w:name="_Toc207933755"/>
      <w:r>
        <w:rPr>
          <w:rFonts w:hint="eastAsia" w:ascii="宋体" w:hAnsi="宋体" w:eastAsia="宋体"/>
          <w:sz w:val="30"/>
          <w:highlight w:val="none"/>
        </w:rPr>
        <w:t>第十四部分  基金资产的估值</w:t>
      </w:r>
      <w:bookmarkEnd w:id="134"/>
      <w:bookmarkEnd w:id="135"/>
    </w:p>
    <w:p w14:paraId="4A3B62AC">
      <w:pPr>
        <w:pStyle w:val="8"/>
        <w:spacing w:before="0" w:beforeAutospacing="0" w:after="0" w:afterAutospacing="0" w:line="360" w:lineRule="auto"/>
        <w:ind w:firstLine="420"/>
        <w:rPr>
          <w:sz w:val="21"/>
          <w:szCs w:val="21"/>
          <w:highlight w:val="none"/>
        </w:rPr>
      </w:pPr>
      <w:bookmarkStart w:id="136" w:name="chapter_level1_17_63_section_1"/>
      <w:bookmarkEnd w:id="136"/>
      <w:r>
        <w:rPr>
          <w:rStyle w:val="12"/>
          <w:rFonts w:hint="eastAsia"/>
          <w:sz w:val="21"/>
          <w:szCs w:val="21"/>
          <w:highlight w:val="none"/>
        </w:rPr>
        <w:t>一、估值日</w:t>
      </w:r>
    </w:p>
    <w:p w14:paraId="1B41F6E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本基金的估值日为本基金相关的证券交易场所的交易日以及国家法律法规规定需要对外披露基金净值的非交易日。 </w:t>
      </w:r>
    </w:p>
    <w:p w14:paraId="62FEC8E8">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二、估值对象</w:t>
      </w:r>
    </w:p>
    <w:p w14:paraId="01557CF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基金所拥有的股票、债券、国债期货合约、股指期货合约、股票期权合约、资产支持证券和银行存款本息、应收款项、其它投资等资产及负债。 </w:t>
      </w:r>
    </w:p>
    <w:p w14:paraId="16158D50">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三、估值原则</w:t>
      </w:r>
    </w:p>
    <w:p w14:paraId="2BFD479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基金管理人在确定相关金融资产和金融负债的公允价值时，应符合《企业会计准则》、监管部门有关规定。 </w:t>
      </w:r>
    </w:p>
    <w:p w14:paraId="1C3FBE6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07DF2A3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2AE2CEA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7C60BDA6">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四、估值方法</w:t>
      </w:r>
    </w:p>
    <w:p w14:paraId="5EE62ED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1、证券交易所上市的有价证券的估值 </w:t>
      </w:r>
    </w:p>
    <w:p w14:paraId="1A0F9CB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交易所上市的有价证券（包括股票等），以其估值日在证券交易所挂牌的市价（收盘价）确定公允价值；估值日无交易的，且最近交易日后未发生影响公允价值计量的重大事件的，以最近交易日的市价（收盘价）估值；如有充足证据表明估值日或最近交易日的市价不能真实反映公允价值的，应对市价进行调整，确定公允价格； </w:t>
      </w:r>
    </w:p>
    <w:p w14:paraId="0313D16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22BAB46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14:paraId="4B2E64D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交易所上市实行全价交易的债券（可转债除外），选取第三方估值机构提供的估值全价减去估值全价中所含的债券（税后）应收利息得到的净价进行估值； </w:t>
      </w:r>
    </w:p>
    <w:p w14:paraId="0AD616C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（4）交易所上市不存在活跃市场的有价证券，采用估值技术确定公允价值。交易所上市的资产支持证券，采用估值技术确定公允价值，在估值技术难以可靠计量公允价值的情况下，按成本估值。 </w:t>
      </w:r>
    </w:p>
    <w:p w14:paraId="6950796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2、处于未上市期间的有价证券应区分如下情况处理： </w:t>
      </w:r>
    </w:p>
    <w:p w14:paraId="2765871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（1）送股、转增股、配股和公开增发的新股，按估值日在证券交易所挂牌的同一股票的估值方法估值；该日无交易的，以最近一日的市价（收盘价）估值； </w:t>
      </w:r>
    </w:p>
    <w:p w14:paraId="43FD04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（2）首次公开发行未上市的股票、债券，采用估值技术确定公允价值，在估值技术难以可靠计量公允价值的情况下，按成本估值； </w:t>
      </w:r>
    </w:p>
    <w:p w14:paraId="4501F7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54005EB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14:paraId="7B60EBA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4、同一证券同时在两个或两个以上市场交易的，按证券所处的市场分别估值。 </w:t>
      </w:r>
    </w:p>
    <w:p w14:paraId="2635D33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5、本基金投资国债期货、股指期货合约，一般以估值当日结算价确定公允价值，估值当日无结算价的，且最近交易日后未发生影响公允价值计量的重大事件的，采用最近交易日结算价估值。 </w:t>
      </w:r>
    </w:p>
    <w:p w14:paraId="2161FA7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6、本基金投资股票期权，根据相关法律法规以及监管部门的规定估值。 </w:t>
      </w:r>
    </w:p>
    <w:p w14:paraId="79FF0D6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7、本基金参与转融通证券出借业务的，将按照法律法规及行业协会的相关规定进行估值。 </w:t>
      </w:r>
    </w:p>
    <w:p w14:paraId="08D299F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8、汇率 </w:t>
      </w:r>
    </w:p>
    <w:p w14:paraId="2E65502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本基金外币资产价值计算中，涉及主要货币对人民币汇率的，应当以基金估值日中国人民银行或其授权机构公布的人民币汇率中间价或其他可以反映公允价值的汇率进行估值。 </w:t>
      </w:r>
    </w:p>
    <w:p w14:paraId="19A478D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9、本基金投资存托凭证的估值核算，依照境内上市交易的股票执行。 </w:t>
      </w:r>
    </w:p>
    <w:p w14:paraId="06B02F0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10、如有确凿证据表明按上述方法进行估值不能客观反映其公允价值的，基金管理人可根据具体情况与基金托管人商定后，按最能反映公允价值的方法估值。 </w:t>
      </w:r>
    </w:p>
    <w:p w14:paraId="2C81E1D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11、相关法律法规以及监管部门有强制规定的，从其规定。如有新增事项，按国家最新规定估值。 </w:t>
      </w:r>
    </w:p>
    <w:p w14:paraId="55A570E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11F0A82">
      <w:pPr>
        <w:pStyle w:val="8"/>
        <w:spacing w:before="0" w:beforeAutospacing="0" w:after="0" w:afterAutospacing="0" w:line="360" w:lineRule="auto"/>
        <w:ind w:firstLine="420"/>
        <w:rPr>
          <w:sz w:val="21"/>
          <w:szCs w:val="21"/>
          <w:highlight w:val="none"/>
        </w:rPr>
      </w:pPr>
      <w:r>
        <w:rPr>
          <w:rFonts w:hint="eastAsia"/>
          <w:sz w:val="21"/>
          <w:szCs w:val="21"/>
          <w:highlight w:val="none"/>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7" w:name="chapter_level1_17_63_section_1_end"/>
      <w:bookmarkEnd w:id="137"/>
      <w:r>
        <w:rPr>
          <w:rFonts w:hint="eastAsia"/>
          <w:sz w:val="21"/>
          <w:szCs w:val="21"/>
          <w:highlight w:val="none"/>
        </w:rPr>
        <w:t xml:space="preserve">对外予以公布。 </w:t>
      </w:r>
    </w:p>
    <w:p w14:paraId="49937FFB">
      <w:pPr>
        <w:pStyle w:val="8"/>
        <w:spacing w:before="0" w:beforeAutospacing="0" w:after="0" w:afterAutospacing="0" w:line="360" w:lineRule="auto"/>
        <w:ind w:firstLine="420"/>
        <w:rPr>
          <w:sz w:val="21"/>
          <w:szCs w:val="21"/>
          <w:highlight w:val="none"/>
        </w:rPr>
      </w:pPr>
      <w:bookmarkStart w:id="138" w:name="chapter_level1_17_63_section_2"/>
      <w:bookmarkEnd w:id="138"/>
      <w:r>
        <w:rPr>
          <w:rStyle w:val="12"/>
          <w:rFonts w:hint="eastAsia"/>
          <w:sz w:val="21"/>
          <w:szCs w:val="21"/>
          <w:highlight w:val="none"/>
        </w:rPr>
        <w:t>五、估值程序</w:t>
      </w:r>
    </w:p>
    <w:p w14:paraId="0B14C094">
      <w:pPr>
        <w:pStyle w:val="8"/>
        <w:spacing w:before="0" w:beforeAutospacing="0" w:after="0" w:afterAutospacing="0" w:line="360" w:lineRule="auto"/>
        <w:ind w:firstLine="420"/>
        <w:rPr>
          <w:sz w:val="21"/>
          <w:szCs w:val="21"/>
          <w:highlight w:val="none"/>
        </w:rPr>
      </w:pPr>
      <w:r>
        <w:rPr>
          <w:rFonts w:hint="eastAsia"/>
          <w:sz w:val="21"/>
          <w:szCs w:val="21"/>
          <w:highlight w:val="none"/>
        </w:rPr>
        <w:t>1、基金份额净值是按照每个工作日闭市后，基金资产净值除以当日基金份额的余额数量计算，精确到</w:t>
      </w:r>
      <w:bookmarkStart w:id="139" w:name="field_63_netdecimalvalue_1"/>
      <w:r>
        <w:rPr>
          <w:sz w:val="21"/>
          <w:szCs w:val="21"/>
          <w:highlight w:val="none"/>
        </w:rPr>
        <w:t>0.0001</w:t>
      </w:r>
      <w:bookmarkEnd w:id="139"/>
      <w:r>
        <w:rPr>
          <w:rFonts w:hint="eastAsia"/>
          <w:sz w:val="21"/>
          <w:szCs w:val="21"/>
          <w:highlight w:val="none"/>
        </w:rPr>
        <w:t>元，小数点后第</w:t>
      </w:r>
      <w:bookmarkStart w:id="140" w:name="field_0_netdecimaladd1_1"/>
      <w:r>
        <w:rPr>
          <w:sz w:val="21"/>
          <w:szCs w:val="21"/>
          <w:highlight w:val="none"/>
        </w:rPr>
        <w:t>5</w:t>
      </w:r>
      <w:bookmarkEnd w:id="140"/>
      <w:r>
        <w:rPr>
          <w:rFonts w:hint="eastAsia"/>
          <w:sz w:val="21"/>
          <w:szCs w:val="21"/>
          <w:highlight w:val="none"/>
        </w:rPr>
        <w:t xml:space="preserve">位四舍五入。基金管理人可以设立大额赎回情形下的净值精度应急调整机制。国家另有规定的，从其规定。 </w:t>
      </w:r>
    </w:p>
    <w:p w14:paraId="36369D7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基金管理人于每个工作日计算基金资产净值及基金份额净值，并按规定公告。 </w:t>
      </w:r>
    </w:p>
    <w:p w14:paraId="0270B5D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按约定对外公布。 </w:t>
      </w:r>
    </w:p>
    <w:p w14:paraId="02BCB57E">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六、估值错误的处理</w:t>
      </w:r>
    </w:p>
    <w:p w14:paraId="72CFF7ED">
      <w:pPr>
        <w:pStyle w:val="8"/>
        <w:spacing w:before="0" w:beforeAutospacing="0" w:after="0" w:afterAutospacing="0" w:line="360" w:lineRule="auto"/>
        <w:ind w:firstLine="420"/>
        <w:rPr>
          <w:sz w:val="21"/>
          <w:szCs w:val="21"/>
          <w:highlight w:val="none"/>
        </w:rPr>
      </w:pPr>
      <w:r>
        <w:rPr>
          <w:rFonts w:hint="eastAsia"/>
          <w:sz w:val="21"/>
          <w:szCs w:val="21"/>
          <w:highlight w:val="none"/>
        </w:rPr>
        <w:t>基金管理人和基金托管人将采取必要、适当、合理的措施确保基金资产估值的准确性、及时性。当基金份额净值小数点后</w:t>
      </w:r>
      <w:bookmarkStart w:id="141" w:name="field_63_netdecimal_1"/>
      <w:r>
        <w:rPr>
          <w:sz w:val="21"/>
          <w:szCs w:val="21"/>
          <w:highlight w:val="none"/>
        </w:rPr>
        <w:t>4</w:t>
      </w:r>
      <w:bookmarkEnd w:id="141"/>
      <w:r>
        <w:rPr>
          <w:rFonts w:hint="eastAsia"/>
          <w:sz w:val="21"/>
          <w:szCs w:val="21"/>
          <w:highlight w:val="none"/>
        </w:rPr>
        <w:t>位以内(含第</w:t>
      </w:r>
      <w:bookmarkStart w:id="142" w:name="field_63_netdecimal_2"/>
      <w:r>
        <w:rPr>
          <w:sz w:val="21"/>
          <w:szCs w:val="21"/>
          <w:highlight w:val="none"/>
        </w:rPr>
        <w:t>4</w:t>
      </w:r>
      <w:bookmarkEnd w:id="142"/>
      <w:r>
        <w:rPr>
          <w:rFonts w:hint="eastAsia"/>
          <w:sz w:val="21"/>
          <w:szCs w:val="21"/>
          <w:highlight w:val="none"/>
        </w:rPr>
        <w:t xml:space="preserve">位)发生估值错误时，视为基金份额净值错误。 </w:t>
      </w:r>
    </w:p>
    <w:p w14:paraId="286F4BC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基金合同的当事人应按照以下约定处理： </w:t>
      </w:r>
    </w:p>
    <w:p w14:paraId="07FE3AC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1、估值错误类型 </w:t>
      </w:r>
    </w:p>
    <w:p w14:paraId="3C2C98C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792A770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上述估值错误的主要类型包括但不限于：资料申报差错、数据传输差错、数据计算差错、系统故障差错、下达指令差错等。 </w:t>
      </w:r>
    </w:p>
    <w:p w14:paraId="0A538F1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2、估值错误处理原则 </w:t>
      </w:r>
    </w:p>
    <w:p w14:paraId="3307DAA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6F000F3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（2）估值错误的责任方对有关当事人的直接损失负责，不对间接损失负责，并且仅对估值错误的有关直接当事人负责，不对第三方负责。 </w:t>
      </w:r>
    </w:p>
    <w:p w14:paraId="58CEA3E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453993D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（4）估值错误调整采用尽量恢复至假设未发生估值错误的正确情形的方式。 </w:t>
      </w:r>
    </w:p>
    <w:p w14:paraId="186384A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3、估值错误处理程序 </w:t>
      </w:r>
    </w:p>
    <w:p w14:paraId="3DE9064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估值错误被发现后，有关的当事人应当及时进行处理，处理的程序如下： </w:t>
      </w:r>
    </w:p>
    <w:p w14:paraId="4517E64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（1）查明估值错误发生的原因，列明所有的当事人，并根据估值错误发生的原因确定估值错误的责任方； </w:t>
      </w:r>
    </w:p>
    <w:p w14:paraId="3541EF6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（2）根据估值错误处理原则或当事人协商的方法对因估值错误造成的损失进行评估； </w:t>
      </w:r>
    </w:p>
    <w:p w14:paraId="01A255C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（3）根据估值错误处理原则或当事人协商的方法由估值错误的责任方进行更正和赔偿损失； </w:t>
      </w:r>
    </w:p>
    <w:p w14:paraId="6A9D7D6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（4）根据估值错误处理的方法，需要修改基金登记机构交易数据的，由基金登记机构进行更正，并就估值错误的更正向有关当事人进行确认。 </w:t>
      </w:r>
    </w:p>
    <w:p w14:paraId="1867BE1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4、基金份额净值估值错误处理的方法如下： </w:t>
      </w:r>
    </w:p>
    <w:p w14:paraId="60CE7C5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（1）基金份额净值计算出现错误时，基金管理人应当立即予以纠正，通报基金托管人，并采取合理的措施防止损失进一步扩大。 </w:t>
      </w:r>
    </w:p>
    <w:p w14:paraId="3371B6C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（2）错误偏差达到基金份额净值的0.25%时，基金管理人应当通报基金托管人并报中国证监会备案；错误偏差达到基金份额净值的0.5%时，基金管理人应当公告，并报中国证监会备案。 </w:t>
      </w:r>
    </w:p>
    <w:p w14:paraId="476A31B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（3）基金管理人和基金托管人由于各自技术系统设置而产生的净值计算尾差，以基金管理人计算结果为准。 </w:t>
      </w:r>
    </w:p>
    <w:p w14:paraId="5D837CB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（4）前述内容如法律法规或监管机关另有规定的，从其规定处理。如果行业另有通行做法，基金管理人、基金托管人应本着平等和保护基金份额持有人利益的原则进行协商。 </w:t>
      </w:r>
    </w:p>
    <w:p w14:paraId="20D24046">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七、暂停估值的情形</w:t>
      </w:r>
    </w:p>
    <w:p w14:paraId="4053F90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1、基金投资所涉及的证券/期货交易市场或外汇市场遇法定节假日或因其他原因暂停营业时； </w:t>
      </w:r>
    </w:p>
    <w:p w14:paraId="0B8ABE6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2、因不可抗力致使基金管理人、基金托管人无法准确评估基金资产价值时； </w:t>
      </w:r>
    </w:p>
    <w:p w14:paraId="2CDE657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3、当前一估值日基金资产净值50%以上的资产出现无可参考的活跃市场价格且采用估值技术仍导致公允价值存在重大不确定性时，经与基金托管人协商确认后，基金管理人应当暂停估值； </w:t>
      </w:r>
    </w:p>
    <w:p w14:paraId="56E2826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4、中国证监会和基金合同认定的其它情形。 </w:t>
      </w:r>
    </w:p>
    <w:p w14:paraId="52397FBE">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八、基金净值的确认</w:t>
      </w:r>
    </w:p>
    <w:p w14:paraId="561015A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资产净值和基金份额净值由基金管理人负责计算，基金托管人负责进行复核。基金管理人应于每个工作日交易结束后计算当日的基金资产净值和基金份额净值并发送给基金托管人。基金托管人对净值计算结果复核确认后发送给基金管理人，由基金管理人按规定对基金净值予以公布。 </w:t>
      </w:r>
    </w:p>
    <w:p w14:paraId="6F0D4C3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九、特殊情况的处理</w:t>
      </w:r>
    </w:p>
    <w:p w14:paraId="70AD6E1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1、基金管理人或基金托管人按估值方法的第10项进行估值时，所造成的误差不作为基金资产估值错误处理。 </w:t>
      </w:r>
    </w:p>
    <w:p w14:paraId="71E88E2F">
      <w:pPr>
        <w:pStyle w:val="8"/>
        <w:spacing w:before="0" w:beforeAutospacing="0" w:after="0" w:afterAutospacing="0" w:line="360" w:lineRule="auto"/>
        <w:ind w:firstLine="420"/>
        <w:rPr>
          <w:sz w:val="21"/>
          <w:szCs w:val="21"/>
          <w:highlight w:val="none"/>
        </w:rPr>
      </w:pPr>
      <w:r>
        <w:rPr>
          <w:rFonts w:hint="eastAsia"/>
          <w:sz w:val="21"/>
          <w:szCs w:val="21"/>
          <w:highlight w:val="none"/>
        </w:rPr>
        <w:t>2、由于不可抗力原因，或证券/期货交易所或登记结算公司或标的指数供应商发送的数据错误等原因，基金管理人和基金托管人虽然已经采取必要、适当、合理的措施进行检查，但是未能发现该错误的，由此造成的基金资产估值错误，基金管理人和基金托管人免除赔偿</w:t>
      </w:r>
      <w:bookmarkStart w:id="143" w:name="chapter_level1_17_63_section_2_end"/>
      <w:bookmarkEnd w:id="143"/>
      <w:r>
        <w:rPr>
          <w:rFonts w:hint="eastAsia"/>
          <w:sz w:val="21"/>
          <w:szCs w:val="21"/>
          <w:highlight w:val="none"/>
        </w:rPr>
        <w:t xml:space="preserve">责任，但基金管理人和基金托管人应当积极采取必要的措施消除或减轻由此造成的影响。 </w:t>
      </w:r>
    </w:p>
    <w:p w14:paraId="067D7464">
      <w:pPr>
        <w:widowControl/>
        <w:jc w:val="left"/>
        <w:rPr>
          <w:rFonts w:ascii="宋体" w:hAnsi="宋体" w:eastAsia="宋体"/>
          <w:highlight w:val="none"/>
        </w:rPr>
      </w:pPr>
      <w:r>
        <w:rPr>
          <w:rFonts w:ascii="宋体" w:hAnsi="宋体" w:eastAsia="宋体"/>
          <w:highlight w:val="none"/>
        </w:rPr>
        <w:br w:type="page"/>
      </w:r>
    </w:p>
    <w:p w14:paraId="3D175D38">
      <w:pPr>
        <w:pStyle w:val="2"/>
        <w:jc w:val="center"/>
        <w:rPr>
          <w:rFonts w:ascii="宋体" w:hAnsi="宋体" w:eastAsia="宋体"/>
          <w:sz w:val="30"/>
          <w:highlight w:val="none"/>
        </w:rPr>
      </w:pPr>
      <w:bookmarkStart w:id="144" w:name="chapter_level1_18_64"/>
      <w:bookmarkStart w:id="145" w:name="_Toc207933756"/>
      <w:r>
        <w:rPr>
          <w:rFonts w:hint="eastAsia" w:ascii="宋体" w:hAnsi="宋体" w:eastAsia="宋体"/>
          <w:sz w:val="30"/>
          <w:highlight w:val="none"/>
        </w:rPr>
        <w:t>第十五部分  基金的收益与分配</w:t>
      </w:r>
      <w:bookmarkEnd w:id="144"/>
      <w:bookmarkEnd w:id="145"/>
    </w:p>
    <w:p w14:paraId="0A4D824C">
      <w:pPr>
        <w:pStyle w:val="8"/>
        <w:spacing w:before="0" w:beforeAutospacing="0" w:after="0" w:afterAutospacing="0" w:line="360" w:lineRule="auto"/>
        <w:ind w:firstLine="420"/>
        <w:rPr>
          <w:rStyle w:val="12"/>
          <w:rFonts w:hint="eastAsia"/>
          <w:sz w:val="21"/>
          <w:szCs w:val="21"/>
          <w:highlight w:val="none"/>
        </w:rPr>
      </w:pPr>
      <w:bookmarkStart w:id="146" w:name="chapter_level1_18_64_section_1"/>
      <w:bookmarkEnd w:id="146"/>
      <w:r>
        <w:rPr>
          <w:rStyle w:val="12"/>
          <w:rFonts w:hint="eastAsia"/>
          <w:sz w:val="21"/>
          <w:szCs w:val="21"/>
          <w:highlight w:val="none"/>
        </w:rPr>
        <w:t>一、基金收益分配原则</w:t>
      </w:r>
    </w:p>
    <w:p w14:paraId="0616E771">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1、每一基金份额享有同等分配权；</w:t>
      </w:r>
    </w:p>
    <w:p w14:paraId="1CDC6B5D">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2、本基金基金份额的收益分配方式采用现金分红；</w:t>
      </w:r>
    </w:p>
    <w:p w14:paraId="4B108B86">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3、当基金份额净值增长率超过标的指数同期增长率达到0.01%以上时，可进行收益分配；</w:t>
      </w:r>
    </w:p>
    <w:p w14:paraId="716AF766">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4、本基金以使收益分配后基金份额净值增长率尽可能贴近标的指数同期增长率为原则进行收益分配。基于本基金的性质和特点，本基金收益分配不须以弥补浮动亏损为前提，收益分配后有可能使除息后的基金份额净值低于面值；</w:t>
      </w:r>
    </w:p>
    <w:p w14:paraId="322991AB">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5、若《基金合同》生效不满3个月可不进行收益分配；</w:t>
      </w:r>
    </w:p>
    <w:p w14:paraId="298B514C">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6、法律法规、监管机关、证券交易所或基金登记机构另有规定的，从其规定。</w:t>
      </w:r>
    </w:p>
    <w:p w14:paraId="7B5C9A12">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在不违反法律法规且对基金份额持有人利益无实质性不利影响的前提下，基金管理人可对基金收益分配的有关业务规则进行调整，并及时公告。</w:t>
      </w:r>
    </w:p>
    <w:p w14:paraId="1229FE4D">
      <w:pPr>
        <w:pStyle w:val="8"/>
        <w:spacing w:before="0" w:beforeAutospacing="0" w:after="0" w:afterAutospacing="0" w:line="360" w:lineRule="auto"/>
        <w:ind w:firstLine="420"/>
        <w:rPr>
          <w:rStyle w:val="12"/>
          <w:rFonts w:hint="eastAsia"/>
          <w:sz w:val="21"/>
          <w:szCs w:val="21"/>
          <w:highlight w:val="none"/>
        </w:rPr>
      </w:pPr>
      <w:r>
        <w:rPr>
          <w:rStyle w:val="12"/>
          <w:rFonts w:hint="eastAsia"/>
          <w:sz w:val="21"/>
          <w:szCs w:val="21"/>
          <w:highlight w:val="none"/>
        </w:rPr>
        <w:t>二、基金收益分配比例及金额的确定原则</w:t>
      </w:r>
    </w:p>
    <w:p w14:paraId="3C26FFB5">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1、在收益评价日，基金管理人计算基金份额净值增长率、标的指数同期增长率。</w:t>
      </w:r>
    </w:p>
    <w:p w14:paraId="6559530B">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基金收益评价日本基金相对标的指数的超额收益率＝基金份额净值增长率－标的指数同期增长率。</w:t>
      </w:r>
    </w:p>
    <w:p w14:paraId="7BF863FF">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基金份额净值增长率为收益评价日基金份额净值与基金上市前一日基金份额净值之比减去1乘以100%；标的指数同期增长率为收益评价日标的指数收盘价与基金上市前一日标的指数收盘价之比减去1乘以100%。</w:t>
      </w:r>
    </w:p>
    <w:p w14:paraId="31248E5B">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期间如发生基金份额折算、拆分或合并，则以基金份额折算日、经拆分或合并调整后的基金份额折算日为初始日重新计算上述指标。</w:t>
      </w:r>
    </w:p>
    <w:p w14:paraId="4D1544A5">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收益评价日日期以本基金日后相关公告为准。</w:t>
      </w:r>
    </w:p>
    <w:p w14:paraId="26C868CA">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2、根据前述收益分配原则计算截至基金收益评价日本基金的份额可分配收益，并确定收益分配比例。</w:t>
      </w:r>
    </w:p>
    <w:p w14:paraId="186A98D5">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3、根据前述可供分配利润及收益分配比例计算收益分配金额。</w:t>
      </w:r>
    </w:p>
    <w:p w14:paraId="47836552">
      <w:pPr>
        <w:pStyle w:val="8"/>
        <w:spacing w:before="0" w:beforeAutospacing="0" w:after="0" w:afterAutospacing="0" w:line="360" w:lineRule="auto"/>
        <w:ind w:firstLine="420"/>
        <w:rPr>
          <w:rStyle w:val="12"/>
          <w:rFonts w:hint="eastAsia"/>
          <w:sz w:val="21"/>
          <w:szCs w:val="21"/>
          <w:highlight w:val="none"/>
        </w:rPr>
      </w:pPr>
      <w:r>
        <w:rPr>
          <w:rStyle w:val="12"/>
          <w:rFonts w:hint="eastAsia"/>
          <w:sz w:val="21"/>
          <w:szCs w:val="21"/>
          <w:highlight w:val="none"/>
        </w:rPr>
        <w:t>三、收益分配方案</w:t>
      </w:r>
    </w:p>
    <w:p w14:paraId="538026C0">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基金收益分配方案中应载明基金收益分配对象、分配时间、分配数额及比例、分配方式等内容。</w:t>
      </w:r>
    </w:p>
    <w:p w14:paraId="0918693A">
      <w:pPr>
        <w:pStyle w:val="8"/>
        <w:spacing w:before="0" w:beforeAutospacing="0" w:after="0" w:afterAutospacing="0" w:line="360" w:lineRule="auto"/>
        <w:ind w:firstLine="420"/>
        <w:rPr>
          <w:rStyle w:val="12"/>
          <w:rFonts w:hint="eastAsia"/>
          <w:sz w:val="21"/>
          <w:szCs w:val="21"/>
          <w:highlight w:val="none"/>
        </w:rPr>
      </w:pPr>
      <w:r>
        <w:rPr>
          <w:rStyle w:val="12"/>
          <w:rFonts w:hint="eastAsia"/>
          <w:sz w:val="21"/>
          <w:szCs w:val="21"/>
          <w:highlight w:val="none"/>
        </w:rPr>
        <w:t>四、收益分配方案的确定、公告与实施</w:t>
      </w:r>
    </w:p>
    <w:p w14:paraId="3B53DEC5">
      <w:pPr>
        <w:pStyle w:val="8"/>
        <w:spacing w:before="0" w:beforeAutospacing="0" w:after="0" w:afterAutospacing="0" w:line="360" w:lineRule="auto"/>
        <w:ind w:firstLine="420"/>
        <w:rPr>
          <w:rStyle w:val="12"/>
          <w:rFonts w:hint="eastAsia"/>
          <w:b w:val="0"/>
          <w:bCs w:val="0"/>
          <w:sz w:val="21"/>
          <w:szCs w:val="21"/>
          <w:highlight w:val="none"/>
        </w:rPr>
      </w:pPr>
      <w:r>
        <w:rPr>
          <w:rStyle w:val="12"/>
          <w:rFonts w:hint="eastAsia"/>
          <w:b w:val="0"/>
          <w:bCs w:val="0"/>
          <w:sz w:val="21"/>
          <w:szCs w:val="21"/>
          <w:highlight w:val="none"/>
        </w:rPr>
        <w:t>本基金收益分配方案由基金管理人拟定，并由基金托管人复核，依照《信息披露办法》在规定媒介公告。</w:t>
      </w:r>
    </w:p>
    <w:p w14:paraId="6E3308CA">
      <w:pPr>
        <w:pStyle w:val="8"/>
        <w:spacing w:before="0" w:beforeAutospacing="0" w:after="0" w:afterAutospacing="0" w:line="360" w:lineRule="auto"/>
        <w:ind w:firstLine="420"/>
        <w:rPr>
          <w:rStyle w:val="12"/>
          <w:rFonts w:hint="eastAsia"/>
          <w:sz w:val="21"/>
          <w:szCs w:val="21"/>
          <w:highlight w:val="none"/>
        </w:rPr>
      </w:pPr>
      <w:r>
        <w:rPr>
          <w:rStyle w:val="12"/>
          <w:rFonts w:hint="eastAsia"/>
          <w:sz w:val="21"/>
          <w:szCs w:val="21"/>
          <w:highlight w:val="none"/>
        </w:rPr>
        <w:t>五、基金收益分配中发生的费用</w:t>
      </w:r>
    </w:p>
    <w:p w14:paraId="6FF52815">
      <w:pPr>
        <w:pStyle w:val="8"/>
        <w:spacing w:before="0" w:beforeAutospacing="0" w:after="0" w:afterAutospacing="0" w:line="360" w:lineRule="auto"/>
        <w:ind w:firstLine="420"/>
        <w:rPr>
          <w:sz w:val="21"/>
          <w:szCs w:val="21"/>
          <w:highlight w:val="none"/>
        </w:rPr>
      </w:pPr>
      <w:r>
        <w:rPr>
          <w:rStyle w:val="12"/>
          <w:rFonts w:hint="eastAsia"/>
          <w:b w:val="0"/>
          <w:bCs w:val="0"/>
          <w:sz w:val="21"/>
          <w:szCs w:val="21"/>
          <w:highlight w:val="none"/>
        </w:rPr>
        <w:t>基金收益分配时所发生的银行转账或其他手续费用由投资者自行承担。</w:t>
      </w:r>
      <w:r>
        <w:rPr>
          <w:rFonts w:hint="eastAsia"/>
          <w:sz w:val="21"/>
          <w:szCs w:val="21"/>
          <w:highlight w:val="none"/>
        </w:rPr>
        <w:t xml:space="preserve"> </w:t>
      </w:r>
    </w:p>
    <w:p w14:paraId="583B61ED">
      <w:pPr>
        <w:widowControl/>
        <w:jc w:val="left"/>
        <w:rPr>
          <w:rFonts w:ascii="宋体" w:hAnsi="宋体" w:eastAsia="宋体"/>
          <w:highlight w:val="none"/>
        </w:rPr>
      </w:pPr>
      <w:r>
        <w:rPr>
          <w:rFonts w:ascii="宋体" w:hAnsi="宋体" w:eastAsia="宋体"/>
          <w:highlight w:val="none"/>
        </w:rPr>
        <w:br w:type="page"/>
      </w:r>
    </w:p>
    <w:p w14:paraId="53D5015E">
      <w:pPr>
        <w:pStyle w:val="2"/>
        <w:jc w:val="center"/>
        <w:rPr>
          <w:rFonts w:ascii="宋体" w:hAnsi="宋体" w:eastAsia="宋体"/>
          <w:sz w:val="30"/>
          <w:highlight w:val="none"/>
        </w:rPr>
      </w:pPr>
      <w:bookmarkStart w:id="147" w:name="chapter_level1_19_65"/>
      <w:bookmarkStart w:id="148" w:name="_Toc207933757"/>
      <w:r>
        <w:rPr>
          <w:rFonts w:hint="eastAsia" w:ascii="宋体" w:hAnsi="宋体" w:eastAsia="宋体"/>
          <w:sz w:val="30"/>
          <w:highlight w:val="none"/>
        </w:rPr>
        <w:t>第十六部分  基金的费用与税收</w:t>
      </w:r>
      <w:bookmarkEnd w:id="147"/>
      <w:bookmarkEnd w:id="148"/>
    </w:p>
    <w:p w14:paraId="7BBECE80">
      <w:pPr>
        <w:pStyle w:val="8"/>
        <w:spacing w:before="0" w:beforeAutospacing="0" w:after="0" w:afterAutospacing="0" w:line="360" w:lineRule="auto"/>
        <w:ind w:firstLine="420"/>
        <w:rPr>
          <w:sz w:val="21"/>
          <w:szCs w:val="21"/>
          <w:highlight w:val="none"/>
        </w:rPr>
      </w:pPr>
      <w:bookmarkStart w:id="149" w:name="chapter_level1_19_65_section_1"/>
      <w:bookmarkEnd w:id="149"/>
      <w:r>
        <w:rPr>
          <w:rStyle w:val="12"/>
          <w:rFonts w:hint="eastAsia"/>
          <w:sz w:val="21"/>
          <w:szCs w:val="21"/>
          <w:highlight w:val="none"/>
        </w:rPr>
        <w:t>一、基金费用的种类</w:t>
      </w:r>
    </w:p>
    <w:p w14:paraId="411552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1、基金管理人的管理费； </w:t>
      </w:r>
    </w:p>
    <w:p w14:paraId="1DB2F53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2、基金托管人的托管费； </w:t>
      </w:r>
    </w:p>
    <w:p w14:paraId="4ADA856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3、基金的证券、期货、股票期权交易费用； </w:t>
      </w:r>
    </w:p>
    <w:p w14:paraId="17FD72F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4、《基金合同》生效后与基金相关的信息披露费用，但法律法规、中国证监会另有规定的除外； </w:t>
      </w:r>
    </w:p>
    <w:p w14:paraId="22E6589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5、《基金合同》生效后与基金相关的会计师费、律师费、仲裁费和诉讼费； </w:t>
      </w:r>
    </w:p>
    <w:p w14:paraId="5164050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6、基金份额持有人大会费用； </w:t>
      </w:r>
    </w:p>
    <w:p w14:paraId="0943F9E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7、基金银行汇划费用、账户开户及维护费用； </w:t>
      </w:r>
    </w:p>
    <w:p w14:paraId="398C629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8、基金上市费及年费、场内注册登记费用、IOPV计算与发布费用； </w:t>
      </w:r>
    </w:p>
    <w:p w14:paraId="1520D27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9、收益分配中发生的费用； </w:t>
      </w:r>
    </w:p>
    <w:p w14:paraId="729F608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10、因投资港股通标的股票而产生的各项合理费用； </w:t>
      </w:r>
    </w:p>
    <w:p w14:paraId="17F13E9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基金依照有关法律法规应当缴纳的，购买或处置证券有关的任何税收、征费、关税、印花税、及预扣提税（以及与前述各项有关的任何利息及费用）（简称“税收”），及基金缴纳税收有关的手续费、汇款费、顾问费等； </w:t>
      </w:r>
    </w:p>
    <w:p w14:paraId="1CE8867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12、按照国家有关规定和《基金合同》约定，可以在基金财产中列支的其他费用。 </w:t>
      </w:r>
    </w:p>
    <w:p w14:paraId="01FE4AC6">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二、基金费用计提方法、计提标准和支付方式</w:t>
      </w:r>
    </w:p>
    <w:p w14:paraId="7BB3791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1、基金管理人的管理费 </w:t>
      </w:r>
    </w:p>
    <w:p w14:paraId="08CFC7C7">
      <w:pPr>
        <w:pStyle w:val="8"/>
        <w:spacing w:before="0" w:beforeAutospacing="0" w:after="0" w:afterAutospacing="0" w:line="360" w:lineRule="auto"/>
        <w:ind w:firstLine="420"/>
        <w:rPr>
          <w:sz w:val="21"/>
          <w:szCs w:val="21"/>
          <w:highlight w:val="none"/>
        </w:rPr>
      </w:pPr>
      <w:r>
        <w:rPr>
          <w:rFonts w:hint="eastAsia"/>
          <w:sz w:val="21"/>
          <w:szCs w:val="21"/>
          <w:highlight w:val="none"/>
        </w:rPr>
        <w:t>本基金的管理费按前一日基金资产净值的</w:t>
      </w:r>
      <w:bookmarkStart w:id="150" w:name="field_0_managementrate_1"/>
      <w:r>
        <w:rPr>
          <w:sz w:val="21"/>
          <w:szCs w:val="21"/>
          <w:highlight w:val="none"/>
        </w:rPr>
        <w:t>0.50</w:t>
      </w:r>
      <w:bookmarkEnd w:id="150"/>
      <w:r>
        <w:rPr>
          <w:rFonts w:hint="eastAsia"/>
          <w:sz w:val="21"/>
          <w:szCs w:val="21"/>
          <w:highlight w:val="none"/>
        </w:rPr>
        <w:t xml:space="preserve">%年费率计提。管理费的计算方法如下： </w:t>
      </w:r>
    </w:p>
    <w:p w14:paraId="6669BDC6">
      <w:pPr>
        <w:pStyle w:val="8"/>
        <w:spacing w:before="0" w:beforeAutospacing="0" w:after="0" w:afterAutospacing="0" w:line="360" w:lineRule="auto"/>
        <w:ind w:firstLine="420"/>
        <w:rPr>
          <w:sz w:val="21"/>
          <w:szCs w:val="21"/>
          <w:highlight w:val="none"/>
        </w:rPr>
      </w:pPr>
      <w:r>
        <w:rPr>
          <w:rFonts w:hint="eastAsia"/>
          <w:sz w:val="21"/>
          <w:szCs w:val="21"/>
          <w:highlight w:val="none"/>
        </w:rPr>
        <w:t>H＝E×</w:t>
      </w:r>
      <w:bookmarkStart w:id="151" w:name="field_0_managementrate_2"/>
      <w:r>
        <w:rPr>
          <w:sz w:val="21"/>
          <w:szCs w:val="21"/>
          <w:highlight w:val="none"/>
        </w:rPr>
        <w:t>0.50</w:t>
      </w:r>
      <w:bookmarkEnd w:id="151"/>
      <w:r>
        <w:rPr>
          <w:rFonts w:hint="eastAsia"/>
          <w:sz w:val="21"/>
          <w:szCs w:val="21"/>
          <w:highlight w:val="none"/>
        </w:rPr>
        <w:t xml:space="preserve">%÷当年天数 </w:t>
      </w:r>
    </w:p>
    <w:p w14:paraId="1972D32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H为每日应计提的基金管理费 </w:t>
      </w:r>
    </w:p>
    <w:p w14:paraId="41C7C9E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E为前一日的基金资产净值 </w:t>
      </w:r>
    </w:p>
    <w:p w14:paraId="455AA6E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费每日计提，按月支付。基金管理人与基金托管人双方核对无误后，基金托管人按照与基金管理人协商一致的方式于次月前3个工作日内从基金财产中一次性支付给基金管理人。若遇法定节假日、公休假等，支付日期顺延。 </w:t>
      </w:r>
    </w:p>
    <w:p w14:paraId="3D76B4D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2、基金托管人的托管费 </w:t>
      </w:r>
    </w:p>
    <w:p w14:paraId="70E438E8">
      <w:pPr>
        <w:pStyle w:val="8"/>
        <w:spacing w:before="0" w:beforeAutospacing="0" w:after="0" w:afterAutospacing="0" w:line="360" w:lineRule="auto"/>
        <w:ind w:firstLine="420"/>
        <w:rPr>
          <w:sz w:val="21"/>
          <w:szCs w:val="21"/>
          <w:highlight w:val="none"/>
        </w:rPr>
      </w:pPr>
      <w:r>
        <w:rPr>
          <w:rFonts w:hint="eastAsia"/>
          <w:sz w:val="21"/>
          <w:szCs w:val="21"/>
          <w:highlight w:val="none"/>
        </w:rPr>
        <w:t>本基金的托管费按前一日基金资产净值的</w:t>
      </w:r>
      <w:bookmarkStart w:id="152" w:name="field_0_trusteerate_1"/>
      <w:r>
        <w:rPr>
          <w:sz w:val="21"/>
          <w:szCs w:val="21"/>
          <w:highlight w:val="none"/>
        </w:rPr>
        <w:t>0.10</w:t>
      </w:r>
      <w:bookmarkEnd w:id="152"/>
      <w:r>
        <w:rPr>
          <w:rFonts w:hint="eastAsia"/>
          <w:sz w:val="21"/>
          <w:szCs w:val="21"/>
          <w:highlight w:val="none"/>
        </w:rPr>
        <w:t xml:space="preserve">%年费率计提。托管费的计算方法如下： </w:t>
      </w:r>
    </w:p>
    <w:p w14:paraId="3771219D">
      <w:pPr>
        <w:pStyle w:val="8"/>
        <w:spacing w:before="0" w:beforeAutospacing="0" w:after="0" w:afterAutospacing="0" w:line="360" w:lineRule="auto"/>
        <w:ind w:firstLine="420"/>
        <w:rPr>
          <w:sz w:val="21"/>
          <w:szCs w:val="21"/>
          <w:highlight w:val="none"/>
        </w:rPr>
      </w:pPr>
      <w:r>
        <w:rPr>
          <w:rFonts w:hint="eastAsia"/>
          <w:sz w:val="21"/>
          <w:szCs w:val="21"/>
          <w:highlight w:val="none"/>
        </w:rPr>
        <w:t>H＝E×</w:t>
      </w:r>
      <w:bookmarkStart w:id="153" w:name="field_0_trusteerate_2"/>
      <w:r>
        <w:rPr>
          <w:sz w:val="21"/>
          <w:szCs w:val="21"/>
          <w:highlight w:val="none"/>
        </w:rPr>
        <w:t>0.10</w:t>
      </w:r>
      <w:bookmarkEnd w:id="153"/>
      <w:r>
        <w:rPr>
          <w:rFonts w:hint="eastAsia"/>
          <w:sz w:val="21"/>
          <w:szCs w:val="21"/>
          <w:highlight w:val="none"/>
        </w:rPr>
        <w:t xml:space="preserve">%÷当年天数 </w:t>
      </w:r>
    </w:p>
    <w:p w14:paraId="002C0F5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H为每日应计提的基金托管费 </w:t>
      </w:r>
    </w:p>
    <w:p w14:paraId="7358323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E为前一日的基金资产净值 </w:t>
      </w:r>
    </w:p>
    <w:p w14:paraId="73DC5C4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托管费每日计提，按月支付。基金管理人与基金托管人双方核对无误后，基金托管人按照与基金管理人协商一致的方式于次月前3个工作日内从基金财产中一次性支取。若遇法定节假日、公休假等，支付日期顺延。 </w:t>
      </w:r>
    </w:p>
    <w:p w14:paraId="1625786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上述“一、基金费用的种类”中第3－12项费用，根据有关法规及相应协议规定，按费用实际支出金额列入当期费用，由基金托管人从基金财产中支付。 </w:t>
      </w:r>
    </w:p>
    <w:p w14:paraId="23DF870B">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三、不列入基金费用的项目</w:t>
      </w:r>
    </w:p>
    <w:p w14:paraId="08D108C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下列费用不列入基金费用： </w:t>
      </w:r>
    </w:p>
    <w:p w14:paraId="2C79A07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1、基金管理人和基金托管人因未履行或未完全履行义务导致的费用支出或基金财产的损失； </w:t>
      </w:r>
    </w:p>
    <w:p w14:paraId="355531D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2、基金管理人和基金托管人处理与基金运作无关的事项发生的费用； </w:t>
      </w:r>
    </w:p>
    <w:p w14:paraId="2195DC8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3、《基金合同》生效前的相关费用； </w:t>
      </w:r>
    </w:p>
    <w:p w14:paraId="5670011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4、指数许可使用基点费 </w:t>
      </w:r>
    </w:p>
    <w:p w14:paraId="65BB594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本基金按照基金管理人与标的指数许可方所签订的指数使用许可协议中所规定的指数许可使用基点费计提方法支付指数许可使用基点费，该指数许可使用基点费由基金管理人承担，不得从基金财产中列支。 </w:t>
      </w:r>
    </w:p>
    <w:p w14:paraId="39E407D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如果指数许可使用基点费的计算方法、费率、支付方式和费用承担方等发生调整，本基金将采用调整后的方法或费率计算指数许可使用基点费； </w:t>
      </w:r>
    </w:p>
    <w:p w14:paraId="26DD9F4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5、其他根据相关法律法规及中国证监会的有关规定不得列入基金费用的项目。 </w:t>
      </w:r>
    </w:p>
    <w:p w14:paraId="26E1BD6B">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四、基金税收</w:t>
      </w:r>
    </w:p>
    <w:p w14:paraId="62A36A71">
      <w:pPr>
        <w:pStyle w:val="8"/>
        <w:spacing w:before="0" w:beforeAutospacing="0" w:after="0" w:afterAutospacing="0" w:line="360" w:lineRule="auto"/>
        <w:ind w:firstLine="420"/>
        <w:rPr>
          <w:sz w:val="21"/>
          <w:szCs w:val="21"/>
          <w:highlight w:val="none"/>
        </w:rPr>
      </w:pPr>
      <w:r>
        <w:rPr>
          <w:rFonts w:hint="eastAsia"/>
          <w:sz w:val="21"/>
          <w:szCs w:val="21"/>
          <w:highlight w:val="none"/>
        </w:rPr>
        <w:t>本基金运作过程中涉及的各纳税主体，其纳税义务按国家税收法律、法规执行。基金财产投资的相关税收，由基金份额持有人承担，基金管理人或者其他扣缴义务人按照国家有关</w:t>
      </w:r>
      <w:bookmarkStart w:id="154" w:name="chapter_level1_19_65_section_1_end"/>
      <w:bookmarkEnd w:id="154"/>
      <w:r>
        <w:rPr>
          <w:rFonts w:hint="eastAsia"/>
          <w:sz w:val="21"/>
          <w:szCs w:val="21"/>
          <w:highlight w:val="none"/>
        </w:rPr>
        <w:t xml:space="preserve">税收征收的规定代扣代缴。 </w:t>
      </w:r>
    </w:p>
    <w:p w14:paraId="3F2B48F8">
      <w:pPr>
        <w:widowControl/>
        <w:jc w:val="left"/>
        <w:rPr>
          <w:rFonts w:ascii="宋体" w:hAnsi="宋体" w:eastAsia="宋体"/>
          <w:highlight w:val="none"/>
        </w:rPr>
      </w:pPr>
      <w:r>
        <w:rPr>
          <w:rFonts w:ascii="宋体" w:hAnsi="宋体" w:eastAsia="宋体"/>
          <w:highlight w:val="none"/>
        </w:rPr>
        <w:br w:type="page"/>
      </w:r>
    </w:p>
    <w:p w14:paraId="7AEE189A">
      <w:pPr>
        <w:pStyle w:val="2"/>
        <w:jc w:val="center"/>
        <w:rPr>
          <w:rFonts w:ascii="宋体" w:hAnsi="宋体" w:eastAsia="宋体"/>
          <w:sz w:val="30"/>
          <w:highlight w:val="none"/>
        </w:rPr>
      </w:pPr>
      <w:bookmarkStart w:id="155" w:name="chapter_level1_20_66"/>
      <w:bookmarkStart w:id="156" w:name="_Toc207933758"/>
      <w:r>
        <w:rPr>
          <w:rFonts w:hint="eastAsia" w:ascii="宋体" w:hAnsi="宋体" w:eastAsia="宋体"/>
          <w:sz w:val="30"/>
          <w:highlight w:val="none"/>
        </w:rPr>
        <w:t>第十七部分  基金的会计与审计</w:t>
      </w:r>
      <w:bookmarkEnd w:id="155"/>
      <w:bookmarkEnd w:id="156"/>
    </w:p>
    <w:p w14:paraId="47028798">
      <w:pPr>
        <w:pStyle w:val="8"/>
        <w:spacing w:before="0" w:beforeAutospacing="0" w:after="0" w:afterAutospacing="0" w:line="360" w:lineRule="auto"/>
        <w:ind w:firstLine="420"/>
        <w:rPr>
          <w:sz w:val="21"/>
          <w:szCs w:val="21"/>
          <w:highlight w:val="none"/>
        </w:rPr>
      </w:pPr>
      <w:bookmarkStart w:id="157" w:name="chapter_level1_20_66_section_1"/>
      <w:bookmarkEnd w:id="157"/>
      <w:r>
        <w:rPr>
          <w:rStyle w:val="12"/>
          <w:rFonts w:hint="eastAsia"/>
          <w:sz w:val="21"/>
          <w:szCs w:val="21"/>
          <w:highlight w:val="none"/>
        </w:rPr>
        <w:t>一、基金的会计政策</w:t>
      </w:r>
    </w:p>
    <w:p w14:paraId="355BA6D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1、基金管理人为本基金的基金会计责任方； </w:t>
      </w:r>
    </w:p>
    <w:p w14:paraId="7793334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2、基金的会计年度为公历年度的1月1日至12月31日；基金首次募集的会计年度按如下原则：如果《基金合同》生效少于2个月，可以并入下一个会计年度披露； </w:t>
      </w:r>
    </w:p>
    <w:p w14:paraId="67FA92C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3、基金核算以人民币为记账本位币，以人民币元为记账单位； </w:t>
      </w:r>
    </w:p>
    <w:p w14:paraId="43CDDA6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4、会计制度执行国家有关会计制度； </w:t>
      </w:r>
    </w:p>
    <w:p w14:paraId="7680407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5、本基金独立建账、独立核算； </w:t>
      </w:r>
    </w:p>
    <w:p w14:paraId="5F325F9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6、基金管理人及基金托管人各自保留完整的会计账目、凭证并进行日常的会计核算，按照有关规定编制基金会计报表； </w:t>
      </w:r>
    </w:p>
    <w:p w14:paraId="457EF33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7、基金托管人每月与基金管理人就基金的会计核算、报表编制等进行核对并以书面方式确认。 </w:t>
      </w:r>
    </w:p>
    <w:p w14:paraId="0D911995">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二、基金的年度审计</w:t>
      </w:r>
    </w:p>
    <w:p w14:paraId="23E49D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1、基金管理人聘请与基金管理人、基金托管人相互独立且符合《证券法》规定的会计师事务所及其注册会计师对本基金的年度财务报表进行审计。 </w:t>
      </w:r>
    </w:p>
    <w:p w14:paraId="29CF93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2、会计师事务所更换经办注册会计师，应事先征得基金管理人同意。 </w:t>
      </w:r>
    </w:p>
    <w:p w14:paraId="231B0AB7">
      <w:pPr>
        <w:pStyle w:val="8"/>
        <w:spacing w:before="0" w:beforeAutospacing="0" w:after="0" w:afterAutospacing="0" w:line="360" w:lineRule="auto"/>
        <w:ind w:firstLine="420"/>
        <w:rPr>
          <w:sz w:val="21"/>
          <w:szCs w:val="21"/>
          <w:highlight w:val="none"/>
        </w:rPr>
      </w:pPr>
      <w:r>
        <w:rPr>
          <w:rFonts w:hint="eastAsia"/>
          <w:sz w:val="21"/>
          <w:szCs w:val="21"/>
          <w:highlight w:val="none"/>
        </w:rPr>
        <w:t>3、基金管理人认为有充足理由更换会计师事务所，须通报基金托管人。更换会计师事</w:t>
      </w:r>
      <w:bookmarkStart w:id="158" w:name="chapter_level1_20_66_section_1_end"/>
      <w:bookmarkEnd w:id="158"/>
      <w:r>
        <w:rPr>
          <w:rFonts w:hint="eastAsia"/>
          <w:sz w:val="21"/>
          <w:szCs w:val="21"/>
          <w:highlight w:val="none"/>
        </w:rPr>
        <w:t xml:space="preserve">务所需依照《信息披露办法》在规定媒介公告。 </w:t>
      </w:r>
    </w:p>
    <w:p w14:paraId="708CD84D">
      <w:pPr>
        <w:widowControl/>
        <w:jc w:val="left"/>
        <w:rPr>
          <w:rFonts w:ascii="宋体" w:hAnsi="宋体" w:eastAsia="宋体"/>
          <w:highlight w:val="none"/>
        </w:rPr>
      </w:pPr>
      <w:r>
        <w:rPr>
          <w:rFonts w:ascii="宋体" w:hAnsi="宋体" w:eastAsia="宋体"/>
          <w:highlight w:val="none"/>
        </w:rPr>
        <w:br w:type="page"/>
      </w:r>
    </w:p>
    <w:p w14:paraId="10E43F77">
      <w:pPr>
        <w:pStyle w:val="2"/>
        <w:jc w:val="center"/>
        <w:rPr>
          <w:rFonts w:ascii="宋体" w:hAnsi="宋体" w:eastAsia="宋体"/>
          <w:sz w:val="30"/>
          <w:highlight w:val="none"/>
        </w:rPr>
      </w:pPr>
      <w:bookmarkStart w:id="159" w:name="_Toc207933759"/>
      <w:bookmarkStart w:id="160" w:name="chapter_level1_21_67"/>
      <w:r>
        <w:rPr>
          <w:rFonts w:hint="eastAsia" w:ascii="宋体" w:hAnsi="宋体" w:eastAsia="宋体"/>
          <w:sz w:val="30"/>
          <w:highlight w:val="none"/>
        </w:rPr>
        <w:t>第十八部分  基金的信息披露</w:t>
      </w:r>
      <w:bookmarkEnd w:id="159"/>
      <w:bookmarkEnd w:id="160"/>
    </w:p>
    <w:p w14:paraId="2842A844">
      <w:pPr>
        <w:pStyle w:val="8"/>
        <w:spacing w:before="0" w:beforeAutospacing="0" w:after="0" w:afterAutospacing="0" w:line="360" w:lineRule="auto"/>
        <w:ind w:firstLine="420"/>
        <w:rPr>
          <w:sz w:val="21"/>
          <w:szCs w:val="21"/>
          <w:highlight w:val="none"/>
        </w:rPr>
      </w:pPr>
      <w:bookmarkStart w:id="161" w:name="chapter_level1_21_67_section_1"/>
      <w:bookmarkEnd w:id="161"/>
      <w:r>
        <w:rPr>
          <w:rStyle w:val="12"/>
          <w:rFonts w:hint="eastAsia"/>
          <w:sz w:val="21"/>
          <w:szCs w:val="21"/>
          <w:highlight w:val="none"/>
        </w:rPr>
        <w:t>一、本基金的信息披露应符合《基金法》、《运作办法》、《信息披露办法》、《流动性风险管理规定》、《基金合同》及其他有关规定。相关法律法规关于信息披露的披露方式、登载媒介、报备方式等规定发生变化时，本基金从其最新规定。</w:t>
      </w:r>
    </w:p>
    <w:p w14:paraId="0A047220">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二、信息披露义务人</w:t>
      </w:r>
    </w:p>
    <w:p w14:paraId="2A8B3B0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本基金信息披露义务人包括基金管理人、基金托管人、召集基金份额持有人大会的基金份额持有人等法律、行政法规和中国证监会规定的自然人、法人和非法人组织。 </w:t>
      </w:r>
    </w:p>
    <w:p w14:paraId="6216D36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本基金信息披露义务人以保护基金份额持有人利益为根本出发点，按照法律法规和中国证监会的规定披露基金信息，并保证所披露信息的真实性、准确性、完整性、及时性、简明性和易得性。 </w:t>
      </w:r>
    </w:p>
    <w:p w14:paraId="15708E9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 </w:t>
      </w:r>
    </w:p>
    <w:p w14:paraId="11DCF0C2">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三、本基金信息披露义务人承诺公开披露的基金信息，不得有下列行为：</w:t>
      </w:r>
    </w:p>
    <w:p w14:paraId="4329051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1、虚假记载、误导性陈述或者重大遗漏； </w:t>
      </w:r>
    </w:p>
    <w:p w14:paraId="3F53A63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2、对证券投资业绩进行预测； </w:t>
      </w:r>
    </w:p>
    <w:p w14:paraId="0C91FF7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3、违规承诺收益或者承担损失； </w:t>
      </w:r>
    </w:p>
    <w:p w14:paraId="55B4DE1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4、诋毁其他基金管理人、基金托管人或者基金销售机构； </w:t>
      </w:r>
    </w:p>
    <w:p w14:paraId="34F6C45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5、登载任何自然人、法人和非法人组织的祝贺性、恭维性或推荐性的文字； </w:t>
      </w:r>
    </w:p>
    <w:p w14:paraId="02DA768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6、中国证监会禁止的其他行为。 </w:t>
      </w:r>
    </w:p>
    <w:p w14:paraId="39026B62">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四、本基金公开披露的信息应采用中文文本。如同时采用外文文本的，基金信息披露义务人应保证不同文本的内容一致。不同文本之间发生歧义的，以中文文本为准。</w:t>
      </w:r>
    </w:p>
    <w:p w14:paraId="7583F846">
      <w:pPr>
        <w:pStyle w:val="8"/>
        <w:spacing w:before="0" w:beforeAutospacing="0" w:after="0" w:afterAutospacing="0" w:line="360" w:lineRule="auto"/>
        <w:ind w:firstLine="420"/>
        <w:rPr>
          <w:sz w:val="21"/>
          <w:szCs w:val="21"/>
          <w:highlight w:val="none"/>
        </w:rPr>
      </w:pPr>
      <w:bookmarkStart w:id="162" w:name="chapter_level1_21_67_section_1_end"/>
      <w:bookmarkEnd w:id="162"/>
      <w:r>
        <w:rPr>
          <w:rFonts w:hint="eastAsia"/>
          <w:sz w:val="21"/>
          <w:szCs w:val="21"/>
          <w:highlight w:val="none"/>
        </w:rPr>
        <w:t xml:space="preserve">本基金公开披露的信息采用阿拉伯数字；除特别说明外，货币单位为人民币元。 </w:t>
      </w:r>
    </w:p>
    <w:p w14:paraId="1BE3B3EF">
      <w:pPr>
        <w:pStyle w:val="8"/>
        <w:spacing w:before="0" w:beforeAutospacing="0" w:after="0" w:afterAutospacing="0" w:line="360" w:lineRule="auto"/>
        <w:ind w:firstLine="420"/>
        <w:rPr>
          <w:sz w:val="21"/>
          <w:szCs w:val="21"/>
          <w:highlight w:val="none"/>
        </w:rPr>
      </w:pPr>
      <w:bookmarkStart w:id="163" w:name="chapter_level1_21_67_section_2"/>
      <w:bookmarkEnd w:id="163"/>
      <w:r>
        <w:rPr>
          <w:rStyle w:val="12"/>
          <w:rFonts w:hint="eastAsia"/>
          <w:sz w:val="21"/>
          <w:szCs w:val="21"/>
          <w:highlight w:val="none"/>
        </w:rPr>
        <w:t>五、公开披露的基金信息</w:t>
      </w:r>
    </w:p>
    <w:p w14:paraId="37AFA08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公开披露的基金信息包括： </w:t>
      </w:r>
    </w:p>
    <w:p w14:paraId="05E1226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（一）基金招募说明书、基金产品资料概要、基金合同、基金托管协议 </w:t>
      </w:r>
    </w:p>
    <w:p w14:paraId="2F2F04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1、基金合同是界定基金合同当事人的各项权利、义务关系，明确基金份额持有人大会召开的规则及具体程序，说明基金产品的特性等涉及基金投资者重大利益的事项的法律文件。 </w:t>
      </w:r>
    </w:p>
    <w:p w14:paraId="3728457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14:paraId="4A0FAB0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3、基金托管协议是界定基金托管人和基金管理人在基金财产保管及基金运作监督等活动中的权利、义务关系的法律文件。 </w:t>
      </w:r>
    </w:p>
    <w:p w14:paraId="56BD00B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14:paraId="66A2F39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 </w:t>
      </w:r>
    </w:p>
    <w:p w14:paraId="3F5876A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（二）基金份额发售公告 </w:t>
      </w:r>
    </w:p>
    <w:p w14:paraId="000CDEC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基金管理人应当就基金份额发售的具体事宜编制基金份额发售公告。 </w:t>
      </w:r>
    </w:p>
    <w:p w14:paraId="4E869CF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（三）《基金合同》生效公告 </w:t>
      </w:r>
    </w:p>
    <w:p w14:paraId="75BD8E1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基金管理人应当在收到中国证监会确认文件的次日在规定报刊和规定网站上登载《基金合同》生效公告。 </w:t>
      </w:r>
    </w:p>
    <w:p w14:paraId="6D4CEA2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（四）基金份额上市交易公告书 </w:t>
      </w:r>
    </w:p>
    <w:p w14:paraId="184B7EA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基金份额获准在证券交易所上市交易的，基金管理人应当在基金份额上市交易的3个工作日前，将基金份额上市交易公告书登载在规定网站上，并将上市交易公告书提示性公告登载在规定报刊上。 </w:t>
      </w:r>
    </w:p>
    <w:p w14:paraId="155D201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（五）基金份额折算日和折算结果公告 </w:t>
      </w:r>
    </w:p>
    <w:p w14:paraId="39F4645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基金管理人确定基金份额折算日，并依照《信息披露办法》的有关规定将基金份额折算日公告登载于规定媒介上。 </w:t>
      </w:r>
    </w:p>
    <w:p w14:paraId="2A65F95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基金份额进行折算并由登记机构完成基金份额的变更登记后，基金管理人将基金份额折算结果公告登载于规定媒介上。 </w:t>
      </w:r>
    </w:p>
    <w:p w14:paraId="22F88CA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（六）基金净值信息 </w:t>
      </w:r>
    </w:p>
    <w:p w14:paraId="1ABF2D5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基金合同生效后，在基金份额上市交易且开始办理基金份额申购或者赎回前，基金管理人应当至少每周在规定网站披露一次基金份额净值和基金份额累计净值。 </w:t>
      </w:r>
    </w:p>
    <w:p w14:paraId="0B929EC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基金份额上市交易或开始办理基金份额申购或者赎回后，基金管理人应当在不晚于每个开放日的次日，通过规定网站、基金销售机构网站或者营业网点以及其他媒介，披露开放日的基金份额净值和基金份额累计净值。 </w:t>
      </w:r>
    </w:p>
    <w:p w14:paraId="61873AC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基金管理人应当在不晚于半年度和年度最后一日的次日，在规定网站披露半年度和年度最后一日的基金份额净值和基金份额累计净值。 </w:t>
      </w:r>
    </w:p>
    <w:p w14:paraId="233501D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（七）基金份额申购、赎回清单 </w:t>
      </w:r>
    </w:p>
    <w:p w14:paraId="71582DE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在开始办理基金份额申购或者赎回之后，基金管理人应当在每个开放日，通过规定网站、申购赎回代理券商以及其他媒介公告当日的申购、赎回清单。 </w:t>
      </w:r>
    </w:p>
    <w:p w14:paraId="2CAFD9D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（八）基金定期报告，包括基金年度报告、基金中期报告和基金季度报告（含资产组合季度报告） </w:t>
      </w:r>
    </w:p>
    <w:p w14:paraId="25726ED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在每年结束之日起三个月内，编制完成基金年度报告，将年度报告登载于规定网站上，并将年度报告提示性公告登载在规定报刊上。基金年度报告中的财务会计报告应当经过符合《证券法》规定的会计师事务所审计。 </w:t>
      </w:r>
    </w:p>
    <w:p w14:paraId="52CE8E0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基金管理人应当在上半年结束之日起两个月内，编制完成基金中期报告，将中期报告登载在规定网站上，并将中期报告提示性公告登载在规定报刊上。 </w:t>
      </w:r>
    </w:p>
    <w:p w14:paraId="51FBB42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基金管理人应当在季度结束之日起15个工作日内，编制完成基金季度报告，将季度报告登载在规定网站上，并将季度报告提示性公告登载在规定报刊上。 </w:t>
      </w:r>
    </w:p>
    <w:p w14:paraId="707F06E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《基金合同》生效不足2个月的，基金管理人可以不编制当期季度报告、中期报告或者年度报告。 </w:t>
      </w:r>
    </w:p>
    <w:p w14:paraId="3AE6ADE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 </w:t>
      </w:r>
    </w:p>
    <w:p w14:paraId="75E7498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基金管理人应当在基金年度报告和中期报告中披露基金组合资产情况及其流动性风险分析等。 </w:t>
      </w:r>
    </w:p>
    <w:p w14:paraId="1CF0511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（九）临时报告 </w:t>
      </w:r>
    </w:p>
    <w:p w14:paraId="7F608AC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本基金发生重大事件，有关信息披露义务人应当依照《信息披露办法》编制临时报告书，并登载在规定报刊和规定网站上。 </w:t>
      </w:r>
    </w:p>
    <w:p w14:paraId="65F501E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前款所称重大事件，是指可能对基金份额持有人权益或者基金份额的价格产生重大影响的下列事件： </w:t>
      </w:r>
    </w:p>
    <w:p w14:paraId="0BDD8E6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1、基金份额持有人大会的召开及决定的事项； </w:t>
      </w:r>
    </w:p>
    <w:p w14:paraId="4DFDB4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2、基金合同终止、基金清算； </w:t>
      </w:r>
    </w:p>
    <w:p w14:paraId="3DBCDA7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3、转换基金运作方式、基金合并； </w:t>
      </w:r>
    </w:p>
    <w:p w14:paraId="0A8E135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4、更换基金管理人、基金托管人、基金份额登记机构，基金改聘会计师事务所； </w:t>
      </w:r>
    </w:p>
    <w:p w14:paraId="5083F81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5、基金管理人委托基金服务机构代为办理基金的份额登记、核算、估值等事项，基金托管人委托基金服务机构代为办理基金的核算、估值、复核等事项； </w:t>
      </w:r>
    </w:p>
    <w:p w14:paraId="42A4758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6、基金管理人、基金托管人的法定名称、住所发生变更； </w:t>
      </w:r>
    </w:p>
    <w:p w14:paraId="5B395A3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7、基金管理人变更持有百分之五以上股权的股东、基金管理人的实际控制人变更； </w:t>
      </w:r>
    </w:p>
    <w:p w14:paraId="6EDF0AA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8、基金募集期延长或提前结束募集； </w:t>
      </w:r>
    </w:p>
    <w:p w14:paraId="166E02F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9、基金管理人高级管理人员、基金经理和基金托管人专门基金托管部门负责人发生变动； </w:t>
      </w:r>
    </w:p>
    <w:p w14:paraId="74B334E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10、基金管理人的董事在最近12个月内变更超过50%； </w:t>
      </w:r>
    </w:p>
    <w:p w14:paraId="2AD6034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11、基金管理人、基金托管人专门基金托管部门的主要业务人员在最近12个月内变动超过30%； </w:t>
      </w:r>
    </w:p>
    <w:p w14:paraId="6438661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12、涉及基金管理业务、基金财产、基金托管业务的诉讼或仲裁； </w:t>
      </w:r>
    </w:p>
    <w:p w14:paraId="36E22ED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13、基金管理人或其高级管理人员、基金经理因基金管理业务相关行为受到重大行政处罚、刑事处罚，基金托管人或其专门基金托管部门负责人因基金托管业务相关行为受到重大行政处罚、刑事处罚； </w:t>
      </w:r>
    </w:p>
    <w:p w14:paraId="165EB54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14、基金管理人运用基金财产买卖基金管理人、基金托管人及其控股股东、实际控制人或者与其有重大利害关系的公司发行的证券或者承销期内承销的证券，或者从事其他重大关联交易事项，中国证监会另有规定的情形除外； </w:t>
      </w:r>
    </w:p>
    <w:p w14:paraId="1E578E9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15、基金收益分配事项； </w:t>
      </w:r>
    </w:p>
    <w:p w14:paraId="36B75C3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16、管理费、托管费、申购费、赎回费等费用计提标准、计提方式和费率发生变更； </w:t>
      </w:r>
    </w:p>
    <w:p w14:paraId="648CDCC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17、基金份额净值计价错误达基金份额净值0.5%； </w:t>
      </w:r>
    </w:p>
    <w:p w14:paraId="7C0EABE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18、本基金开始办理申购、赎回； </w:t>
      </w:r>
    </w:p>
    <w:p w14:paraId="79CCF5B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19、本基金暂停接受申购、赎回申请或重新接受申购、赎回申请； </w:t>
      </w:r>
    </w:p>
    <w:p w14:paraId="4A92AD3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20、本基金变更标的指数； </w:t>
      </w:r>
    </w:p>
    <w:p w14:paraId="0117C18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21、本基金停复牌、暂停上市、恢复上市或终止上市交易； </w:t>
      </w:r>
    </w:p>
    <w:p w14:paraId="73F0E20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22、调整最小申购赎回单位、申购赎回方式及申购对价、赎回对价组成； </w:t>
      </w:r>
    </w:p>
    <w:p w14:paraId="207FD66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23、发生涉及本基金申购、赎回事项调整或潜在影响投资者赎回等重大事项时； </w:t>
      </w:r>
    </w:p>
    <w:p w14:paraId="4887AE0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24、连续30个工作日、40个工作日及45个工作日出现基金份额持有人数量不满二百人或者基金资产净值低于五千万元情形的； </w:t>
      </w:r>
    </w:p>
    <w:p w14:paraId="62685F0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25、基金信息披露义务人认为可能对基金份额持有人权益或者基金份额的价格产生重大影响的其他事项或中国证监会或基金合同规定的其他事项。 </w:t>
      </w:r>
    </w:p>
    <w:p w14:paraId="23999CC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（十）澄清公告 </w:t>
      </w:r>
    </w:p>
    <w:p w14:paraId="4E4CF51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基金上市交易的证券交易所。 </w:t>
      </w:r>
    </w:p>
    <w:p w14:paraId="7323A6E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（十一）清算报告 </w:t>
      </w:r>
    </w:p>
    <w:p w14:paraId="4D8A834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基金合同出现终止情形的，基金管理人应当依法组织基金财产清算小组对基金财产进行清算并作出清算报告。基金财产清算小组应当将清算报告登载在规定网站上，并将清算报告提示性公告登载在规定报刊上。 </w:t>
      </w:r>
    </w:p>
    <w:p w14:paraId="5798E85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（十二）基金份额持有人大会决议 </w:t>
      </w:r>
    </w:p>
    <w:p w14:paraId="03BA061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基金份额持有人大会决定的事项，应当依法报中国证监会备案，并予以公告。 </w:t>
      </w:r>
    </w:p>
    <w:p w14:paraId="1A6A1EA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（十三）基金投资股指期货和国债期货的信息披露 </w:t>
      </w:r>
    </w:p>
    <w:p w14:paraId="29592DE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股指期货或国债期货的，基金管理人应在季度报告、中期报告、年度报告等定期报告和招募说明书（更新）等文件中披露股指期货、国债期货交易情况，包括投资政策、持仓情况、损益情况、风险指标等，并充分揭示股指期货、国债期货交易对基金总体风险的影响以及是否符合既定的投资政策和投资目标等。 </w:t>
      </w:r>
    </w:p>
    <w:p w14:paraId="0A2F019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（十四）基金投资资产支持证券的信息披露 </w:t>
      </w:r>
    </w:p>
    <w:p w14:paraId="07B7558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资产支持证券的，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216C002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（十五）基金投资股票期权的信息披露 </w:t>
      </w:r>
    </w:p>
    <w:p w14:paraId="1EC1A79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股票期权的，基金管理人应当在季度报告、中期报告、年度报告等定期报告和招募说明书（更新）等文件中披露股票期权交易情况，包括投资政策、持仓情况、损益情况、风险指标、估值方法等，并充分揭示股票期权交易对基金总体风险的影响以及是否符合既定的投资政策和投资目标等。 </w:t>
      </w:r>
    </w:p>
    <w:p w14:paraId="3E567EF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（十六）参与融资和转融通证券出借业务的公告 </w:t>
      </w:r>
    </w:p>
    <w:p w14:paraId="2CE83BE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参与融资和转融通证券出借业务的，基金管理人应当在季度报告、中期报告、年度报告等定期报告和招募说明书（更新）等文件中披露参与融资和转融通证券出借业务的情况，包括投资策略、业务开展情况、损益情况、风险及其管理情况等，并就转融通证券出借业务在报告期内发生的重大关联交易事项做详细说明。 </w:t>
      </w:r>
    </w:p>
    <w:p w14:paraId="2E5C581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（十七）基金投资流通受限证券的信息披露 </w:t>
      </w:r>
    </w:p>
    <w:p w14:paraId="0D9C758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流通受限证券的，基金管理人应在基金投资非公开发行股票后两个交易日内，在中国证监会规定媒介披露所投资非公开发行股票的名称、数量、总成本、账面价值，以及总成本和账面价值占基金资产净值的比例、锁定期等信息。 </w:t>
      </w:r>
    </w:p>
    <w:p w14:paraId="3E2353A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（十八）基金投资港股通标的股票的信息披露 </w:t>
      </w:r>
    </w:p>
    <w:p w14:paraId="0E99062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在基金季度报告、中期报告、年度报告等定期报告和招募说明书（更新）等文件中披露港股通标的股票的投资情况，包括报告期末本基金在香港地区证券市场的权益投资分布情况及按相关法律法规及中国证监会要求披露港股通标的股票的投资明细等内容。若中国证监会对公开募集证券投资基金通过内地与香港股票市场交易互联互通机制投资香港股票市场的信息披露另有规定的，从其规定。 </w:t>
      </w:r>
    </w:p>
    <w:p w14:paraId="2738A059">
      <w:pPr>
        <w:pStyle w:val="8"/>
        <w:spacing w:before="0" w:beforeAutospacing="0" w:after="0" w:afterAutospacing="0" w:line="360" w:lineRule="auto"/>
        <w:ind w:firstLine="420"/>
        <w:rPr>
          <w:sz w:val="21"/>
          <w:szCs w:val="21"/>
          <w:highlight w:val="none"/>
        </w:rPr>
      </w:pPr>
      <w:bookmarkStart w:id="164" w:name="chapter_level1_21_67_section_2_end"/>
      <w:bookmarkEnd w:id="164"/>
      <w:r>
        <w:rPr>
          <w:rFonts w:hint="eastAsia"/>
          <w:sz w:val="21"/>
          <w:szCs w:val="21"/>
          <w:highlight w:val="none"/>
        </w:rPr>
        <w:t xml:space="preserve">（十九）中国证监会规定的其他信息 </w:t>
      </w:r>
    </w:p>
    <w:p w14:paraId="2E7889E5">
      <w:pPr>
        <w:pStyle w:val="8"/>
        <w:spacing w:before="0" w:beforeAutospacing="0" w:after="0" w:afterAutospacing="0" w:line="360" w:lineRule="auto"/>
        <w:ind w:firstLine="420"/>
        <w:rPr>
          <w:sz w:val="21"/>
          <w:szCs w:val="21"/>
          <w:highlight w:val="none"/>
        </w:rPr>
      </w:pPr>
      <w:bookmarkStart w:id="165" w:name="chapter_level1_21_67_section_3"/>
      <w:bookmarkEnd w:id="165"/>
      <w:r>
        <w:rPr>
          <w:rStyle w:val="12"/>
          <w:rFonts w:hint="eastAsia"/>
          <w:sz w:val="21"/>
          <w:szCs w:val="21"/>
          <w:highlight w:val="none"/>
        </w:rPr>
        <w:t>六、信息披露事务管理</w:t>
      </w:r>
    </w:p>
    <w:p w14:paraId="13509C5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基金管理人、基金托管人应当建立健全信息披露管理制度，指定专门部门及高级管理人员负责管理信息披露事务。 </w:t>
      </w:r>
    </w:p>
    <w:p w14:paraId="58BB1FB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基金信息披露义务人公开披露基金信息，应当符合中国证监会相关基金信息披露内容与格式准则等法规以及证券交易所的自律管理规则的规定。 </w:t>
      </w:r>
    </w:p>
    <w:p w14:paraId="3DC2012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托管人应当按照相关法律法规、中国证监会的规定和基金合同的约定，对基金管理人编制的基金资产净值、基金份额净值、申购对价、赎回对价、基金定期报告、更新的招募说明书、基金产品资料概要、基金清算报告等相关基金信息进行复核、审查，并向基金管理人进行书面或电子确认。 </w:t>
      </w:r>
    </w:p>
    <w:p w14:paraId="35A2D91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基金管理人、基金托管人应当在规定报刊中选择一家报刊披露本基金信息。基金管理人、基金托管人应当向中国证监会基金电子披露网站报送拟披露的基金信息，并保证相关报送信息的真实、准确、完整、及时。 </w:t>
      </w:r>
    </w:p>
    <w:p w14:paraId="5C90A1C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 </w:t>
      </w:r>
    </w:p>
    <w:p w14:paraId="0744C12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基金托管人除依法在规定媒介上披露信息外，还可以根据需要在其他公共媒介披露信息，但是其他公共媒介不得早于规定媒介和基金上市交易的证券交易所网站披露信息，并且在不同媒介上披露同一信息的内容应当一致。 </w:t>
      </w:r>
    </w:p>
    <w:p w14:paraId="609DACE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为基金信息披露义务人公开披露的基金信息出具审计报告、法律意见书的专业机构，应当制作工作底稿，并将相关档案至少保存到《基金合同》终止后10年。 </w:t>
      </w:r>
    </w:p>
    <w:p w14:paraId="560A9F2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七、信息披露文件的存放与查阅</w:t>
      </w:r>
    </w:p>
    <w:p w14:paraId="74C521A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依法必须披露的信息发布后，基金管理人、基金托管人应当按照相关法律法规规定将信息置备于公司住所、基金上市交易的证券交易所，以供社会公众查阅、复制。 </w:t>
      </w:r>
    </w:p>
    <w:p w14:paraId="3DC510A9">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八、暂停或延迟披露基金相关信息的情形</w:t>
      </w:r>
    </w:p>
    <w:p w14:paraId="42CFF64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当出现下述情况时，基金管理人和基金托管人可暂停或延迟披露基金相关信息： </w:t>
      </w:r>
    </w:p>
    <w:p w14:paraId="4F089C6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1、因不可抗力致使基金管理人、基金托管人无法准确评估基金资产价值时； </w:t>
      </w:r>
    </w:p>
    <w:p w14:paraId="0C30649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2、基金投资所涉及的证券、期货交易市场或外汇市场遇法定节假日或因其他原因暂停营业时； </w:t>
      </w:r>
    </w:p>
    <w:p w14:paraId="1067CFF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3、当前一估值日基金资产净值50%以上的资产出现无可参考的活跃市场价格且采用估值技术仍导致公允价值存在重大不确定性时，经与基金托管人协商一致确认后，应当暂停估值； </w:t>
      </w:r>
    </w:p>
    <w:p w14:paraId="227778E8">
      <w:pPr>
        <w:pStyle w:val="8"/>
        <w:spacing w:before="0" w:beforeAutospacing="0" w:after="0" w:afterAutospacing="0" w:line="360" w:lineRule="auto"/>
        <w:ind w:firstLine="420"/>
        <w:rPr>
          <w:sz w:val="21"/>
          <w:szCs w:val="21"/>
          <w:highlight w:val="none"/>
        </w:rPr>
      </w:pPr>
      <w:bookmarkStart w:id="166" w:name="chapter_level1_21_67_section_3_end"/>
      <w:bookmarkEnd w:id="166"/>
      <w:r>
        <w:rPr>
          <w:rFonts w:hint="eastAsia"/>
          <w:sz w:val="21"/>
          <w:szCs w:val="21"/>
          <w:highlight w:val="none"/>
        </w:rPr>
        <w:t xml:space="preserve">4、法律法规、基金合同认定的或中国证监会规定的其他情形。 </w:t>
      </w:r>
    </w:p>
    <w:p w14:paraId="6D02598C">
      <w:pPr>
        <w:widowControl/>
        <w:jc w:val="left"/>
        <w:rPr>
          <w:rFonts w:ascii="宋体" w:hAnsi="宋体" w:eastAsia="宋体"/>
          <w:highlight w:val="none"/>
        </w:rPr>
      </w:pPr>
      <w:r>
        <w:rPr>
          <w:rFonts w:ascii="宋体" w:hAnsi="宋体" w:eastAsia="宋体"/>
          <w:highlight w:val="none"/>
        </w:rPr>
        <w:br w:type="page"/>
      </w:r>
    </w:p>
    <w:p w14:paraId="128E61A0">
      <w:pPr>
        <w:pStyle w:val="2"/>
        <w:jc w:val="center"/>
        <w:rPr>
          <w:rFonts w:ascii="宋体" w:hAnsi="宋体" w:eastAsia="宋体"/>
          <w:sz w:val="30"/>
          <w:highlight w:val="none"/>
        </w:rPr>
      </w:pPr>
      <w:bookmarkStart w:id="167" w:name="chapter_level1_22_68"/>
      <w:bookmarkStart w:id="168" w:name="_Toc207933760"/>
      <w:r>
        <w:rPr>
          <w:rFonts w:hint="eastAsia" w:ascii="宋体" w:hAnsi="宋体" w:eastAsia="宋体"/>
          <w:sz w:val="30"/>
          <w:highlight w:val="none"/>
        </w:rPr>
        <w:t>第十九部分  风险揭示</w:t>
      </w:r>
      <w:bookmarkEnd w:id="167"/>
      <w:bookmarkEnd w:id="168"/>
    </w:p>
    <w:p w14:paraId="30CD174F">
      <w:pPr>
        <w:pStyle w:val="8"/>
        <w:spacing w:before="0" w:beforeAutospacing="0" w:after="0" w:afterAutospacing="0" w:line="360" w:lineRule="auto"/>
        <w:ind w:firstLine="420"/>
        <w:rPr>
          <w:sz w:val="21"/>
          <w:szCs w:val="21"/>
          <w:highlight w:val="none"/>
        </w:rPr>
      </w:pPr>
      <w:bookmarkStart w:id="169" w:name="chapter_level1_22_68_section_1"/>
      <w:bookmarkEnd w:id="169"/>
      <w:r>
        <w:rPr>
          <w:rFonts w:hint="eastAsia"/>
          <w:sz w:val="21"/>
          <w:szCs w:val="21"/>
          <w:highlight w:val="none"/>
        </w:rPr>
        <w:t xml:space="preserve">本基金管理人在总结、借鉴基金管理人旗下已有开放式基金（包括ETF基金）风险管理成熟经验的基础上，针对本基金的特点，确立科学的风险管理理念，建立相应的风险管理体系，对本基金整个投资过程进行有效的风险监控，为基金份额持有人谋取标的指数所表征的市场平均水平的投资收益。 </w:t>
      </w:r>
    </w:p>
    <w:p w14:paraId="40F30AF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投资于本基金的主要风险包括以下几个方面： </w:t>
      </w:r>
    </w:p>
    <w:p w14:paraId="79241909">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一、标的指数回报与股票市场平均回报偏离的风险</w:t>
      </w:r>
    </w:p>
    <w:p w14:paraId="4F64224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标的指数并不能完全代表整个股票市场。标的指数成份股的平均回报率与整个股票市场的平均回报率可能存在偏离。 </w:t>
      </w:r>
    </w:p>
    <w:p w14:paraId="54951BA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二、标的指数波动的风险</w:t>
      </w:r>
    </w:p>
    <w:p w14:paraId="46969A1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标的指数成份股的价格可能受到政治因素、经济因素、上市公司经营状况、投资人心理和交易制度等各种因素的影响而波动，导致指数波动，从而使基金收益水平发生变化，产生风险。 </w:t>
      </w:r>
    </w:p>
    <w:p w14:paraId="3AF8DBE3">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三、基金投资组合回报与标的指数回报偏离的风险</w:t>
      </w:r>
    </w:p>
    <w:p w14:paraId="156EFFE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以下因素可能使基金投资组合的收益率与标的指数的收益率发生偏离： </w:t>
      </w:r>
    </w:p>
    <w:p w14:paraId="4B133AE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1、由于标的指数调整成份股或变更编制方法，使本基金在相应的组合调整中产生跟踪偏离度与跟踪误差。 </w:t>
      </w:r>
    </w:p>
    <w:p w14:paraId="6AFFBAE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2、由于标的指数成份股发生送配股、增发等行为导致成份股在标的指数中的权重发生变化，使本基金在相应的组合调整中产生跟踪偏离度和跟踪误差。 </w:t>
      </w:r>
    </w:p>
    <w:p w14:paraId="2C7E880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3、成份股派发现金红利、成份股增发、送配等所获收益可能导致基金收益率偏离标的指数收益率，从而产生跟踪偏离度。 </w:t>
      </w:r>
    </w:p>
    <w:p w14:paraId="3D803C7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4、由于成份股停牌、摘牌或流动性差等原因使本基金无法及时调整投资组合或承担冲击成本而产生跟踪偏离度和跟踪误差。 </w:t>
      </w:r>
    </w:p>
    <w:p w14:paraId="791E09A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5、由于基金投资过程中的证券交易成本，以及基金管理费和托管费等费的存在，使基金投资组合与标的指数产生跟踪偏离度与跟踪误差。 </w:t>
      </w:r>
    </w:p>
    <w:p w14:paraId="152FD85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6、在本基金指数化投资过程中，基金管理人的管理能力，例如跟踪指数的水平、技术手段、买入卖出的时机选择等，都会对本基金的收益产生影响，从而影响本基金对标的指数的跟踪程度。 </w:t>
      </w:r>
    </w:p>
    <w:p w14:paraId="5AAC8A0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其他因素产生的偏离。如因受到最低买入股数的限制，基金投资组合中个别股票的持有比例与标的指数中该股票的权重可能不完全相同；因缺乏卖空、对冲机制及其他工具造成的指数跟踪成本较大；因基金申购与赎回带来的现金变动；因指数发布机构指数编制错误等，由此产生跟踪偏离度与跟踪误差。 </w:t>
      </w:r>
    </w:p>
    <w:p w14:paraId="56751C22">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 xml:space="preserve">本基金标的指数提供方为恒生指数有限公司，如果恒生指数有限公司提供的指数数据出现差错，基金管理人依据该数据进行投资，可能会对基金的投资运作产生不利影响。以下为本基金标的指数的编制商发布的声明： </w:t>
      </w:r>
    </w:p>
    <w:p w14:paraId="0A2791C7">
      <w:pPr>
        <w:pStyle w:val="8"/>
        <w:spacing w:before="0" w:beforeAutospacing="0" w:after="0" w:afterAutospacing="0" w:line="360" w:lineRule="auto"/>
        <w:ind w:firstLine="420"/>
        <w:jc w:val="both"/>
        <w:rPr>
          <w:sz w:val="21"/>
          <w:szCs w:val="21"/>
          <w:highlight w:val="none"/>
        </w:rPr>
      </w:pPr>
      <w:r>
        <w:rPr>
          <w:rFonts w:hint="eastAsia"/>
          <w:sz w:val="21"/>
          <w:szCs w:val="21"/>
          <w:highlight w:val="none"/>
        </w:rPr>
        <w:t>恒生港股通</w:t>
      </w:r>
      <w:r>
        <w:rPr>
          <w:rFonts w:hint="eastAsia"/>
          <w:sz w:val="21"/>
          <w:szCs w:val="21"/>
          <w:highlight w:val="none"/>
          <w:lang w:eastAsia="zh-CN"/>
        </w:rPr>
        <w:t>红利</w:t>
      </w:r>
      <w:r>
        <w:rPr>
          <w:rFonts w:hint="eastAsia"/>
          <w:sz w:val="21"/>
          <w:szCs w:val="21"/>
          <w:highlight w:val="none"/>
        </w:rPr>
        <w:t>指数 (“该指数”)由恒生指数有限公司根据恒生资讯服务有限公司的授权发布及编制。恒生港股通</w:t>
      </w:r>
      <w:r>
        <w:rPr>
          <w:rFonts w:hint="eastAsia"/>
          <w:sz w:val="21"/>
          <w:szCs w:val="21"/>
          <w:highlight w:val="none"/>
          <w:lang w:eastAsia="zh-CN"/>
        </w:rPr>
        <w:t>红利</w:t>
      </w:r>
      <w:r>
        <w:rPr>
          <w:rFonts w:hint="eastAsia"/>
          <w:sz w:val="21"/>
          <w:szCs w:val="21"/>
          <w:highlight w:val="none"/>
        </w:rPr>
        <w:t>指数 的商标及名称由恒生资讯服务有限公司全权拥有。恒生指数有限公司及恒生资讯服务有限公司已同意博时基金管理有限公司可就博时恒生港股通</w:t>
      </w:r>
      <w:r>
        <w:rPr>
          <w:rFonts w:hint="eastAsia"/>
          <w:sz w:val="21"/>
          <w:szCs w:val="21"/>
          <w:highlight w:val="none"/>
          <w:lang w:eastAsia="zh-CN"/>
        </w:rPr>
        <w:t>红利</w:t>
      </w:r>
      <w:r>
        <w:rPr>
          <w:rFonts w:hint="eastAsia"/>
          <w:sz w:val="21"/>
          <w:szCs w:val="21"/>
          <w:highlight w:val="none"/>
        </w:rPr>
        <w:t>交易型开放式指数证券投资基金（或由中国证监会审核的其他名称）(“该产品”)使用及参考该指数，但是，</w:t>
      </w:r>
      <w:r>
        <w:rPr>
          <w:rFonts w:hint="eastAsia"/>
          <w:b/>
          <w:bCs/>
          <w:sz w:val="21"/>
          <w:szCs w:val="21"/>
          <w:highlight w:val="none"/>
        </w:rPr>
        <w:t>恒生指数有限公司及恒生资讯服务有限公司并不就(i)该指数及其计算或任何与之有关的数据的准确性或完整性；或(ii)该指数或其中任何成份或其所包涵的数据的适用性或适合性；或(iii)任何人士因使用该指数或其中任何成份或其所包涵的数据而产生的结果，而向该产品的任何经纪或该产品持有人或任何其它人士作出保证或声明或担保，也不会就该指数提供或默示任何保证、声明或担保。</w:t>
      </w:r>
      <w:r>
        <w:rPr>
          <w:rFonts w:hint="eastAsia"/>
          <w:sz w:val="21"/>
          <w:szCs w:val="21"/>
          <w:highlight w:val="none"/>
        </w:rPr>
        <w:t>恒生指数有限公司可随时更改或修改计算及编制该指数及其任何有关的公式、成份股份及系数的过程及基准，而无须作出通知。</w:t>
      </w:r>
      <w:r>
        <w:rPr>
          <w:rFonts w:hint="eastAsia"/>
          <w:b/>
          <w:bCs/>
          <w:sz w:val="21"/>
          <w:szCs w:val="21"/>
          <w:highlight w:val="none"/>
        </w:rPr>
        <w:t>在适用法律允许的范围内，恒生指数有限公司或恒生资讯服务有限公司不会因(i)博时基金管理有限公司就该产品使用及/或参考该指数；或(ii)恒生指数有限公司在计算该指数时的任何失准、遗漏、失误或错误；或(iii)与计算该指数有关并由任何其它人士提供的资料的任何失准、遗漏、失误﹑错误或不完整；或(iv)任何经纪、该产品持有人或任何其它交易该产品的人士，因上述原因而直接或间接蒙受的任何经济或其它损失承担任何责任或债务, 任何经纪、该产品持有人或任何其它交易该产品的人士不得因该产品，以任何形式向恒生指数有限公司及/或恒生资讯服务有限公司进行索偿、法律行动或法律诉讼。</w:t>
      </w:r>
      <w:r>
        <w:rPr>
          <w:rFonts w:hint="eastAsia"/>
          <w:sz w:val="21"/>
          <w:szCs w:val="21"/>
          <w:highlight w:val="none"/>
        </w:rPr>
        <w:t xml:space="preserve">任何经纪、持有人或任何其它人士，须在完全了解此免责声明，并且不能依赖恒生指数有限公司及恒生资讯服务有限公司的情况下交易该产品。为避免产生疑问，本免责声明不构成任何经纪、持有人或任何其它人士与恒生指数有限公司及/或恒生资讯服务有限公司之间的任何合约或准合约关系，也不应视作已构成这种关系。任何投资者如认购或购买该产品权益，该投资者将被视为已承认、理解并接受此免责声明并受其约束，以及承认、理解并接受该产品所使用之该指数数值为恒生指数有限公司酌情计算的结果。 </w:t>
      </w:r>
    </w:p>
    <w:p w14:paraId="40A5B2CC">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四、流动性风险</w:t>
      </w:r>
    </w:p>
    <w:p w14:paraId="60DEEB2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1、本基金交易方式带来的流动性风险 </w:t>
      </w:r>
    </w:p>
    <w:p w14:paraId="3CA70A1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①本基金最小申购、赎回单位设置较高，中小投资者只能在二级市场上按交易价格卖出基金份额。 </w:t>
      </w:r>
    </w:p>
    <w:p w14:paraId="399B7F6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②基金将在上海证券交易所上市交易，但不保证市场交易一定活跃；基金的交易可能因各种原因被暂停，当基金不再符合相关上市条件时，基金的上市也可能被终止。 </w:t>
      </w:r>
    </w:p>
    <w:p w14:paraId="7DB476D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③尽管由于投资者可以进行申购、赎回，基金一般不会持续出现大幅折溢价情况。但是，基金的二级市场交易价格受市场供求的影响，可能高于（称为溢价）或低于（称为折价）基金份额净值。 </w:t>
      </w:r>
    </w:p>
    <w:p w14:paraId="10527D8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2、拟投资市场、行业及资产的流动性风险评估 </w:t>
      </w:r>
    </w:p>
    <w:p w14:paraId="51ABF8A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对象是具有良好流动性的金融工具，包括依法发行上市的股票、国债期货、股指期货、股票期权、债券、货币市场工具、资产支持证券等。投资交易均在依法设立的正规市场中进行，所投市场和资产方面的整体流动性较高。同时，本基金通过投资限制对各类资产的投资比例、期限、评级、杠杆和集中度进行了控制，并严格控制了主动投资于流动性受限资产的比例上限，整体持仓资产的流动性风险较低。 </w:t>
      </w:r>
    </w:p>
    <w:p w14:paraId="010D991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3、实施备用的流动性风险管理工具的情形、程序及对投资者的潜在影响 </w:t>
      </w:r>
    </w:p>
    <w:p w14:paraId="0C6ECEF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市场大幅波动、流动性枯竭等极端情况下发生无法应对投资者赎回的情形时，基金管理人将以保障投资者合法权益为前提，严格按照法律法规及基金合同的规定，谨慎选取暂停接受赎回申请、延缓支付赎回对价、暂停基金估值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对价支付等可能受到相应影响，基金管理人将严格依照法律法规及基金合同的约定进行操作，全面保障投资者的合法权益。 </w:t>
      </w:r>
    </w:p>
    <w:p w14:paraId="4710F05C">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五、标的指数变更的风险</w:t>
      </w:r>
    </w:p>
    <w:p w14:paraId="17A5C90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尽管可能性很小，但根据基金合同规定，如出现变更标的指数的情形，本基金将变更标的指数。基于原标的指数的投资政策将会改变，投资组合将随之调整，基金的收益风险特征将与新的标的指数保持一致，投资人须承担此项调整带来的风险与成本。 </w:t>
      </w:r>
    </w:p>
    <w:p w14:paraId="06ECB370">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六、指数编制机构停止服务的风险</w:t>
      </w:r>
    </w:p>
    <w:p w14:paraId="30A758D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的标的指数由指数编制机构发布并管理和维护，未来指数编制机构可能由于各种原因停止对指数的管理和维护，本基金将根据基金合同的约定自该情形发生之日起十个工作日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因此，投资人将面临更换基金标的指数、转换运作方式、与其他基金合并或者终止基金合同等风险。 </w:t>
      </w:r>
    </w:p>
    <w:p w14:paraId="7F72A5F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 </w:t>
      </w:r>
    </w:p>
    <w:p w14:paraId="4FE648C8">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七、跟踪误差控制未达约定目标的风险</w:t>
      </w:r>
    </w:p>
    <w:p w14:paraId="7ACB39D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正常情况下，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 </w:t>
      </w:r>
    </w:p>
    <w:p w14:paraId="5D0D0B2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八、成份股停牌的风险</w:t>
      </w:r>
    </w:p>
    <w:p w14:paraId="0338B83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标的指数成份股可能因各种原因临时或长期停牌，发生成份股停牌时可能面临如下风险： </w:t>
      </w:r>
    </w:p>
    <w:p w14:paraId="4374B47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（1）基金可能因无法及时调整投资组合而导致跟踪偏离度和跟踪误差扩大。 </w:t>
      </w:r>
    </w:p>
    <w:p w14:paraId="6E14442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（2）停牌成份股可能因其权重占比、市场复牌预期、现金替代标识等因素影响本基金二级市场价格的折溢价水平。 </w:t>
      </w:r>
    </w:p>
    <w:p w14:paraId="14793C6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若成份股停牌时间较长，在约定时间内仍未能及时买入或卖出的，则该部分款项将按照约定方式进行结算（具体见招募说明书“基金份额的申购与赎回”之“申购赎回清单的内容与格式”相关约定），由此可能影响投资者的投资损益并使基金产生跟踪偏离度和跟踪误差。 </w:t>
      </w:r>
    </w:p>
    <w:p w14:paraId="0F38789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（4）在极端情况下，标的指数成份股可能大面积停牌，基金可能无法及时卖出成份股以获取足额的符合要求的赎回对价 ，由此基金管理人可能在申购赎回清单中设置较低的赎回份额上限或者采取暂停赎回的措施，投资者将面临无法赎回全部或部分基金份额的风险。 </w:t>
      </w:r>
    </w:p>
    <w:p w14:paraId="2EE9497F">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九、成份股退市的风险</w:t>
      </w:r>
    </w:p>
    <w:p w14:paraId="59D4ADC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14:paraId="22966540">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十、基金份额二级市场交易价格折溢价的风险</w:t>
      </w:r>
    </w:p>
    <w:p w14:paraId="3834AE5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基金份额在证券交易所的交易价格受诸多因素影响，可能存在不同于基金份额净值的情形，即存在价格折溢价的风险。 </w:t>
      </w:r>
    </w:p>
    <w:p w14:paraId="41F76C83">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十一、基金份额参考净值决策和基金份额参考净值计算错误的风险</w:t>
      </w:r>
    </w:p>
    <w:p w14:paraId="133C612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或基金管理人委托的机构在开市后根据基金管理人提供的申购赎回清单和组合证券内各只证券的实时成交数据及汇率数据计算并通过上海证券交易所发布的基金份额参考净值，供投资人交易、申购、赎回基金份额时参考。基金份额参考净值与实时的基金份额净值可能存在差异，基金份额参考净值计算可能出现错误，投资人若参考基金份额参考净值进行投资决策可能导致损失，需投资人自行承担。 </w:t>
      </w:r>
    </w:p>
    <w:p w14:paraId="482F9A40">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十二、退市风险</w:t>
      </w:r>
    </w:p>
    <w:p w14:paraId="32D2194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因本基金不再符合证券交易所上市条件被终止上市，或被基金份额持有人大会决议提前终止上市，导致基金份额不能继续进行二级市场交易的风险。 </w:t>
      </w:r>
    </w:p>
    <w:p w14:paraId="3EACB1AF">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十三、投资人申购失败的风险</w:t>
      </w:r>
    </w:p>
    <w:p w14:paraId="7D4EC21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申购时，如果投资人未能提供符合要求的申购对价，申购申请可能失败。基金还可能在申购赎回清单中设定申购份额上限，如果投资人的申购申请接受后将使当日申购总份额超过申购份额上限，则投资人的申购申请可能失败。此外，如果申购赎回代理机构交收资金不足，登记机构将按照投资人申报时间先后顺序逐笔检查申购赎回代理机构的资金是否足额并相应确认申购份额，对于后申购的投资人，不论是否备足资金，都可能面临申购失败的风险。 </w:t>
      </w:r>
    </w:p>
    <w:p w14:paraId="598A8075">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十四、投资人赎回失败的风险</w:t>
      </w:r>
    </w:p>
    <w:p w14:paraId="6156184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投资人在提出场内份额赎回申请时，如基金组合中不具备足额的符合条件的赎回对价，可能导致场内份额赎回失败的情形。 </w:t>
      </w:r>
    </w:p>
    <w:p w14:paraId="6354B66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基金还可能在申购赎回清单中设定赎回份额上限，如果投资人的赎回申请接受后将使当日赎回总份额超过赎回份额上限，则投资人的赎回申请可能失败。 </w:t>
      </w:r>
    </w:p>
    <w:p w14:paraId="2F50A9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可能根据成份股市值规模变化等因素调整最小申购、赎回单位，由此可能导致投资人按原最小申购、赎回单位申购并持有的基金份额，可能无法按照新的最小申购、赎回单位全部赎回，而只能在二级市场卖出全部或部分基金份额。 </w:t>
      </w:r>
    </w:p>
    <w:p w14:paraId="633E541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投资人在赎回时，因个别证券出现停牌等原因导致基金管理人无法在短期内卖出证券，从而导致赎回周期较长的风险。 </w:t>
      </w:r>
    </w:p>
    <w:p w14:paraId="7A36035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当发生不可抗力、证券交易所临时停市或其他异常情况时，本基金可能暂停办理赎回，投资人面临无法及时赎回的风险。 </w:t>
      </w:r>
    </w:p>
    <w:p w14:paraId="2F31D2DD">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十五、</w:t>
      </w:r>
      <w:r>
        <w:rPr>
          <w:rStyle w:val="12"/>
          <w:rFonts w:hint="eastAsia"/>
          <w:sz w:val="21"/>
          <w:szCs w:val="21"/>
          <w:highlight w:val="none"/>
          <w:lang w:val="en-US" w:eastAsia="zh-CN"/>
        </w:rPr>
        <w:t>可以</w:t>
      </w:r>
      <w:r>
        <w:rPr>
          <w:rStyle w:val="12"/>
          <w:rFonts w:hint="eastAsia"/>
          <w:sz w:val="21"/>
          <w:szCs w:val="21"/>
          <w:highlight w:val="none"/>
        </w:rPr>
        <w:t>现金替代方式的风险</w:t>
      </w:r>
    </w:p>
    <w:p w14:paraId="1C3D1A24">
      <w:pPr>
        <w:pStyle w:val="8"/>
        <w:spacing w:before="0" w:beforeAutospacing="0" w:after="0" w:afterAutospacing="0" w:line="360" w:lineRule="auto"/>
        <w:ind w:firstLine="420"/>
        <w:rPr>
          <w:sz w:val="21"/>
          <w:szCs w:val="21"/>
          <w:highlight w:val="none"/>
        </w:rPr>
      </w:pPr>
      <w:r>
        <w:rPr>
          <w:rFonts w:hint="eastAsia"/>
          <w:sz w:val="21"/>
          <w:szCs w:val="21"/>
          <w:highlight w:val="none"/>
        </w:rPr>
        <w:t>本基金在申购赎回环节的“</w:t>
      </w:r>
      <w:r>
        <w:rPr>
          <w:rFonts w:hint="eastAsia"/>
          <w:sz w:val="21"/>
          <w:szCs w:val="21"/>
          <w:highlight w:val="none"/>
          <w:lang w:val="en-US" w:eastAsia="zh-CN"/>
        </w:rPr>
        <w:t>可以</w:t>
      </w:r>
      <w:r>
        <w:rPr>
          <w:rFonts w:hint="eastAsia"/>
          <w:sz w:val="21"/>
          <w:szCs w:val="21"/>
          <w:highlight w:val="none"/>
        </w:rPr>
        <w:t xml:space="preserve">现金替代”方式，可能给申购和赎回投资者带来价格的不确定性，从而间接影响本基金二级市场价格的折溢价水平。 </w:t>
      </w:r>
    </w:p>
    <w:p w14:paraId="1061EF3F">
      <w:pPr>
        <w:pStyle w:val="8"/>
        <w:spacing w:before="0" w:beforeAutospacing="0" w:after="0" w:afterAutospacing="0" w:line="360" w:lineRule="auto"/>
        <w:ind w:firstLine="420"/>
        <w:rPr>
          <w:sz w:val="21"/>
          <w:szCs w:val="21"/>
          <w:highlight w:val="none"/>
        </w:rPr>
      </w:pPr>
      <w:r>
        <w:rPr>
          <w:rFonts w:hint="eastAsia"/>
          <w:sz w:val="21"/>
          <w:szCs w:val="21"/>
          <w:highlight w:val="none"/>
        </w:rPr>
        <w:t>基金管理人不对“时间优先、实时申报”原则的执行效率做出任何承诺和保证，现金替代退补款的计算以实际成交价格和基金招募说明书的约定为准。若因技术系统、通讯链路或其他原因导致基金管理人无法遵循“时间优先、实时申报”原则对“</w:t>
      </w:r>
      <w:r>
        <w:rPr>
          <w:rFonts w:hint="eastAsia"/>
          <w:sz w:val="21"/>
          <w:szCs w:val="21"/>
          <w:highlight w:val="none"/>
          <w:lang w:val="en-US" w:eastAsia="zh-CN"/>
        </w:rPr>
        <w:t>可以</w:t>
      </w:r>
      <w:r>
        <w:rPr>
          <w:rFonts w:hint="eastAsia"/>
          <w:sz w:val="21"/>
          <w:szCs w:val="21"/>
          <w:highlight w:val="none"/>
        </w:rPr>
        <w:t xml:space="preserve">现金替代”的证券进行处理，投资者的利益可能受到影响。 </w:t>
      </w:r>
    </w:p>
    <w:p w14:paraId="4DD63F50">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十六、基金场内份额赎回对价的变现风险</w:t>
      </w:r>
    </w:p>
    <w:p w14:paraId="7815DE6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本基金赎回对价包括现金替代、现金差额等，在组合证券变现过程中，由于市场变化、部分成份股流动性差等因素，导致投资人变现后的价值与赎回时赎回对价的价值有差异，存在变现风险。 </w:t>
      </w:r>
    </w:p>
    <w:p w14:paraId="1D5A2933">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十七、第三方机构服务的风险</w:t>
      </w:r>
    </w:p>
    <w:p w14:paraId="781C7ED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本基金的多项服务委托第三方机构办理，存在以下风险： </w:t>
      </w:r>
    </w:p>
    <w:p w14:paraId="3BF2203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1、申购赎回代理券商因多种原因，导致代理申购、赎回业务受到限制、暂停或终止，由此影响对投资人申购赎回服务的风险。 </w:t>
      </w:r>
    </w:p>
    <w:p w14:paraId="1A71562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2、登记机构可能调整结算制度，如实施货银对付制度，对投资人基金份额及资金的结算方式发生变化，制度调整可能给投资人带来风险。同样的风险还可能来自于证券交易所及其他代理机构。 </w:t>
      </w:r>
    </w:p>
    <w:p w14:paraId="7078D2B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3、证券交易所、登记机构、基金托管人及其他代理机构可能违约，导致基金或投资人利益受损的风险。 </w:t>
      </w:r>
    </w:p>
    <w:p w14:paraId="7B2FC208">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十八、股指期货投资风险</w:t>
      </w:r>
    </w:p>
    <w:p w14:paraId="6279AB9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1、杠杆风险 </w:t>
      </w:r>
    </w:p>
    <w:p w14:paraId="366A705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股指期货投资具有高杠杆特性，因此会放大基础资产所产生的盈利或损失，加大本基金收益的波动性。 </w:t>
      </w:r>
    </w:p>
    <w:p w14:paraId="7E1A4B5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2、基差风险 </w:t>
      </w:r>
    </w:p>
    <w:p w14:paraId="52AF041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基差是指股票指数现货价格与股指期货价格之间的差额。若本基金运作中出现基差波动不确定性加大、基差向不利方向变动等情况，则可能对本基金投资产生影响。 </w:t>
      </w:r>
    </w:p>
    <w:p w14:paraId="06981EC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3、合约展期风险 </w:t>
      </w:r>
    </w:p>
    <w:p w14:paraId="721CB2B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本基金所投资的期货合约主要包括股指期货当月和近月合约。当基金所持有的合约临近交割期限，即需要向较远月份的合约进行展期，展期过程中可能发生价差损失以及交易成本损失，将对投资收益产生影响。 </w:t>
      </w:r>
    </w:p>
    <w:p w14:paraId="199D721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4、模型风险 </w:t>
      </w:r>
    </w:p>
    <w:p w14:paraId="21BE27E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股指期货合约属于虚拟投资品种，投资过程中需要通过模型进行风险定价，当投资人员使用了错误模型或者选择了不当的参数，会导致对风险或交易价格的估计错误而造成损失，损害本基金的投资收益。 </w:t>
      </w:r>
    </w:p>
    <w:p w14:paraId="6EF5C3C9">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十九、国债期货投资风险</w:t>
      </w:r>
    </w:p>
    <w:p w14:paraId="3263987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2DA29795">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二十、资产支持证券（ABS）的风险</w:t>
      </w:r>
    </w:p>
    <w:p w14:paraId="2B1127D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2E9AF415">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二十一、新股申购风险</w:t>
      </w:r>
    </w:p>
    <w:p w14:paraId="3A12398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 </w:t>
      </w:r>
    </w:p>
    <w:p w14:paraId="4C4650E2">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二十二、股票期权风险</w:t>
      </w:r>
    </w:p>
    <w:p w14:paraId="0DFF48A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流动性风险：由于股票期权合约众多，交易较为分散，股票期权市场的流动性一般较期货市场要低，尤其是深度实值和虚值的股票期权，成交量稀少，持有这些股票期权的投资者容易遇到无法成交、平仓出局的局面。 </w:t>
      </w:r>
    </w:p>
    <w:p w14:paraId="22C1D8A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价格风险：股票期权买方的价格风险即为他所付出的权利金，风险具有确定性。股票期权卖方的价格风险不定，不过其所收取的权利金可以提供相应保护，当发生亏损时，可以抵消部分损失。 </w:t>
      </w:r>
    </w:p>
    <w:p w14:paraId="6326201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操作风险：操作风险是指由于管理不善或者制度执行出现问题等原因所导致的风险。股票期权作为一种衍生品，虽然可以用来管理风险，但若使用不当，也会产生巨额损失。 </w:t>
      </w:r>
    </w:p>
    <w:p w14:paraId="1C0BBDC7">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二十三、融资融券交易及转融通证券出借业务的主要风险</w:t>
      </w:r>
    </w:p>
    <w:p w14:paraId="608E32B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1、流动性风险 </w:t>
      </w:r>
    </w:p>
    <w:p w14:paraId="7CB3057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 </w:t>
      </w:r>
    </w:p>
    <w:p w14:paraId="6A051E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2、交易对手违约风险 </w:t>
      </w:r>
    </w:p>
    <w:p w14:paraId="13078C7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存在由于交易对手违约而导致证券到期不能按时或足额归还、相应权益补偿和借券费用不能支付等交易对手违约风险。 </w:t>
      </w:r>
    </w:p>
    <w:p w14:paraId="1581487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3、市场风险 </w:t>
      </w:r>
    </w:p>
    <w:p w14:paraId="469E52D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转融通出借收益按照证券当日收市后市值、融出日（或展期日）费率和实际出借天数计算，因此可能面临证券市值波动、费率变动而导致的市场风险。 </w:t>
      </w:r>
    </w:p>
    <w:p w14:paraId="1E15F04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4、提前或延迟了结风险 </w:t>
      </w:r>
    </w:p>
    <w:p w14:paraId="2471F32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证券出借期间，如发生标的证券范围调整、标的证券暂停交易、标的证券对应的上市公司被以终止上市为目的进行收购、终止上市等情况，可能面临合约提前了结或延迟了结的风险。 </w:t>
      </w:r>
    </w:p>
    <w:p w14:paraId="48AF94F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5、跟踪误差风险 </w:t>
      </w:r>
    </w:p>
    <w:p w14:paraId="6F5DC62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对于指数型组合，当组合发生大额赎回或市场大幅波动时，存在由于转融通出借证券无法提前了结并变现，单一股票占比被动上升而导致组合跟踪误差扩大的风险。 </w:t>
      </w:r>
    </w:p>
    <w:p w14:paraId="1AF9890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6、杠杆效应放大风险 </w:t>
      </w:r>
    </w:p>
    <w:p w14:paraId="78561D5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者通过融资融券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 </w:t>
      </w:r>
    </w:p>
    <w:p w14:paraId="53EE800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7、担保能力及限制交易风险 </w:t>
      </w:r>
    </w:p>
    <w:p w14:paraId="74E5713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单只或全部证券被暂停融资或融券及转融通证券出借业务、投资者账户被暂停或取消融资或融券及转融通证券出借业务资格等,这些影响可能给投资者造成经济损失。此外,投资者也可能面临由于自身维持担保比例低于融资融券及转融通证券出借业务合同约定的担保要求,且未能及时补充担保物,导致信用账户交易受到限制,从而造成经济损失。 </w:t>
      </w:r>
    </w:p>
    <w:p w14:paraId="052B5A6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8、强制平仓风险 </w:t>
      </w:r>
    </w:p>
    <w:p w14:paraId="00C00E6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者在从事融资融券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 </w:t>
      </w:r>
    </w:p>
    <w:p w14:paraId="68E52BF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9、操作风险 </w:t>
      </w:r>
    </w:p>
    <w:p w14:paraId="3F60809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融资融券交易和转融通业务具体实施过程中，在投资决策、交易等环节，可能面临由于操作人员操作失误、系统不完善等原因引发的操作风险。 </w:t>
      </w:r>
    </w:p>
    <w:p w14:paraId="42F767C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10、法律合规风险 </w:t>
      </w:r>
    </w:p>
    <w:p w14:paraId="226266E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在融资融券交易和转融通证券出借过程中，存在由于标的证券价格波动导致组合合规指标超标且无法进行调整的风险，以及在业务开展过程中发生操纵价格、利益输送等法律合规风险。 </w:t>
      </w:r>
    </w:p>
    <w:p w14:paraId="27C16B4A">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二十四、港股通机制下，港股投资风险</w:t>
      </w:r>
    </w:p>
    <w:p w14:paraId="49327CE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范围为包括内地与香港股票市场交易互联互通机制下允许投资的香港联合交易所上市的股票，本基金面临港股通机制下因投资环境、投资者结构、投资标的构成、市场制度以及交易规则等差异所带来的特有风险，包括但不限于： </w:t>
      </w:r>
    </w:p>
    <w:p w14:paraId="3C3634D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1、市场联动的风险 </w:t>
      </w:r>
    </w:p>
    <w:p w14:paraId="01ED525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同时，在特殊情况下，本基金将少量投资于港股通标的股票以进行替代复制。对于同时有A股、H股的指数成份公司，如果该公司A股长期停牌，组合无法买入该股票时，可以买入该公司H股进行替代。当同一公司A股和H股股价及走势出现大幅偏离时可能导致组合跟踪误差扩大。 </w:t>
      </w:r>
    </w:p>
    <w:p w14:paraId="11B6CB1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2、股价波动的风险 </w:t>
      </w:r>
    </w:p>
    <w:p w14:paraId="79D74F5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07A1FC9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3、汇率风险 </w:t>
      </w:r>
    </w:p>
    <w:p w14:paraId="40FAB69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71AF239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4037D7E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4、港股通额度限制 </w:t>
      </w:r>
    </w:p>
    <w:p w14:paraId="60F6737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现行的港股通规则，对港股通设有每日额度上限的限制；本基金可能因为港股通市场每日额度不足，而不能买入看好之投资标的进而错失投资机会的风险。 </w:t>
      </w:r>
    </w:p>
    <w:p w14:paraId="05ECF9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5、港股通可投资标的范围调整带来的风险 </w:t>
      </w:r>
    </w:p>
    <w:p w14:paraId="6731807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1353B40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6、港股通交易日设定的风险 </w:t>
      </w:r>
    </w:p>
    <w:p w14:paraId="2C8ACE3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4C61270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7、交收制度带来的基金流动性风险 </w:t>
      </w:r>
    </w:p>
    <w:p w14:paraId="3C6F42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3E3ABD0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8、港股通下对公司行为的处理规则带来的风险 </w:t>
      </w:r>
    </w:p>
    <w:p w14:paraId="1CB78A7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055268F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本基金存在因上述规则，利益得不到最大化甚至受损的风险。 </w:t>
      </w:r>
    </w:p>
    <w:p w14:paraId="046FEB7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9、香港联合交易所停牌、退市等制度性差异带来的风险 </w:t>
      </w:r>
    </w:p>
    <w:p w14:paraId="24E2060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789E7EE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因该等制度性差异，本基金可能存在因所持个股遭遇非预期性的停牌甚至退市而给基金带来损失的风险。 </w:t>
      </w:r>
    </w:p>
    <w:p w14:paraId="7F06F12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10、港股通规则变动带来的风险 </w:t>
      </w:r>
    </w:p>
    <w:p w14:paraId="2704EFE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本基金是在港股通机制和规则下参与香港联交所证券的投资，受港股通规则的限制和影响；本基金存在因港股通规则变动而带来基金投资受阻或所持资产组合价值发生波动的风险。 </w:t>
      </w:r>
    </w:p>
    <w:p w14:paraId="7658575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11、其他可能的风险 </w:t>
      </w:r>
    </w:p>
    <w:p w14:paraId="642B2E8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除上述显著风险外，本基金参与港股通投资，还可能面临的其他风险，包括但不限于： </w:t>
      </w:r>
    </w:p>
    <w:p w14:paraId="327E0FE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（1）除因股票交易而发生的佣金、交易征费、交易费、交易系统费、印花税、过户费等税费外，在不进行交易时也可能要继续缴纳证券组合费等项费用，本基金存在因费用估算不准而导致账户透支的风险； </w:t>
      </w:r>
    </w:p>
    <w:p w14:paraId="022593E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（2）在香港市场，部分中小市值港股成交量则相对较少，流动较为缺乏，本基金投资此类股票可能因缺乏交易对手而面临个股流动性风险； </w:t>
      </w:r>
    </w:p>
    <w:p w14:paraId="1A5AD5F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（3）在本基金参与港股通交易中若香港联交所与内地交易所的证券交易服务公司之间的报盘系统或者通信链路出现故障，可能导致15分钟以上不能申报和撤销申报的交易中断风险； </w:t>
      </w:r>
    </w:p>
    <w:p w14:paraId="4F57A29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（4）存在港股通香港结算机构因极端情况下无法交付证券和资金的结算风险；另外港股通境内结算实施分级结算原则，本基金可能面临 以下风险：（一）因结算参与人未完成与中国结算的集中交收，导致本基金应收资金或证券被暂不交付或处置；（二）结算参与人对本基金出现交收违约导致本基金未能取得应收证券或资金；（三）结算参与人向中国结算发送的有关本基金的证券划付指令有误的导致本基金权益受损；（四）其他因结算参与人未遵守相关业务规则导致本基金利益受到损害的情况。 </w:t>
      </w:r>
    </w:p>
    <w:p w14:paraId="4F4928C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本基金可根据投资策略需要或不同配置地市场环境的变化，选择将部分基金资产投资于港股或选择不将基金资产投资于港股，基金资产并非必然投资港股。 </w:t>
      </w:r>
    </w:p>
    <w:p w14:paraId="5458D5D3">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二十五、投资于存托凭证的风险</w:t>
      </w:r>
    </w:p>
    <w:p w14:paraId="32225EF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的投资范围包括存托凭证，本基金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0E8CC864">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二十六、管理风险与操作风险</w:t>
      </w:r>
    </w:p>
    <w:p w14:paraId="268607F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基金托管人等相关当事人的业务发展状况、人员配备、管理水平与内部控制等对基金收益水平存在影响。因业务扩张过快、行业内过度竞争、对主要业务人员过度依赖等可能会产生影响投资人利益的风险。 </w:t>
      </w:r>
    </w:p>
    <w:p w14:paraId="13C4D90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相关当事人在业务各环节操作过程中，可能因内部控制存在缺陷或者人为因素造成操作失误或违反操作规程等引致风险，例如，申购、赎回清单编制错误、越权违规交易、欺诈行为及交易错误等风险。 </w:t>
      </w:r>
    </w:p>
    <w:p w14:paraId="6E0D8920">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二十七、技术风险</w:t>
      </w:r>
    </w:p>
    <w:p w14:paraId="6DC8D6A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在本基金的投资、交易、服务与后台运作等业务过程中，可能因为技术系统的故障或差错导致投资人的利益受到影响。这种技术风险可能来自基金管理人、基金托管人、证券交易所、登记机构及销售代理机构等。 </w:t>
      </w:r>
    </w:p>
    <w:p w14:paraId="692AD01D">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二十八、不可抗力</w:t>
      </w:r>
    </w:p>
    <w:p w14:paraId="3180E720">
      <w:pPr>
        <w:pStyle w:val="8"/>
        <w:spacing w:before="0" w:beforeAutospacing="0" w:after="0" w:afterAutospacing="0" w:line="360" w:lineRule="auto"/>
        <w:ind w:firstLine="420"/>
        <w:rPr>
          <w:sz w:val="21"/>
          <w:szCs w:val="21"/>
          <w:highlight w:val="none"/>
        </w:rPr>
      </w:pPr>
      <w:r>
        <w:rPr>
          <w:rFonts w:hint="eastAsia"/>
          <w:sz w:val="21"/>
          <w:szCs w:val="21"/>
          <w:highlight w:val="none"/>
        </w:rPr>
        <w:t>战争、自然灾害等不可抗力可能导致基金资产有遭受损失的风险。基金管理人、基金托管人、证券交易所、登记机构和销售代理机构等可能因不可抗力无法正常工作，从而影响基</w:t>
      </w:r>
      <w:bookmarkStart w:id="170" w:name="chapter_level1_22_68_section_1_end"/>
      <w:bookmarkEnd w:id="170"/>
      <w:r>
        <w:rPr>
          <w:rFonts w:hint="eastAsia"/>
          <w:sz w:val="21"/>
          <w:szCs w:val="21"/>
          <w:highlight w:val="none"/>
        </w:rPr>
        <w:t xml:space="preserve">金的各项业务按正常时限完成。 </w:t>
      </w:r>
    </w:p>
    <w:p w14:paraId="259A5B42">
      <w:pPr>
        <w:widowControl/>
        <w:jc w:val="left"/>
        <w:rPr>
          <w:rFonts w:ascii="宋体" w:hAnsi="宋体" w:eastAsia="宋体"/>
          <w:highlight w:val="none"/>
        </w:rPr>
      </w:pPr>
      <w:r>
        <w:rPr>
          <w:rFonts w:ascii="宋体" w:hAnsi="宋体" w:eastAsia="宋体"/>
          <w:highlight w:val="none"/>
        </w:rPr>
        <w:br w:type="page"/>
      </w:r>
    </w:p>
    <w:p w14:paraId="1E4F3E9A">
      <w:pPr>
        <w:pStyle w:val="2"/>
        <w:jc w:val="center"/>
        <w:rPr>
          <w:rFonts w:ascii="宋体" w:hAnsi="宋体" w:eastAsia="宋体"/>
          <w:sz w:val="30"/>
          <w:highlight w:val="none"/>
        </w:rPr>
      </w:pPr>
      <w:bookmarkStart w:id="171" w:name="_Toc207933761"/>
      <w:bookmarkStart w:id="172" w:name="chapter_level1_23_69"/>
      <w:r>
        <w:rPr>
          <w:rFonts w:hint="eastAsia" w:ascii="宋体" w:hAnsi="宋体" w:eastAsia="宋体"/>
          <w:sz w:val="30"/>
          <w:highlight w:val="none"/>
        </w:rPr>
        <w:t>第二十部分  基金合同的变更、终止与基金财产的清算</w:t>
      </w:r>
      <w:bookmarkEnd w:id="171"/>
      <w:bookmarkEnd w:id="172"/>
    </w:p>
    <w:p w14:paraId="7F454A91">
      <w:pPr>
        <w:pStyle w:val="8"/>
        <w:spacing w:before="0" w:beforeAutospacing="0" w:after="0" w:afterAutospacing="0" w:line="360" w:lineRule="auto"/>
        <w:ind w:firstLine="420"/>
        <w:rPr>
          <w:sz w:val="21"/>
          <w:szCs w:val="21"/>
          <w:highlight w:val="none"/>
        </w:rPr>
      </w:pPr>
      <w:bookmarkStart w:id="173" w:name="chapter_level1_23_69_section_1"/>
      <w:bookmarkEnd w:id="173"/>
      <w:r>
        <w:rPr>
          <w:rStyle w:val="12"/>
          <w:rFonts w:hint="eastAsia"/>
          <w:sz w:val="21"/>
          <w:szCs w:val="21"/>
          <w:highlight w:val="none"/>
        </w:rPr>
        <w:t>一、《基金合同》的变更</w:t>
      </w:r>
    </w:p>
    <w:p w14:paraId="5903929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13C7337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2、关于《基金合同》变更的基金份额持有人大会决议自生效后方可执行，自决议生效后依照《信息披露办法》在规定媒介公告。 </w:t>
      </w:r>
    </w:p>
    <w:p w14:paraId="43A0FCCA">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二、《基金合同》的终止事由</w:t>
      </w:r>
    </w:p>
    <w:p w14:paraId="04FE586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有下列情形之一的，经履行相关程序后，《基金合同》应当终止： </w:t>
      </w:r>
    </w:p>
    <w:p w14:paraId="65D837F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1、基金份额持有人大会决定终止的； </w:t>
      </w:r>
    </w:p>
    <w:p w14:paraId="3E962EF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2、基金管理人、基金托管人职责终止，在6个月内没有新基金管理人、新基金托管人承接的； </w:t>
      </w:r>
    </w:p>
    <w:p w14:paraId="147B836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3、《基金合同》约定的其他情形； </w:t>
      </w:r>
    </w:p>
    <w:p w14:paraId="4D11AA1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4、相关法律法规和中国证监会规定的其他情况。 </w:t>
      </w:r>
    </w:p>
    <w:p w14:paraId="58821A90">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三、基金财产的清算</w:t>
      </w:r>
    </w:p>
    <w:p w14:paraId="7A1E92A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1、基金财产清算小组：自出现《基金合同》终止事由之日起30个工作日内成立清算小组，基金管理人组织基金财产清算小组并在中国证监会的监督下进行基金清算。 </w:t>
      </w:r>
    </w:p>
    <w:p w14:paraId="07FF657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2、基金财产清算小组组成：基金财产清算小组成员由基金管理人、基金托管人、符合《证券法》规定的注册会计师、律师以及中国证监会指定的人员组成。基金财产清算小组可以聘用必要的工作人员。 </w:t>
      </w:r>
    </w:p>
    <w:p w14:paraId="0ABACF7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3、基金财产清算小组职责：基金财产清算小组负责基金财产的保管、清理、估价、变现和分配。基金财产清算小组可以依法进行必要的民事活动。 </w:t>
      </w:r>
    </w:p>
    <w:p w14:paraId="7D124F3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4、基金财产清算程序： </w:t>
      </w:r>
    </w:p>
    <w:p w14:paraId="5391F31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（1）《基金合同》终止情形出现时，由基金财产清算小组统一接管基金； </w:t>
      </w:r>
    </w:p>
    <w:p w14:paraId="4DFBE6B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（2）对基金财产和债权债务进行清理和确认； </w:t>
      </w:r>
    </w:p>
    <w:p w14:paraId="1A2FBF0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（3）对基金财产进行估值和变现； </w:t>
      </w:r>
    </w:p>
    <w:p w14:paraId="5CF96D6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（4）制作清算报告； </w:t>
      </w:r>
    </w:p>
    <w:p w14:paraId="2C29392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（5）聘请会计师事务所对清算报告进行外部审计，聘请律师事务所对清算报告出具法律意见书； </w:t>
      </w:r>
    </w:p>
    <w:p w14:paraId="626AB49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（6）将清算报告报中国证监会备案并公告； </w:t>
      </w:r>
    </w:p>
    <w:p w14:paraId="2B78559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（7）对基金剩余财产进行分配。 </w:t>
      </w:r>
    </w:p>
    <w:p w14:paraId="732D623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5、基金财产清算的期限为6个月，但因本基金所持证券的流动性受到限制而不能及时变现的，清算期限可相应顺延。 </w:t>
      </w:r>
    </w:p>
    <w:p w14:paraId="5CEA4799">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四、清算费用</w:t>
      </w:r>
    </w:p>
    <w:p w14:paraId="05274C6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清算费用是指基金财产清算小组在进行基金清算过程中发生的所有合理费用，清算费用由基金财产清算小组优先从基金财产中支付。 </w:t>
      </w:r>
    </w:p>
    <w:p w14:paraId="39D4A58D">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五、基金财产清算剩余资产的分配</w:t>
      </w:r>
    </w:p>
    <w:p w14:paraId="6A8D88D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依据基金财产清算的分配方案，将基金财产清算后的全部剩余资产扣除基金财产清算费用、交纳所欠税款并清偿基金债务后，按基金份额持有人持有的基金份额比例进行分配。 </w:t>
      </w:r>
    </w:p>
    <w:p w14:paraId="5F3B3044">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六、基金财产清算的公告</w:t>
      </w:r>
    </w:p>
    <w:p w14:paraId="531E475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0C5F31CD">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七、基金财产清算账册及文件的保存</w:t>
      </w:r>
    </w:p>
    <w:p w14:paraId="5606F89D">
      <w:pPr>
        <w:pStyle w:val="8"/>
        <w:spacing w:before="0" w:beforeAutospacing="0" w:after="0" w:afterAutospacing="0" w:line="360" w:lineRule="auto"/>
        <w:ind w:firstLine="420"/>
        <w:rPr>
          <w:sz w:val="21"/>
          <w:szCs w:val="21"/>
          <w:highlight w:val="none"/>
        </w:rPr>
      </w:pPr>
      <w:r>
        <w:rPr>
          <w:rFonts w:hint="eastAsia"/>
          <w:sz w:val="21"/>
          <w:szCs w:val="21"/>
          <w:highlight w:val="none"/>
        </w:rPr>
        <w:t>基金财产清算账册及有关文件由基金托管人保存20年以上，法律法规或监管规则另有</w:t>
      </w:r>
      <w:bookmarkStart w:id="174" w:name="chapter_level1_23_69_section_1_end"/>
      <w:bookmarkEnd w:id="174"/>
      <w:r>
        <w:rPr>
          <w:rFonts w:hint="eastAsia"/>
          <w:sz w:val="21"/>
          <w:szCs w:val="21"/>
          <w:highlight w:val="none"/>
        </w:rPr>
        <w:t xml:space="preserve">规定的从其规定。 </w:t>
      </w:r>
    </w:p>
    <w:p w14:paraId="7D1E20DF">
      <w:pPr>
        <w:widowControl/>
        <w:jc w:val="left"/>
        <w:rPr>
          <w:rFonts w:ascii="宋体" w:hAnsi="宋体" w:eastAsia="宋体"/>
          <w:highlight w:val="none"/>
        </w:rPr>
      </w:pPr>
      <w:r>
        <w:rPr>
          <w:rFonts w:ascii="宋体" w:hAnsi="宋体" w:eastAsia="宋体"/>
          <w:highlight w:val="none"/>
        </w:rPr>
        <w:br w:type="page"/>
      </w:r>
    </w:p>
    <w:p w14:paraId="60CE57C8">
      <w:pPr>
        <w:pStyle w:val="2"/>
        <w:jc w:val="center"/>
        <w:rPr>
          <w:rFonts w:ascii="宋体" w:hAnsi="宋体" w:eastAsia="宋体"/>
          <w:sz w:val="30"/>
          <w:highlight w:val="none"/>
        </w:rPr>
      </w:pPr>
      <w:bookmarkStart w:id="175" w:name="chapter_level1_24_71"/>
      <w:bookmarkStart w:id="176" w:name="_Toc207933762"/>
      <w:r>
        <w:rPr>
          <w:rFonts w:hint="eastAsia" w:ascii="宋体" w:hAnsi="宋体" w:eastAsia="宋体"/>
          <w:sz w:val="30"/>
          <w:highlight w:val="none"/>
        </w:rPr>
        <w:t>第二十一部分  基金合同的内容摘要</w:t>
      </w:r>
      <w:bookmarkEnd w:id="175"/>
      <w:bookmarkEnd w:id="176"/>
    </w:p>
    <w:p w14:paraId="390A173B">
      <w:pPr>
        <w:pStyle w:val="8"/>
        <w:spacing w:before="0" w:beforeAutospacing="0" w:after="0" w:afterAutospacing="0" w:line="360" w:lineRule="auto"/>
        <w:ind w:firstLine="420"/>
        <w:rPr>
          <w:sz w:val="21"/>
          <w:szCs w:val="21"/>
          <w:highlight w:val="none"/>
        </w:rPr>
      </w:pPr>
      <w:bookmarkStart w:id="177" w:name="chapter_level1_24_71_section_1"/>
      <w:bookmarkEnd w:id="177"/>
      <w:r>
        <w:rPr>
          <w:rStyle w:val="12"/>
          <w:rFonts w:hint="eastAsia"/>
          <w:sz w:val="21"/>
          <w:szCs w:val="21"/>
          <w:highlight w:val="none"/>
        </w:rPr>
        <w:t>一、基金份额持有人、基金管理人和基金托管人的权利、义务</w:t>
      </w:r>
    </w:p>
    <w:p w14:paraId="58AB81B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（一）基金份额持有人的权利与义务 </w:t>
      </w:r>
    </w:p>
    <w:p w14:paraId="667F156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 </w:t>
      </w:r>
    </w:p>
    <w:p w14:paraId="0F82371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每份基金份额具有同等的合法权益。 </w:t>
      </w:r>
    </w:p>
    <w:p w14:paraId="3EA1C58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1、根据《基金法》、《运作办法》及其他有关规定，基金份额持有人的权利包括但不限于： </w:t>
      </w:r>
    </w:p>
    <w:p w14:paraId="68C52D3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（1）分享基金财产收益； </w:t>
      </w:r>
    </w:p>
    <w:p w14:paraId="0153CB2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（2）参与分配清算后的剩余基金财产； </w:t>
      </w:r>
    </w:p>
    <w:p w14:paraId="5145076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（3）依法转让或者申请赎回其持有的基金份额； </w:t>
      </w:r>
    </w:p>
    <w:p w14:paraId="318AD0A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（4）按照规定要求召开基金份额持有人大会或者召集基金份额持有人大会； </w:t>
      </w:r>
    </w:p>
    <w:p w14:paraId="7C75B19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（5）出席或者委派代表出席基金份额持有人大会，对基金份额持有人大会审议事项行使表决权； </w:t>
      </w:r>
    </w:p>
    <w:p w14:paraId="7ABBAD4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（6）查阅或者复制公开披露的基金信息资料； </w:t>
      </w:r>
    </w:p>
    <w:p w14:paraId="3F2C9B0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（7）监督基金管理人的投资运作； </w:t>
      </w:r>
    </w:p>
    <w:p w14:paraId="134C489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（8）对基金管理人、基金托管人、基金服务机构损害其合法权益的行为依法提起诉讼或仲裁； </w:t>
      </w:r>
    </w:p>
    <w:p w14:paraId="4560698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（9）法律法规及中国证监会规定的和《基金合同》约定的其他权利。 </w:t>
      </w:r>
    </w:p>
    <w:p w14:paraId="1C732B8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2、根据《基金法》、《运作办法》及其他有关规定，基金份额持有人的义务包括但不限于： </w:t>
      </w:r>
    </w:p>
    <w:p w14:paraId="0FAE069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（1）认真阅读并遵守《基金合同》、招募说明书等信息披露文件； </w:t>
      </w:r>
    </w:p>
    <w:p w14:paraId="1EA7B85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（2）了解所投资基金产品，了解自身风险承受能力，自主判断基金的投资价值，自主做出投资决策，自行承担投资风险； </w:t>
      </w:r>
    </w:p>
    <w:p w14:paraId="6C2D0BF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（3）关注基金信息披露，及时行使权利和履行义务； </w:t>
      </w:r>
    </w:p>
    <w:p w14:paraId="4DB76C6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（4）交纳基金认购款项或认购股票、申购对价及法律法规和《基金合同》所规定的费用； </w:t>
      </w:r>
    </w:p>
    <w:p w14:paraId="1E17B49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（5）在其持有的基金份额范围内，承担基金亏损或者《基金合同》终止的有限责任； </w:t>
      </w:r>
    </w:p>
    <w:p w14:paraId="7EE5FBE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（6）不从事任何有损基金及其他《基金合同》当事人合法权益的活动； </w:t>
      </w:r>
    </w:p>
    <w:p w14:paraId="69B429B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（7）执行生效的基金份额持有人大会的决议； </w:t>
      </w:r>
    </w:p>
    <w:p w14:paraId="6ED6830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（8）返还在基金交易过程中因任何原因获得的不当得利； </w:t>
      </w:r>
    </w:p>
    <w:p w14:paraId="56578D0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（9）法律法规及中国证监会规定的和《基金合同》约定的其他义务。 </w:t>
      </w:r>
    </w:p>
    <w:p w14:paraId="20DD332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（二）基金管理人的权利与义务 </w:t>
      </w:r>
    </w:p>
    <w:p w14:paraId="2EBB6D7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1、根据《基金法》、《运作办法》及其他有关规定，基金管理人的权利包括但不限于： </w:t>
      </w:r>
    </w:p>
    <w:p w14:paraId="3B6D14F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（1）依法募集资金； </w:t>
      </w:r>
    </w:p>
    <w:p w14:paraId="2FEE27C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（2）自《基金合同》生效之日起，根据法律法规和《基金合同》独立运用并管理基金财产； </w:t>
      </w:r>
    </w:p>
    <w:p w14:paraId="371E969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（3）依照《基金合同》收取基金管理费以及法律法规规定或中国证监会批准的其他费用； </w:t>
      </w:r>
    </w:p>
    <w:p w14:paraId="37FF9A7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（4）销售基金份额； </w:t>
      </w:r>
    </w:p>
    <w:p w14:paraId="5D67192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（5）按照规定召集基金份额持有人大会； </w:t>
      </w:r>
    </w:p>
    <w:p w14:paraId="462B859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（6）依据《基金合同》及有关法律规定监督基金托管人，如认为基金托管人违反了《基金合同》及国家有关法律规定，应呈报中国证监会和其他监管部门，并采取必要措施保护基金投资者的利益； </w:t>
      </w:r>
    </w:p>
    <w:p w14:paraId="0AB3640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（7）在基金托管人更换时，提名新的基金托管人； </w:t>
      </w:r>
    </w:p>
    <w:p w14:paraId="2AC2D0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（8）选择、更换基金销售机构，对基金销售机构的相关行为进行监督和处理； </w:t>
      </w:r>
    </w:p>
    <w:p w14:paraId="486F89A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（9）担任或委托其他符合条件的机构担任基金登记机构办理基金登记业务并获得《基金合同》规定的费用； </w:t>
      </w:r>
    </w:p>
    <w:p w14:paraId="7536BA3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（10）依据《基金合同》及有关法律规定决定基金收益的分配方案；    </w:t>
      </w:r>
    </w:p>
    <w:p w14:paraId="013EBBA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（11）在《基金合同》约定的范围内，拒绝或暂停受理申购与赎回申请； </w:t>
      </w:r>
    </w:p>
    <w:p w14:paraId="3F2842A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（12）依照法律法规为基金的利益对被投资公司行使股东权利，为基金的利益行使因基金财产投资于证券所产生的权利； </w:t>
      </w:r>
    </w:p>
    <w:p w14:paraId="2B504B3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（13）在法律法规允许的前提下，为基金的利益依法为基金进行融资、融券和转融通证券出借业务； </w:t>
      </w:r>
    </w:p>
    <w:p w14:paraId="353EF08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（14）以基金管理人的名义，代表基金份额持有人的利益行使诉讼权利或者实施其他法律行为；    </w:t>
      </w:r>
    </w:p>
    <w:p w14:paraId="2CA29A8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（15）选择、更换律师事务所、会计师事务所、证券、期货经纪商或其他为基金提供服务的外部机构；  </w:t>
      </w:r>
    </w:p>
    <w:p w14:paraId="752188F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（16）在符合有关法律、法规、相关证券交易所及登记机构相关业务规则的规定及基金合同的前提下，制订和调整有关基金认购、申购、赎回、转换等业务规则； </w:t>
      </w:r>
    </w:p>
    <w:p w14:paraId="63ACB55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（17）法律法规及中国证监会规定的和《基金合同》约定的其他权利。 </w:t>
      </w:r>
    </w:p>
    <w:p w14:paraId="730E2FF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2、根据《基金法》、《运作办法》及其他有关规定，基金管理人的义务包括但不限于： </w:t>
      </w:r>
    </w:p>
    <w:p w14:paraId="2D64FB0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（1）依法募集资金，办理或者委托经中国证监会认定的其他机构代为办理基金份额的发售、申购、赎回和登记事宜； </w:t>
      </w:r>
    </w:p>
    <w:p w14:paraId="4A4794B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（2）办理基金备案手续； </w:t>
      </w:r>
    </w:p>
    <w:p w14:paraId="131988A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（3）自《基金合同》生效之日起，以诚实信用、谨慎勤勉的原则管理和运用基金财产； </w:t>
      </w:r>
    </w:p>
    <w:p w14:paraId="2A95E6C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（4）配备足够的具有专业资格的人员进行基金投资分析、决策，以专业化的经营方式管理和运作基金财产； </w:t>
      </w:r>
    </w:p>
    <w:p w14:paraId="700417D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（5）建立健全内部风险控制、监察与稽核、财务管理及人事管理等制度，保证所管理的基金财产和基金管理人的财产相互独立，对所管理的不同基金分别管理，分别记账，进行证券投资； </w:t>
      </w:r>
    </w:p>
    <w:p w14:paraId="3BF4D70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（6）除依据《基金法》、《基金合同》及其他有关规定外，不得利用基金财产为自己及任何第三人谋取利益，不得委托第三人运作基金财产； </w:t>
      </w:r>
    </w:p>
    <w:p w14:paraId="705D9EC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（7）依法接受基金托管人的监督； </w:t>
      </w:r>
    </w:p>
    <w:p w14:paraId="403809B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（8）采取适当合理的措施使计算基金份额认购价格、申购对价、赎回对价的方法符合《基金合同》等法律文件的规定，按有关规定计算并公告基金净值信息，确定基金份额申购、赎回对价，编制申购赎回清单； </w:t>
      </w:r>
    </w:p>
    <w:p w14:paraId="2761269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（9）进行基金会计核算并编制基金财务会计报告； </w:t>
      </w:r>
    </w:p>
    <w:p w14:paraId="71941A6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（10）编制季度报告、中期报告和年度报告； </w:t>
      </w:r>
    </w:p>
    <w:p w14:paraId="5200CE7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（11）严格按照《基金法》、《基金合同》及其他有关规定，履行信息披露及报告义务； </w:t>
      </w:r>
    </w:p>
    <w:p w14:paraId="78E6EBC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保守基金商业秘密，不泄露基金投资计划、投资意向等。除《基金法》、《基金合同》及其他有关规定另有规定外，在基金信息公开披露前应予保密，不向他人泄露，向审计、法律等外部专业顾问提供的情况除外； </w:t>
      </w:r>
    </w:p>
    <w:p w14:paraId="727D86F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（13）按《基金合同》的约定确定基金收益分配方案，及时向基金份额持有人分配基金收益； </w:t>
      </w:r>
    </w:p>
    <w:p w14:paraId="4168863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（14）按规定受理申购与赎回申请，及时、足额支付赎回对价； </w:t>
      </w:r>
    </w:p>
    <w:p w14:paraId="3608EBD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（15）依据《基金法》、《基金合同》及其他有关规定召集基金份额持有人大会或配合基金托管人、基金份额持有人依法召集基金份额持有人大会； </w:t>
      </w:r>
    </w:p>
    <w:p w14:paraId="11B04EA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（16）按规定保存基金财产管理业务活动的会计账册、报表、记录和其他相关资料，保存期限不低于法律法规规定； </w:t>
      </w:r>
    </w:p>
    <w:p w14:paraId="5893FF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1E171A5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（18）组织并参加基金财产清算小组，参与基金财产的保管、清理、估价、变现和分配； </w:t>
      </w:r>
    </w:p>
    <w:p w14:paraId="1A5B771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（19）面临解散、依法被撤销或者被依法宣告破产时，及时报告中国证监会并通知基金托管人； </w:t>
      </w:r>
    </w:p>
    <w:p w14:paraId="02731D7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（20）因违反《基金合同》导致基金财产的损失或损害基金份额持有人合法权益时，应当承担赔偿责任，其赔偿责任不因其退任而免除； </w:t>
      </w:r>
    </w:p>
    <w:p w14:paraId="5C9685E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（21）监督基金托管人按法律法规和《基金合同》规定履行自己的义务，基金托管人违反《基金合同》造成基金财产损失时，基金管理人应为基金份额持有人利益向基金托管人追偿； </w:t>
      </w:r>
    </w:p>
    <w:p w14:paraId="1D42066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（22）当基金管理人将其义务委托第三方处理时，应当对第三方处理有关基金事务的行为承担责任； </w:t>
      </w:r>
    </w:p>
    <w:p w14:paraId="2F9EAAA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（23）以基金管理人名义，代表基金份额持有人利益行使诉讼权利或实施其他法律行为； </w:t>
      </w:r>
    </w:p>
    <w:p w14:paraId="20457CB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（24）基金管理人在募集期间未能达到基金的备案条件，《基金合同》不能生效，基金管理人承担全部募集费用，将已募集资金并加计银行同期活期存款利息在基金募集期结束后30日内退还基金认购人； </w:t>
      </w:r>
    </w:p>
    <w:p w14:paraId="79A94DE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（25）执行生效的基金份额持有人大会的决议； </w:t>
      </w:r>
    </w:p>
    <w:p w14:paraId="345C622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（26）建立并保存基金份额持有人名册； </w:t>
      </w:r>
    </w:p>
    <w:p w14:paraId="554AFFC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（27）法律法规及中国证监会规定的和《基金合同》约定的其他义务。 </w:t>
      </w:r>
    </w:p>
    <w:p w14:paraId="619AC97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 基金托管人的权利与义务 </w:t>
      </w:r>
    </w:p>
    <w:p w14:paraId="1AAB27B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1、根据《基金法》、《运作办法》及其他有关规定，基金托管人的权利包括但不限于： </w:t>
      </w:r>
    </w:p>
    <w:p w14:paraId="00BCC1C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（1）自《基金合同》生效之日起，依法律法规和《基金合同》的规定安全保管基金财产； </w:t>
      </w:r>
    </w:p>
    <w:p w14:paraId="16A1ECF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（2）依《基金合同》约定获得基金托管费以及法律法规规定或监管部门批准的其他费用； </w:t>
      </w:r>
    </w:p>
    <w:p w14:paraId="1C7F58E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11DA0DD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（4）根据相关市场规则，为基金开设资金账户、证券账户等投资所需账户，为基金办理证券交易资金清算； </w:t>
      </w:r>
    </w:p>
    <w:p w14:paraId="150573A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（5）提议召开或召集基金份额持有人大会； </w:t>
      </w:r>
    </w:p>
    <w:p w14:paraId="58508AB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（6）在基金管理人更换时，提名新的基金管理人； </w:t>
      </w:r>
    </w:p>
    <w:p w14:paraId="1090B4E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（7）法律法规及中国证监会规定的和《基金合同》约定的其他权利。 </w:t>
      </w:r>
    </w:p>
    <w:p w14:paraId="522E892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2、根据《基金法》、《运作办法》及其他有关规定，基金托管人的义务包括但不限于： </w:t>
      </w:r>
    </w:p>
    <w:p w14:paraId="5A86FAE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（1）以诚实信用、勤勉尽责的原则持有并安全保管基金财产； </w:t>
      </w:r>
    </w:p>
    <w:p w14:paraId="7CB7213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（2）设立专门的基金托管部门，具有符合要求的营业场所，配备足够的、合格的熟悉基金托管业务的专职人员，负责基金财产托管事宜； </w:t>
      </w:r>
    </w:p>
    <w:p w14:paraId="78FAC08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3D2C734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（4）除依据《基金法》、《基金合同》及其他有关规定外，不得利用基金财产为自己及任何第三人谋取利益，不得委托第三人托管基金财产； </w:t>
      </w:r>
    </w:p>
    <w:p w14:paraId="2158F42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（5）保管由基金管理人代表基金签订的与基金有关的重大合同及有关凭证； </w:t>
      </w:r>
    </w:p>
    <w:p w14:paraId="506D108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（6）按规定开设基金财产的资金账户和证券账户等投资所需账户，按照《基金合同》的约定，根据基金管理人的投资指令，及时办理清算、交割事宜； </w:t>
      </w:r>
    </w:p>
    <w:p w14:paraId="3BF3E9A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（7）保守基金商业秘密，除《基金法》、《基金合同》及其他有关规定另有规定外，在基金信息公开披露前予以保密，不得向他人泄露，向审计、法律等外部专业顾问提供的情况除外； </w:t>
      </w:r>
    </w:p>
    <w:p w14:paraId="24B2C31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（8）复核、审查基金管理人计算的基金资产净值、基金份额净值、基金份额申购、赎回对价； </w:t>
      </w:r>
    </w:p>
    <w:p w14:paraId="390D8D2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（9）办理与基金托管业务活动有关的信息披露事项； </w:t>
      </w:r>
    </w:p>
    <w:p w14:paraId="0250835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60312AF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（11）保存基金托管业务活动的记录、账册、报表和其他相关资料20年以上，法律法规或监管规则另有规定的从其规定； </w:t>
      </w:r>
    </w:p>
    <w:p w14:paraId="7FB5B24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（12）从基金管理人或其委托的登记机构处接收并保存基金份额持有人名册； </w:t>
      </w:r>
    </w:p>
    <w:p w14:paraId="40FBF70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（13）按规定制作相关账册并与基金管理人核对； </w:t>
      </w:r>
    </w:p>
    <w:p w14:paraId="66FC1D8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（14）依据基金管理人的指令或有关规定向基金份额持有人支付基金收益和赎回对价的现金部分； </w:t>
      </w:r>
    </w:p>
    <w:p w14:paraId="07CA788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（15）依据《基金法》、《基金合同》及其他有关规定，召集基金份额持有人大会或配合基金管理人、基金份额持有人依法召集基金份额持有人大会； </w:t>
      </w:r>
    </w:p>
    <w:p w14:paraId="1BE813D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（16）按照法律法规和《基金合同》和托管协议的规定监督基金管理人的投资运作； </w:t>
      </w:r>
    </w:p>
    <w:p w14:paraId="0DE3B71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（17）参加基金财产清算小组，参与基金财产的保管、清理、估价、变现和分配； </w:t>
      </w:r>
    </w:p>
    <w:p w14:paraId="452DDAB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（18）面临解散、依法被撤销或者被依法宣告破产时，及时报告中国证监会，并通知基金管理人； </w:t>
      </w:r>
    </w:p>
    <w:p w14:paraId="41F8125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（19）因违反《基金合同》导致基金财产损失时，应承担赔偿责任，其赔偿责任不因其退任而免除； </w:t>
      </w:r>
    </w:p>
    <w:p w14:paraId="7618B7C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（20）按规定监督基金管理人按法律法规和《基金合同》规定履行自己的义务，基金管理人因违反《基金合同》造成基金财产损失时，应为基金份额持有人利益向基金管理人追偿； </w:t>
      </w:r>
    </w:p>
    <w:p w14:paraId="56282E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（21）执行生效的基金份额持有人大会的决议； </w:t>
      </w:r>
    </w:p>
    <w:p w14:paraId="7098815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（22）法律法规及中国证监会规定的和《基金合同》约定的其他义务。 </w:t>
      </w:r>
    </w:p>
    <w:p w14:paraId="1D06953D">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二、基金份额持有人大会召集、议事及表决的程序和规则</w:t>
      </w:r>
    </w:p>
    <w:p w14:paraId="6CF05CD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基金份额持有人大会由基金份额持有人组成，基金份额持有人的合法授权代表有权代表基金份额持有人出席会议并表决。基金份额持有人持有的每一基金份额拥有平等的投票权。 </w:t>
      </w:r>
    </w:p>
    <w:p w14:paraId="7D72814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若以本基金为目标ETF，且基金管理人和基金托管人与本基金基金管理人和基金托管人一致的联接基金的基金合同生效，鉴于本基金和联接基金的相关性，联接基金的基金份额持有人可以凭所持有的联接基金的基金份额直接出席本基金的基金份额持有人大会或者委派代表出席本基金的基金份额持有人大会并参与表决。在计算参会份额和票数时，联接基金基金份额持有人持有的享有表决权的参会份额数和表决票数为：在本基金基金份额持有人大会的权益登记日，联接基金持有本基金份额的总数乘以该持有人所持有的联接基金份额占联接基金总份额的比例，计算结果按照四舍五入的方法，保留到整数位。联接基金折算为本基金后的每一参会份额和本基金的每一参会份额拥有平等的投票权。 </w:t>
      </w:r>
    </w:p>
    <w:p w14:paraId="66C8C74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接基金的基金管理人不应以联接基金的名义代表联接基金的全体基金份额持有人以本基金的基金份额持有人的身份行使表决权，但可接受联接基金的特定基金份额持有人的委托以联接基金的基金份额持有人代理人的身份出席本基金的基金份额持有人大会并参与表决。 </w:t>
      </w:r>
    </w:p>
    <w:p w14:paraId="5E9A14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联接基金的基金管理人代表联接基金的基金份额持有人提议召开或召集本基金份额持有人大会的，须先遵照联接基金基金合同的约定召开联接基金的基金份额持有人大会，联接基金的基金份额持有人大会决定提议召开或召集本基金份额持有人大会的，由联接基金的基金管理人代表联接基金的基金份额持有人提议召开或召集本基金份额持有人大会。 </w:t>
      </w:r>
    </w:p>
    <w:p w14:paraId="047A0E5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本基金份额持有人大会不设日常机构。 </w:t>
      </w:r>
    </w:p>
    <w:p w14:paraId="0571F97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（一）召开事由 </w:t>
      </w:r>
    </w:p>
    <w:p w14:paraId="6378DC0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1、除法律法规、中国证监会和基金合同另有规定外，当出现或需要决定下列事由之一的，应当召开基金份额持有人大会： </w:t>
      </w:r>
    </w:p>
    <w:p w14:paraId="01B8242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（1）终止《基金合同》； </w:t>
      </w:r>
    </w:p>
    <w:p w14:paraId="233AEF6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（2）更换基金管理人； </w:t>
      </w:r>
    </w:p>
    <w:p w14:paraId="0BEA677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（3）更换基金托管人； </w:t>
      </w:r>
    </w:p>
    <w:p w14:paraId="2C50499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（4）转换基金运作方式； </w:t>
      </w:r>
    </w:p>
    <w:p w14:paraId="1C75BAD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（5）调整基金管理人、基金托管人的报酬标准； </w:t>
      </w:r>
    </w:p>
    <w:p w14:paraId="04AEAB7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（6）变更基金类别； </w:t>
      </w:r>
    </w:p>
    <w:p w14:paraId="59F2BA2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（7）本基金与其他基金的合并； </w:t>
      </w:r>
    </w:p>
    <w:p w14:paraId="2C9DC61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（8）变更基金投资目标、范围或策略； </w:t>
      </w:r>
    </w:p>
    <w:p w14:paraId="10CE354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（9）变更基金份额持有人大会程序； </w:t>
      </w:r>
    </w:p>
    <w:p w14:paraId="00066BE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（10）基金管理人或基金托管人要求召开基金份额持有人大会； </w:t>
      </w:r>
    </w:p>
    <w:p w14:paraId="7C8D74F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（11）单独或合计持有本基金总份额10%以上（含10%）基金份额的基金份额持有人（以基金管理人收到提议当日的基金份额计算，下同）就同一事项书面要求召开基金份额持有人大会； </w:t>
      </w:r>
    </w:p>
    <w:p w14:paraId="2231335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（12）对基金合同当事人权利和义务产生重大影响的其他事项； </w:t>
      </w:r>
    </w:p>
    <w:p w14:paraId="6EAB0D9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（13）终止基金上市，但因基金不再具备上市条件而被上海证券交易所终止上市的除外； </w:t>
      </w:r>
    </w:p>
    <w:p w14:paraId="0A8B520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（14）法律法规、《基金合同》或中国证监会规定的其他应当召开基金份额持有人大会的事项。 </w:t>
      </w:r>
    </w:p>
    <w:p w14:paraId="0F60A1C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2、在法律法规规定和《基金合同》约定的范围内且对基金份额持有人利益无实质性不利影响的前提下，以下情况可由基金管理人和基金托管人协商后修改，不需召开基金份额持有人大会： </w:t>
      </w:r>
    </w:p>
    <w:p w14:paraId="3321181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（1）法律法规要求增加的基金费用的收取； </w:t>
      </w:r>
    </w:p>
    <w:p w14:paraId="6733A10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（2）调整本基金的申购费率、调低赎回费率或变更收费方式或调整基金份额类别设置、对基金份额分类办法及规则进行调整； </w:t>
      </w:r>
    </w:p>
    <w:p w14:paraId="3670FB7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（3）因相应的法律法规、上海证券交易所或者登记机构的相关业务规则发生变动而应当对《基金合同》进行修改； </w:t>
      </w:r>
    </w:p>
    <w:p w14:paraId="15F5068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（4）对《基金合同》的修改对基金份额持有人利益无实质性不利影响或修改不涉及《基金合同》当事人权利义务关系发生重大变化； </w:t>
      </w:r>
    </w:p>
    <w:p w14:paraId="6F6DB16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基金管理人、相关证券交易所和登记机构等在法律法规、基金合同规定的范围内且对基金份额持有人利益无实质性不利影响的前提下调整有关基金认购、申购、赎回、交易、转托管、非交易过户等业务的规则（包括但不限于申购赎回清单的调整、开放时间的调整等）； </w:t>
      </w:r>
    </w:p>
    <w:p w14:paraId="200219E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（6）基金推出新业务或服务； </w:t>
      </w:r>
    </w:p>
    <w:p w14:paraId="3C04CEC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（7）在不违反法律法规的情况下，本基金的联接基金采取其他方式参与本基金的申购赎回； </w:t>
      </w:r>
    </w:p>
    <w:p w14:paraId="54A916C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（8）调整基金的申购赎回方式及申购对价、赎回对价组成；调整申购赎回清单的内容，调整申购赎回清单计算和公告时间或频率； </w:t>
      </w:r>
    </w:p>
    <w:p w14:paraId="7C162DC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（9）进行基金份额的拆分与合并； </w:t>
      </w:r>
    </w:p>
    <w:p w14:paraId="2D7457C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（10）按照法律法规和《基金合同》规定不需召开基金份额持有人大会的其他情形。 </w:t>
      </w:r>
    </w:p>
    <w:p w14:paraId="7BA7A62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（二）会议召集人及召集方式 </w:t>
      </w:r>
    </w:p>
    <w:p w14:paraId="3C093D5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1、除法律法规规定或《基金合同》另有约定外，基金份额持有人大会由基金管理人召集。 </w:t>
      </w:r>
    </w:p>
    <w:p w14:paraId="0CC7F68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2、基金管理人未按规定召集或不能召集时，由基金托管人召集。 </w:t>
      </w:r>
    </w:p>
    <w:p w14:paraId="0A1023E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1CF034E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395CC9D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42099A1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6、基金份额持有人会议的召集人负责选择确定开会时间、地点、方式和权益登记日。 </w:t>
      </w:r>
    </w:p>
    <w:p w14:paraId="2368596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（三）召开基金份额持有人大会的通知时间、通知内容、通知方式 </w:t>
      </w:r>
    </w:p>
    <w:p w14:paraId="3867729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1、召开基金份额持有人大会，召集人应于会议召开前30日，在规定媒介公告。基金份额持有人大会通知应至少载明以下内容： </w:t>
      </w:r>
    </w:p>
    <w:p w14:paraId="661A8B3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（1）会议召开的时间、地点和会议形式； </w:t>
      </w:r>
    </w:p>
    <w:p w14:paraId="53391CC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（2）会议拟审议的事项、议事程序和表决方式； </w:t>
      </w:r>
    </w:p>
    <w:p w14:paraId="1DFD650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（3）有权出席基金份额持有人大会的基金份额持有人的权益登记日； </w:t>
      </w:r>
    </w:p>
    <w:p w14:paraId="38FEC28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（4）授权委托证明的内容要求（包括但不限于代理人身份，代理权限和代理有效期限等）、送达时间和地点； </w:t>
      </w:r>
    </w:p>
    <w:p w14:paraId="629A504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（5）会务常设联系人姓名及联系电话； </w:t>
      </w:r>
    </w:p>
    <w:p w14:paraId="2DD61D8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（6）出席会议者必须准备的文件和必须履行的手续； </w:t>
      </w:r>
    </w:p>
    <w:p w14:paraId="11ABA7E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（7）召集人需要通知的其他事项。 </w:t>
      </w:r>
    </w:p>
    <w:p w14:paraId="09DEF8A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5227A5D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7B7520A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（四）基金份额持有人出席会议的方式 </w:t>
      </w:r>
    </w:p>
    <w:p w14:paraId="0DCD5D0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基金份额持有人大会可通过现场开会方式、通讯开会方式或法律法规、监管机构允许的其他方式召开，会议的召开方式由会议召集人确定。 </w:t>
      </w:r>
    </w:p>
    <w:p w14:paraId="3D859DD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00AF3A7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4B91B82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（2）经核对，汇总到会者出示的在权益登记日持有基金份额的凭证显示，有效的基金份额不少于本基金在权益登记日基金总份额的二分之一（含二分之一）。 </w:t>
      </w:r>
    </w:p>
    <w:p w14:paraId="557CA20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48CF123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通讯开会。通讯开会系指基金份额持有人将其对表决事项的投票以书面形式或持有人大会公告载明的其他方式在表决截止日以前送达至召集人指定的地址。通讯开会应以书面方式或持有人大会公告载明的其他方式进行表决。 </w:t>
      </w:r>
    </w:p>
    <w:p w14:paraId="58CFD91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在同时符合以下条件时，通讯开会的方式视为有效： </w:t>
      </w:r>
    </w:p>
    <w:p w14:paraId="3F39E2A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（1）会议召集人按《基金合同》约定公布会议通知后，在 2个工作日内连续公布相关提示性公告； </w:t>
      </w:r>
    </w:p>
    <w:p w14:paraId="6A52050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3D8E718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（3）本人直接出具表决意见或授权他人代表出具表决意见的，基金份额持有人所持有的基金份额不小于在权益登记日基金总份额的二分之一（含二分之一）； </w:t>
      </w:r>
    </w:p>
    <w:p w14:paraId="44C7BDF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752EE8B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7E5FE10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在法律法规或监管机构允许的情况下，经会议通知载明，本基金亦可采用网络、电话等其他非现场方式或者以非现场方式与现场方式结合的方式召开基金份额持有人大会，基金份额持有人可以采用书面、网络、电话、短信或其他方式进行表决，或者采用网络、电话或其他方式授权他人代为出席会议并表决，会议程序比照现场开会和通讯方式开会的程序进行。 </w:t>
      </w:r>
    </w:p>
    <w:p w14:paraId="355F3FD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（五）议事内容与程序 </w:t>
      </w:r>
    </w:p>
    <w:p w14:paraId="67AEA3B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1、议事内容及提案权 </w:t>
      </w:r>
    </w:p>
    <w:p w14:paraId="2536A43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071AD0D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基金份额持有人大会的召集人发出召集会议的通知后，对原有提案的修改应当在基金份额持有人大会召开前及时公告。 </w:t>
      </w:r>
    </w:p>
    <w:p w14:paraId="5BF4A49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基金份额持有人大会不得对未事先公告的议事内容进行表决。 </w:t>
      </w:r>
    </w:p>
    <w:p w14:paraId="7E803BF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2、议事程序 </w:t>
      </w:r>
    </w:p>
    <w:p w14:paraId="5A28391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（1）现场开会 </w:t>
      </w:r>
    </w:p>
    <w:p w14:paraId="7AE8432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 </w:t>
      </w:r>
    </w:p>
    <w:p w14:paraId="496E883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会议召集人应当制作出席会议人员的签名册。签名册载明参加会议人员姓名（或单位名称）、身份证明文件号码、持有或代表有表决权的基金份额、委托人姓名（或单位名称）和联系方式等事项。 </w:t>
      </w:r>
    </w:p>
    <w:p w14:paraId="2187A06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（2）通讯开会 </w:t>
      </w:r>
    </w:p>
    <w:p w14:paraId="485F50B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在通讯开会的情况下，首先由召集人提前30日公布提案，在所通知的表决截止日期后2个工作日内在公证机关监督下由召集人统计全部有效表决，在公证机关监督下形成决议。 </w:t>
      </w:r>
    </w:p>
    <w:p w14:paraId="3ED711A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（六）表决 </w:t>
      </w:r>
    </w:p>
    <w:p w14:paraId="5A533E4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基金份额持有人所持每份基金份额有一票表决权。 </w:t>
      </w:r>
    </w:p>
    <w:p w14:paraId="6DC263B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基金份额持有人大会决议分为一般决议和特别决议： </w:t>
      </w:r>
    </w:p>
    <w:p w14:paraId="4DD3C3E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1A77C51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特别决议，特别决议应当经参加大会的基金份额持有人或其代理人所持表决权的三分之二以上（含三分之二）通过方可做出。除法律法规、监管机构或基金合同另有约定外，转换基金运作方式、更换基金管理人或者基金托管人、终止《基金合同》、本基金与其他基金合并以特别决议通过方为有效。 </w:t>
      </w:r>
    </w:p>
    <w:p w14:paraId="6B95A9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基金份额持有人大会采取记名方式进行投票表决。 </w:t>
      </w:r>
    </w:p>
    <w:p w14:paraId="621A90A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5BA2B09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基金份额持有人大会的各项提案或同一项提案内并列的各项议题应当分开审议、逐项表决。 </w:t>
      </w:r>
    </w:p>
    <w:p w14:paraId="3F7542A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（七）计票 </w:t>
      </w:r>
    </w:p>
    <w:p w14:paraId="1D89FF4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1、现场开会 </w:t>
      </w:r>
    </w:p>
    <w:p w14:paraId="5190AEC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438B066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（2）监票人应当在基金份额持有人表决后立即进行清点并由大会主持人当场公布计票结果。 </w:t>
      </w:r>
    </w:p>
    <w:p w14:paraId="2A23A17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7568269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（4）计票过程应由公证机关予以公证，基金管理人或基金托管人拒不出席大会的，不影响计票的效力。 </w:t>
      </w:r>
    </w:p>
    <w:p w14:paraId="4C613FF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2、通讯开会 </w:t>
      </w:r>
    </w:p>
    <w:p w14:paraId="733665C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6D03F73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（八）生效与公告 </w:t>
      </w:r>
    </w:p>
    <w:p w14:paraId="6DFEA7F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基金份额持有人大会的决议，召集人应当自通过之日起5日内报中国证监会备案。 </w:t>
      </w:r>
    </w:p>
    <w:p w14:paraId="1E5B3CB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基金份额持有人大会的决议自表决通过之日起生效。 </w:t>
      </w:r>
    </w:p>
    <w:p w14:paraId="37BA8FE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基金份额持有人大会决议自生效之日起依照《信息披露办法》在规定媒介上公告。如果采用通讯方式进行表决，在公告基金份额持有人大会决议时，必须将公证书全文、公证机构、公证员姓名等一同公告。 </w:t>
      </w:r>
    </w:p>
    <w:p w14:paraId="166998C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基金管理人、基金托管人和基金份额持有人应当执行生效的基金份额持有人大会的决议。生效的基金份额持有人大会决议对全体基金份额持有人、基金管理人、基金托管人均有约束力。 </w:t>
      </w:r>
    </w:p>
    <w:p w14:paraId="10858F7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九）本部分关于基金份额持有人大会召开事由、召开条件、议事程序、表决条件等规定，凡是直接引用法律法规或监管规则的部分，如将来法律法规或监管规则修改导致相关内容被取消或变更的，基金管理人与基金托管人协商一致并履行适当程序后，可直接对本部分内容进行修改和调整，无需召开基金份额持有人大会审议。 </w:t>
      </w:r>
    </w:p>
    <w:p w14:paraId="1801EBE2">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三、基金合同的变更、终止与基金财产的清算</w:t>
      </w:r>
    </w:p>
    <w:p w14:paraId="702D121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（一）《基金合同》的变更 </w:t>
      </w:r>
    </w:p>
    <w:p w14:paraId="01E5019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 </w:t>
      </w:r>
    </w:p>
    <w:p w14:paraId="41BF0ED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2、关于《基金合同》变更的基金份额持有人大会决议自生效后方可执行，自决议生效后依照《信息披露办法》在规定媒介公告。 </w:t>
      </w:r>
    </w:p>
    <w:p w14:paraId="6674D37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（二）《基金合同》的终止事由 </w:t>
      </w:r>
    </w:p>
    <w:p w14:paraId="56AED9A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有下列情形之一的，经履行相关程序后，《基金合同》应当终止： </w:t>
      </w:r>
    </w:p>
    <w:p w14:paraId="6A3049F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1、基金份额持有人大会决定终止的； </w:t>
      </w:r>
    </w:p>
    <w:p w14:paraId="75993EE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2、基金管理人、基金托管人职责终止，在6个月内没有新基金管理人、新基金托管人承接的； </w:t>
      </w:r>
    </w:p>
    <w:p w14:paraId="0EF0D93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3、《基金合同》约定的其他情形； </w:t>
      </w:r>
    </w:p>
    <w:p w14:paraId="2542957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4、相关法律法规和中国证监会规定的其他情况。 </w:t>
      </w:r>
    </w:p>
    <w:p w14:paraId="4BF4FB3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（三）基金财产的清算 </w:t>
      </w:r>
    </w:p>
    <w:p w14:paraId="7DB2C5F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1、基金财产清算小组：自出现《基金合同》终止事由之日起30个工作日内成立清算小组，基金管理人组织基金财产清算小组并在中国证监会的监督下进行基金清算。 </w:t>
      </w:r>
    </w:p>
    <w:p w14:paraId="7B8B3B7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2、基金财产清算小组组成：基金财产清算小组成员由基金管理人、基金托管人、符合《证券法》规定的注册会计师、律师以及中国证监会指定的人员组成。基金财产清算小组可以聘用必要的工作人员。 </w:t>
      </w:r>
    </w:p>
    <w:p w14:paraId="0B44FFC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3、基金财产清算小组职责：基金财产清算小组负责基金财产的保管、清理、估价、变现和分配。基金财产清算小组可以依法进行必要的民事活动。 </w:t>
      </w:r>
    </w:p>
    <w:p w14:paraId="3DF4202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4、基金财产清算程序： </w:t>
      </w:r>
    </w:p>
    <w:p w14:paraId="4CF544E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（1）《基金合同》终止情形出现时，由基金财产清算小组统一接管基金； </w:t>
      </w:r>
    </w:p>
    <w:p w14:paraId="4C98F0A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（2）对基金财产和债权债务进行清理和确认； </w:t>
      </w:r>
    </w:p>
    <w:p w14:paraId="13B0EE9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（3）对基金财产进行估值和变现； </w:t>
      </w:r>
    </w:p>
    <w:p w14:paraId="0704918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（4）制作清算报告； </w:t>
      </w:r>
    </w:p>
    <w:p w14:paraId="23C6F5C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（5）聘请会计师事务所对清算报告进行外部审计，聘请律师事务所对清算报告出具法律意见书； </w:t>
      </w:r>
    </w:p>
    <w:p w14:paraId="103869A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（6）将清算报告报中国证监会备案并公告； </w:t>
      </w:r>
    </w:p>
    <w:p w14:paraId="5CB526C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（7）对基金剩余财产进行分配。 </w:t>
      </w:r>
    </w:p>
    <w:p w14:paraId="7381945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5、基金财产清算的期限为6个月，但因本基金所持证券的流动性受到限制而不能及时变现的，清算期限可相应顺延。 </w:t>
      </w:r>
    </w:p>
    <w:p w14:paraId="6F71D72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（四）清算费用 </w:t>
      </w:r>
    </w:p>
    <w:p w14:paraId="3D14604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清算费用是指基金财产清算小组在进行基金清算过程中发生的所有合理费用，清算费用由基金财产清算小组优先从基金财产中支付。 </w:t>
      </w:r>
    </w:p>
    <w:p w14:paraId="7B4632B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（五）基金财产清算剩余资产的分配 </w:t>
      </w:r>
    </w:p>
    <w:p w14:paraId="0046728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依据基金财产清算的分配方案，将基金财产清算后的全部剩余资产扣除基金财产清算费用、交纳所欠税款并清偿基金债务后，按基金份额持有人持有的基金份额比例进行分配。 </w:t>
      </w:r>
    </w:p>
    <w:p w14:paraId="3B7FE80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（六）基金财产清算的公告 </w:t>
      </w:r>
    </w:p>
    <w:p w14:paraId="35EC175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271C420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（七）基金财产清算账册及文件的保存 </w:t>
      </w:r>
    </w:p>
    <w:p w14:paraId="051F240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基金财产清算账册及有关文件由基金托管人保存20年以上，法律法规或监管规则另有规定的从其规定。 </w:t>
      </w:r>
    </w:p>
    <w:p w14:paraId="3BFEF28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四、争议的处理</w:t>
      </w:r>
    </w:p>
    <w:p w14:paraId="6F63968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对于因基金合同的订立、内容、履行和解释或与基金合同有关的争议，基金合同当事人应尽量通过协商、调解途径解决。不愿或者不能通过协商、调解解决的，任何一方均有权将争议提交中国国际经济贸易仲裁委员会，按照其届时有效的仲裁规则进行仲裁。仲裁地点为北京市。仲裁裁决是终局的，对各方当事人均有约束力，除裁决另有规定的，仲裁费用由败诉方承担。 </w:t>
      </w:r>
    </w:p>
    <w:p w14:paraId="36B0550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争议处理期间，基金合同当事人应恪守各自的职责，继续忠实、勤勉、尽责地履行基金合同规定的义务，维护基金份额持有人的合法权益。 </w:t>
      </w:r>
    </w:p>
    <w:p w14:paraId="46979D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本基金合同受中国法律（不含港澳台立法）管辖。 </w:t>
      </w:r>
    </w:p>
    <w:p w14:paraId="1BE4689C">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五、基金合同存放地和投资人取得基金合同的方式</w:t>
      </w:r>
    </w:p>
    <w:p w14:paraId="6BA65FB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本基金合同可印制成册，供投资人在基金管理人、基金托管人、代销机构和登记机构办公场所查阅。 </w:t>
      </w:r>
    </w:p>
    <w:p w14:paraId="18B85F33">
      <w:pPr>
        <w:widowControl/>
        <w:jc w:val="left"/>
        <w:rPr>
          <w:rFonts w:ascii="宋体" w:hAnsi="宋体" w:eastAsia="宋体"/>
          <w:highlight w:val="none"/>
        </w:rPr>
      </w:pPr>
      <w:bookmarkStart w:id="178" w:name="chapter_level1_24_71_section_1_end"/>
      <w:bookmarkEnd w:id="178"/>
      <w:r>
        <w:rPr>
          <w:rFonts w:ascii="宋体" w:hAnsi="宋体" w:eastAsia="宋体"/>
          <w:highlight w:val="none"/>
        </w:rPr>
        <w:br w:type="page"/>
      </w:r>
    </w:p>
    <w:p w14:paraId="23579C6C">
      <w:pPr>
        <w:pStyle w:val="2"/>
        <w:jc w:val="center"/>
        <w:rPr>
          <w:rFonts w:ascii="宋体" w:hAnsi="宋体" w:eastAsia="宋体"/>
          <w:sz w:val="30"/>
          <w:highlight w:val="none"/>
        </w:rPr>
      </w:pPr>
      <w:bookmarkStart w:id="179" w:name="chapter_level1_25_72"/>
      <w:bookmarkStart w:id="180" w:name="_Toc207933763"/>
      <w:r>
        <w:rPr>
          <w:rFonts w:hint="eastAsia" w:ascii="宋体" w:hAnsi="宋体" w:eastAsia="宋体"/>
          <w:sz w:val="30"/>
          <w:highlight w:val="none"/>
        </w:rPr>
        <w:t>第二十二部分  基金托管协议的内容摘要</w:t>
      </w:r>
      <w:bookmarkEnd w:id="179"/>
      <w:bookmarkEnd w:id="180"/>
    </w:p>
    <w:p w14:paraId="17D49177">
      <w:pPr>
        <w:pStyle w:val="8"/>
        <w:spacing w:before="0" w:beforeAutospacing="0" w:after="0" w:afterAutospacing="0" w:line="360" w:lineRule="auto"/>
        <w:ind w:firstLine="420"/>
        <w:rPr>
          <w:sz w:val="21"/>
          <w:szCs w:val="21"/>
          <w:highlight w:val="none"/>
        </w:rPr>
      </w:pPr>
      <w:bookmarkStart w:id="181" w:name="chapter_level1_25_72_section_1"/>
      <w:bookmarkEnd w:id="181"/>
      <w:r>
        <w:rPr>
          <w:rStyle w:val="12"/>
          <w:rFonts w:hint="eastAsia"/>
          <w:sz w:val="21"/>
          <w:szCs w:val="21"/>
          <w:highlight w:val="none"/>
        </w:rPr>
        <w:t>一、托管协议当事人</w:t>
      </w:r>
    </w:p>
    <w:p w14:paraId="64B1B69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（一）基金管理人 </w:t>
      </w:r>
    </w:p>
    <w:p w14:paraId="4AD004CB">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bookmarkStart w:id="182" w:name="field_0_managerorgfullname_4"/>
      <w:r>
        <w:rPr>
          <w:rFonts w:hint="eastAsia"/>
          <w:sz w:val="21"/>
          <w:szCs w:val="21"/>
          <w:highlight w:val="none"/>
        </w:rPr>
        <w:t>博时基金管理有限公司</w:t>
      </w:r>
      <w:bookmarkEnd w:id="182"/>
      <w:r>
        <w:rPr>
          <w:rFonts w:hint="eastAsia"/>
          <w:sz w:val="21"/>
          <w:szCs w:val="21"/>
          <w:highlight w:val="none"/>
        </w:rPr>
        <w:t xml:space="preserve">  </w:t>
      </w:r>
    </w:p>
    <w:p w14:paraId="6C67C35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住所：深圳市福田区莲花街道福新社区益田路5999号基金大厦21层 </w:t>
      </w:r>
    </w:p>
    <w:p w14:paraId="6E1C053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办公地址：广东省深圳市福田区益田路5999号基金大厦21层 </w:t>
      </w:r>
    </w:p>
    <w:p w14:paraId="4A2A0D4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邮政编码：518040 </w:t>
      </w:r>
    </w:p>
    <w:p w14:paraId="3D30C945">
      <w:pPr>
        <w:pStyle w:val="8"/>
        <w:spacing w:before="0" w:beforeAutospacing="0" w:after="0" w:afterAutospacing="0" w:line="360" w:lineRule="auto"/>
        <w:ind w:firstLine="420"/>
        <w:rPr>
          <w:rFonts w:hint="default" w:eastAsia="宋体"/>
          <w:sz w:val="21"/>
          <w:szCs w:val="21"/>
          <w:highlight w:val="none"/>
          <w:lang w:val="en-US" w:eastAsia="zh-CN"/>
        </w:rPr>
      </w:pPr>
      <w:r>
        <w:rPr>
          <w:rFonts w:hint="eastAsia"/>
          <w:sz w:val="21"/>
          <w:szCs w:val="21"/>
          <w:highlight w:val="none"/>
        </w:rPr>
        <w:t>法定代表人：</w:t>
      </w:r>
      <w:r>
        <w:rPr>
          <w:rFonts w:hint="eastAsia"/>
          <w:sz w:val="21"/>
          <w:szCs w:val="21"/>
          <w:highlight w:val="none"/>
          <w:lang w:val="en-US" w:eastAsia="zh-CN"/>
        </w:rPr>
        <w:t>张东</w:t>
      </w:r>
    </w:p>
    <w:p w14:paraId="25A061E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成立时间：1998年7月13日 </w:t>
      </w:r>
    </w:p>
    <w:p w14:paraId="2A3CB66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批准设立机关：中国证券监督管理委员会 </w:t>
      </w:r>
    </w:p>
    <w:p w14:paraId="0A2506C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批准设立文号：中国证监会证监基字【1998】26号 </w:t>
      </w:r>
    </w:p>
    <w:p w14:paraId="7CFDC32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组织形式：有限责任公司 </w:t>
      </w:r>
    </w:p>
    <w:p w14:paraId="686813B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注册资本：2.5亿元人民币 </w:t>
      </w:r>
    </w:p>
    <w:p w14:paraId="3099A46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存续期间：持续经营 </w:t>
      </w:r>
    </w:p>
    <w:p w14:paraId="2DB1B8F9">
      <w:pPr>
        <w:pStyle w:val="8"/>
        <w:spacing w:before="0" w:beforeAutospacing="0" w:after="0" w:afterAutospacing="0" w:line="360" w:lineRule="auto"/>
        <w:ind w:firstLine="420"/>
        <w:rPr>
          <w:rFonts w:hint="eastAsia"/>
          <w:sz w:val="21"/>
          <w:szCs w:val="21"/>
          <w:highlight w:val="none"/>
        </w:rPr>
      </w:pPr>
      <w:r>
        <w:rPr>
          <w:rFonts w:hint="eastAsia"/>
          <w:sz w:val="21"/>
          <w:szCs w:val="21"/>
          <w:highlight w:val="none"/>
        </w:rPr>
        <w:t>经营范围：基金募集；基金销售；资产管理以及中国证监会许可的其它业务。</w:t>
      </w:r>
    </w:p>
    <w:p w14:paraId="173879A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（二）基金托管人 </w:t>
      </w:r>
    </w:p>
    <w:p w14:paraId="4E87FFEF">
      <w:pPr>
        <w:pStyle w:val="8"/>
        <w:spacing w:before="0" w:beforeAutospacing="0" w:after="0" w:afterAutospacing="0" w:line="360" w:lineRule="auto"/>
        <w:ind w:firstLine="420"/>
        <w:rPr>
          <w:sz w:val="21"/>
          <w:szCs w:val="21"/>
          <w:highlight w:val="none"/>
        </w:rPr>
      </w:pPr>
      <w:r>
        <w:rPr>
          <w:rFonts w:hint="eastAsia"/>
          <w:sz w:val="21"/>
          <w:szCs w:val="21"/>
          <w:highlight w:val="none"/>
        </w:rPr>
        <w:t>名称：</w:t>
      </w:r>
      <w:bookmarkStart w:id="183" w:name="field_0_trustorgfullname_2"/>
      <w:r>
        <w:rPr>
          <w:rFonts w:hint="eastAsia"/>
          <w:sz w:val="21"/>
          <w:szCs w:val="21"/>
          <w:highlight w:val="none"/>
        </w:rPr>
        <w:t>中国国际金融股份有限公司</w:t>
      </w:r>
      <w:bookmarkEnd w:id="183"/>
      <w:r>
        <w:rPr>
          <w:rFonts w:hint="eastAsia"/>
          <w:sz w:val="21"/>
          <w:szCs w:val="21"/>
          <w:highlight w:val="none"/>
        </w:rPr>
        <w:t xml:space="preserve">  </w:t>
      </w:r>
    </w:p>
    <w:p w14:paraId="19548DD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住所：北京市朝阳区建国门外大街1号国贸大厦2座27层及28层 </w:t>
      </w:r>
    </w:p>
    <w:p w14:paraId="085E06D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法定代表人：陈亮 </w:t>
      </w:r>
    </w:p>
    <w:p w14:paraId="50A2BD4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成立时间：1995年7月31日 </w:t>
      </w:r>
    </w:p>
    <w:p w14:paraId="47FA416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组织形式：股份有限公司 </w:t>
      </w:r>
    </w:p>
    <w:p w14:paraId="309141D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注册资本：人民币482,725.6868万元 </w:t>
      </w:r>
    </w:p>
    <w:p w14:paraId="5E3B4C6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存续期限：持续经营 </w:t>
      </w:r>
    </w:p>
    <w:p w14:paraId="6ABBC3A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基金托管资格批准机关及批准文号：中国证券监督管理委员会,证监许可［2015］1441号 </w:t>
      </w:r>
    </w:p>
    <w:p w14:paraId="4DB474A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经营范围：一、人民币特种股票、人民币普通股票、境外发行股票，境内外政府债券、公司债券和企业债券的经纪业务；二、人民币普通股票、人民币特种股票、境外发行股票，境内外政府债券、公司债券和企业债券的自营业务；三、人民币普通股票、人民币特种股票、境外发行股票，境内外政府债券、公司债券和企业债券的承销业务；四、基金的发起和管理；五、企业重组、收购与合并顾问；六、项目融资顾问；七、投资顾问及其他顾问业务；八、外汇买卖；九、境外企业、境内外商投资企业的外汇资产管理；十、同业拆借；十一、客户资产管理。十二、网上证券委托业务；十三、融资融券业务；十四、代销金融产品；十五、证券投资基金代销；十六、为期货公司提供中间介绍业务；十七、证券投资基金托管业务；十八、经金融监管机构批准的其他业务。（依法须经批准的项目，经相关部门批准后依批准的内容开展经营活动。） </w:t>
      </w:r>
    </w:p>
    <w:p w14:paraId="4769AF78">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二、基金托管人对基金管理人的业务监督和核查</w:t>
      </w:r>
    </w:p>
    <w:p w14:paraId="5C6C6E1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 </w:t>
      </w:r>
    </w:p>
    <w:p w14:paraId="02DB5D8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1、转型前本基金将投资于以下金融工具： </w:t>
      </w:r>
    </w:p>
    <w:p w14:paraId="2637FB0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本基金主要投资于标的指数成份股和备选成份股（含存托凭证）。 </w:t>
      </w:r>
    </w:p>
    <w:p w14:paraId="2144DC4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为更好地实现基金的投资目标，本基金可少量投资于依法发行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1037FB0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根据法律法规的规定参与融资及转融通证券出借业务。未来在法律法规允许的前提下，本基金可根据相关法律法规规定参与融券业务。本基金根据相关法律法规或中国证监会要求履行相关手续后，还可以投资于法律法规或中国证监会未来允许基金投资的其他金融工具。本基金投资股票期权前，基金管理人应事先与基金托管人就清算交收、核算估值、系统支持等确认一致，方可进行投资。 </w:t>
      </w:r>
    </w:p>
    <w:p w14:paraId="06261DA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于标的指数成份股和备选成份股（含存托凭证）的资产比例不低于基金资产净值的90%；本基金每个交易日日终在扣除股指期货、股票期权和国债期货合约需缴纳的交易保证金后，应当保持不低于交易保证金一倍的现金，其中现金不包括结算备付金、存出保证金、应收申购款等；股指期货、股票期权、国债期货及其他金融工具的投资比例依照法律法规或监管机构的规定执行。 </w:t>
      </w:r>
    </w:p>
    <w:p w14:paraId="0C531FF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若法律法规的相关规定发生变更或监管机构允许，本基金管理人在履行适当程序后，可对上述资产配置比例进行调整。 </w:t>
      </w:r>
    </w:p>
    <w:p w14:paraId="49EF329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2、转型后本基金将投资于以下金融工具： </w:t>
      </w:r>
    </w:p>
    <w:p w14:paraId="41E97D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本基金主要投资于标的指数成份股和备选成份股（含存托凭证）。 </w:t>
      </w:r>
    </w:p>
    <w:p w14:paraId="38CB01D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为更好地实现基金的投资目标，本基金可少量投资于依法发行上市的其他港股通标的股票等非成份股（含存托凭证）、债券（包括国债、金融债、地方政府债、政府支持机构债券、企业债、公司债、可转换债券（含分离交易可转债的纯债部分）、可交换债券、央行票据、短期融资券、超短期融资券、中期票据等）、国债期货、股指期货、股票期权、货币市场工具（包括银行存款、同业存单等）、债券回购、资产支持证券以及法律法规或中国证监会允许基金投资的其他金融工具（但须符合中国证监会的相关规定）。 </w:t>
      </w:r>
    </w:p>
    <w:p w14:paraId="2D0A00B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将根据法律法规的规定参与融资及转融通证券出借业务。未来在法律法规允许的前提下，本基金可根据相关法律法规规定参与融券业务。本基金根据相关法律法规或中国证监会要求履行相关手续后，还可以投资于法律法规或中国证监会未来允许基金投资的其他金融工具。本基金投资股票期权前，基金管理人应事先与托管人就清算交收、核算估值、系统支持等确认一致，方可进行投资。 </w:t>
      </w:r>
    </w:p>
    <w:p w14:paraId="4791F45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于标的指数成份股和备选成份股（含存托凭证）的资产比例不低于基金资产净值的90%；每个交易日日终在扣除国债期货、股指期货和股票期权合约需缴纳的交易保证金后，保持不低于基金资产净值5%的现金或者到期日在一年以内的政府债券，其中现金不包括结算备付金、存出保证金和应收申购款等；国债期货、股指期货、股票期权及其他金融工具的投资比例依照法律法规或监管机构的规定执行。 </w:t>
      </w:r>
    </w:p>
    <w:p w14:paraId="49D221D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若法律法规的相关规定发生变更或监管机构允许，本基金管理人在履行适当程序后，可对上述资产配置比例进行调整。 </w:t>
      </w:r>
    </w:p>
    <w:p w14:paraId="542508B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（二）基金托管人根据有关法律法规的规定及《基金合同》的约定，对基金投资、融资比例进行监督。基金托管人按下述比例和调整期限进行监督： </w:t>
      </w:r>
    </w:p>
    <w:p w14:paraId="02CEC07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1、转型前本基金投资限制： </w:t>
      </w:r>
    </w:p>
    <w:p w14:paraId="70A505F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（1）本基金投资于标的指数成份股和备选成份股（含存托凭证）的资产比例不低于基金资产净值的90%； </w:t>
      </w:r>
    </w:p>
    <w:p w14:paraId="65698E0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（2）每个交易日日终在扣除国债期货、股指期货和股票期权合约需缴纳的交易保证金后，应当保持不低于交易保证金一倍的现金，其中现金不包括结算备付金、存出保证金和应收申购款等； </w:t>
      </w:r>
    </w:p>
    <w:p w14:paraId="3BEC250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（3）本基金参与股指期货交易依据下列标准建构组合： </w:t>
      </w:r>
    </w:p>
    <w:p w14:paraId="4831385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任何交易日日终，持有的买入股指期货合约价值，不得超过基金资产净值的10%；在任何交易日日终，持有的卖出股指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有关约定； </w:t>
      </w:r>
    </w:p>
    <w:p w14:paraId="4A7C576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（4）本基金参与国债期货交易依据下列标准建构组合： </w:t>
      </w:r>
    </w:p>
    <w:p w14:paraId="2FAEEC6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任何交易日日终，持有的买入国债期货合约价值，不得超过基金资产净值的15%；在任何交易日日终，持有的卖出国债期货合约价值不得超过基金持有的债券总市值的30%；在任何交易日内交易（不包括平仓）的国债期货合约的成交金额不得超过上一交易日基金资产净值的30%；本基金所持有的债券（不含到期日在一年以内的政府债券）市值和买入、卖出国债期货合约价值，合计（轧差计算）应当符合基金合同关于债券投资比例的有关约定； </w:t>
      </w:r>
    </w:p>
    <w:p w14:paraId="16D3D30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1627D18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（6）本基金持有的全部资产支持证券，其市值不得超过基金资产净值的20％； </w:t>
      </w:r>
    </w:p>
    <w:p w14:paraId="560F536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（7）本基金投资于同一原始权益人的各类资产支持证券的比例，不得超过基金资产净值的10％； </w:t>
      </w:r>
    </w:p>
    <w:p w14:paraId="04498CC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（8）本基金持有的同一(指同一信用级别)资产支持证券的比例，不得超过该资产支持证券规模的10％； </w:t>
      </w:r>
    </w:p>
    <w:p w14:paraId="4507ACD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（9）本基金管理人管理的且本基金托管人托管的全部基金投资于同一原始权益人的各类资产支持证券，不得超过其各类资产支持证券合计规模的10％； </w:t>
      </w:r>
    </w:p>
    <w:p w14:paraId="750E535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（10）本基金应投资于信用级别评级为BBB以上(含BBB)的资产支持证券。基金持有资产支持证券期间，如果其信用等级下降、不再符合投资标准，应在评级报告发布之日起3个月内予以全部卖出； </w:t>
      </w:r>
    </w:p>
    <w:p w14:paraId="59990F8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（11）基金财产参与股票发行申购，本基金所申报的金额不超过本基金的总资产，本基金所申报的股票数量不超过拟发行股票公司本次发行股票的总量； </w:t>
      </w:r>
    </w:p>
    <w:p w14:paraId="2D5E637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（12）本基金进入全国银行间同业市场进行债券回购的资金余额不得超过基金资产净值的40%；在全国银行间同业市场中的债券回购最长期限为1年，债券回购到期后不展期； </w:t>
      </w:r>
    </w:p>
    <w:p w14:paraId="59E2BD2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（13）本基金资产总值不得超过基金资产净值的140%； </w:t>
      </w:r>
    </w:p>
    <w:p w14:paraId="16BB0F5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（14）本基金参与融资的，在任何交易日日终，本基金持有的融资买入股票与其他有价证券市值之和，不得超过基金资产净值的95%； </w:t>
      </w:r>
    </w:p>
    <w:p w14:paraId="4E7A43C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（15）本基金参与转融通证券出借交易应当符合以下要求： </w:t>
      </w:r>
    </w:p>
    <w:p w14:paraId="3EC3D27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1）出借证券资产不得超过基金资产净值的30%，出借期限在10个交易日以上的出借证券应纳入《流动性风险管理规定》所述流动性受限证券的范围； </w:t>
      </w:r>
    </w:p>
    <w:p w14:paraId="365925B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2）参与出借业务的单只证券不得超过基金持有该证券总量的30%； </w:t>
      </w:r>
    </w:p>
    <w:p w14:paraId="1CC5F13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3）最近6个月内日均基金资产净值不得低于2亿元； </w:t>
      </w:r>
    </w:p>
    <w:p w14:paraId="2464ED0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4）证券出借的平均剩余期限不得超过30天，平均剩余期限按照市值加权平均计算； </w:t>
      </w:r>
    </w:p>
    <w:p w14:paraId="5FE353F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因证券市场波动、上市公司合并、基金规模变动等基金管理人之外的因素致使基金投资不符合本条规定的，基金管理人不得新增出借业务； </w:t>
      </w:r>
    </w:p>
    <w:p w14:paraId="49B1854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（16）基金因未平仓的股票期权合约支付和收取的权利金总额不得超过基金资产净值的10%； </w:t>
      </w:r>
    </w:p>
    <w:p w14:paraId="4CBDE2D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（17）本基金投资流通受限证券，基金管理人应制订严格的投资决策流程和风险控制制度，防范流动性风险、法律风险和操作风险等各种风险； </w:t>
      </w:r>
    </w:p>
    <w:p w14:paraId="1C42CE1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1A2B8A6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（19）本基金与私募类证券资管产品及中国证监会认定的其他主体为交易对手开展逆回购交易的，可接受质押品的资质要求应当与基金合同约定的投资范围保持一致； </w:t>
      </w:r>
    </w:p>
    <w:p w14:paraId="7DBCFCD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（20）法律法规及中国证监会规定的和《基金合同》约定的其他投资限制。 </w:t>
      </w:r>
    </w:p>
    <w:p w14:paraId="0B7B282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除第（2）、（10）、（15）、（18）、（19）条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0373D18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2F0EDB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法律法规或监管部门取消或调整上述限制，如适用于本基金，基金管理人在履行适当程序后，则本基金投资不再受相关限制或按照调整后的规定执行。 </w:t>
      </w:r>
    </w:p>
    <w:p w14:paraId="714F464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2、转型后本基金投资限制： </w:t>
      </w:r>
    </w:p>
    <w:p w14:paraId="73AF3FB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（1）本基金投资于标的指数成份股和备选成份股（含存托凭证）的资产比例不低于基金资产净值的90%； </w:t>
      </w:r>
    </w:p>
    <w:p w14:paraId="2911194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每个交易日日终在扣除国债期货、股指期货和股票期权合约需缴纳的交易保证金后，保持不低于基金资产净值5%的现金或者到期日在一年以内的政府债券，其中现金不包括结算备付金、存出保证金和应收申购款等； </w:t>
      </w:r>
    </w:p>
    <w:p w14:paraId="697D7C9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（3）本基金参与股指期货交易依据下列标准建构组合： </w:t>
      </w:r>
    </w:p>
    <w:p w14:paraId="524216B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任何交易日日终，持有的买入股指期货合约价值，不得超过基金资产净值的10%；在任何交易日日终，持有的卖出股指期货合约价值不得超过基金持有的股票总市值的20%；在任何交易日内交易（不包括平仓）的股指期货合约的成交金额不得超过上一交易日基金资产净值的20%；本基金所持有的股票市值和买入、卖出股指期货合约价值，合计（轧差计算）应当符合基金合同关于股票投资比例有关约定； </w:t>
      </w:r>
    </w:p>
    <w:p w14:paraId="12ECA57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（4）本基金参与国债期货交易依据下列标准建构组合： </w:t>
      </w:r>
    </w:p>
    <w:p w14:paraId="29007A6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在任何交易日日终，持有的买入国债期货合约价值，不得超过基金资产净值的15%；在任何交易日日终，持有的卖出国债期货合约价值不得超过基金持有的债券总市值的30%；在任何交易日内交易（不包括平仓）的国债期货合约的成交金额不得超过上一交易日基金资产净值的30%；本基金所持有的债券（不含到期日在一年以内的政府债券）市值和买入、卖出国债期货合约价值，合计（轧差计算）应当符合基金合同关于债券投资比例的有关约定； </w:t>
      </w:r>
    </w:p>
    <w:p w14:paraId="10F2B69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在任何交易日日终，持有的买入国债期货和股指期货合约价值与有价证券市值之和，不得超过基金资产净值的100%，其中，有价证券指股票、债券（不含到期日在一年以内的政府债券）、资产支持证券、买入返售金融资产（不含质押式回购）等； </w:t>
      </w:r>
    </w:p>
    <w:p w14:paraId="6B48F70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（6）本基金持有的全部资产支持证券，其市值不得超过基金资产净值的20％； </w:t>
      </w:r>
    </w:p>
    <w:p w14:paraId="24D80B6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（7）本基金投资于同一原始权益人的各类资产支持证券的比例，不得超过基金资产净值的10％； </w:t>
      </w:r>
    </w:p>
    <w:p w14:paraId="4D5425E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（8）本基金持有的同一(指同一信用级别)资产支持证券的比例，不得超过该资产支持证券规模的10％； </w:t>
      </w:r>
    </w:p>
    <w:p w14:paraId="16FB68A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（9）本基金管理人管理且本基金托管人托管的全部基金投资于同一原始权益人的各类资产支持证券，不得超过其各类资产支持证券合计规模的10％； </w:t>
      </w:r>
    </w:p>
    <w:p w14:paraId="762DFC5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（10）本基金应投资于信用级别评级为BBB以上(含BBB)的资产支持证券。基金持有资产支持证券期间，如果其信用等级下降、不再符合投资标准，应在评级报告发布之日起3个月内予以全部卖出； </w:t>
      </w:r>
    </w:p>
    <w:p w14:paraId="35BBDAD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（11）基金财产参与股票发行申购，本基金所申报的金额不超过本基金的总资产，本基金所申报的股票数量不超过拟发行股票公司本次发行股票的总量； </w:t>
      </w:r>
    </w:p>
    <w:p w14:paraId="66016DC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（12）本基金进入全国银行间同业市场进行债券回购的资金余额不得超过基金资产净值的40%；在全国银行间同业市场中的债券回购最长期限为1年，债券回购到期后不展期； </w:t>
      </w:r>
    </w:p>
    <w:p w14:paraId="4684324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（13）本基金资产总值不得超过基金资产净值的140%； </w:t>
      </w:r>
    </w:p>
    <w:p w14:paraId="28AA211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（14）本基金参与融资的，在任何交易日日终，本基金持有的融资买入股票与其他有价证券市值之和，不得超过基金资产净值的95%； </w:t>
      </w:r>
    </w:p>
    <w:p w14:paraId="3CE5434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（15）本基金参与转融通证券出借交易应当符合以下要求： </w:t>
      </w:r>
    </w:p>
    <w:p w14:paraId="00B59F1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1）出借证券资产不得超过基金资产净值的30%，出借期限在10个交易日以上的出借证券应纳入《流动性风险管理规定》所述流动性受限证券的范围； </w:t>
      </w:r>
    </w:p>
    <w:p w14:paraId="24067BE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2）参与出借业务的单只证券不得超过基金持有该证券总量的50%； </w:t>
      </w:r>
    </w:p>
    <w:p w14:paraId="2BA2FE7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3）最近6个月内日均基金资产净值不得低于2亿元； </w:t>
      </w:r>
    </w:p>
    <w:p w14:paraId="3C3CC00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4）证券出借的平均剩余期限不得超过30天，平均剩余期限按照市值加权平均计算； </w:t>
      </w:r>
    </w:p>
    <w:p w14:paraId="45A5746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因证券市场波动、上市公司合并、基金规模变动等基金管理人之外的因素致使基金投资不符合本条规定的，基金管理人不得新增出借业务； </w:t>
      </w:r>
    </w:p>
    <w:p w14:paraId="7C207FD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（16）基金因未平仓的股票期权合约支付和收取的权利金总额不得超过基金资产净值的10%； </w:t>
      </w:r>
    </w:p>
    <w:p w14:paraId="1E9D550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（17）本基金投资流通受限证券，基金管理人应制订严格的投资决策流程和风险控制制度，防范流动性风险、法律风险和操作风险等各种风险； </w:t>
      </w:r>
    </w:p>
    <w:p w14:paraId="4159A15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18）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 </w:t>
      </w:r>
    </w:p>
    <w:p w14:paraId="51B321A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（19）本基金与私募类证券资管产品及中国证监会认定的其他主体为交易对手开展逆回购交易的，可接受质押品的资质要求应当与基金合同约定的投资范围保持一致； </w:t>
      </w:r>
    </w:p>
    <w:p w14:paraId="4431D00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（20）法律法规及中国证监会规定的和《基金合同》约定的其他投资限制。 </w:t>
      </w:r>
    </w:p>
    <w:p w14:paraId="12D283F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除第（2）、（10）、（15）、（18）、（19）条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74FA4FC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自基金转型之日起6个月内使基金的投资组合比例符合基金合同的有关约定。在上述期间内，本基金的投资范围、投资策略应当符合基金合同的约定。基金托管人对基金的投资的监督与检查自本基金转型之日起开始。 </w:t>
      </w:r>
    </w:p>
    <w:p w14:paraId="0147D15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法律法规或监管部门取消或调整上述限制，如适用于本基金，基金管理人在履行适当程序后，则本基金投资不再受相关限制或按照调整后的规定执行。 </w:t>
      </w:r>
    </w:p>
    <w:p w14:paraId="4AD6B8A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基金托管人履行投资监督职责以本协议约定为准，如上述内容与基金合同中投资组合限制部分的内容有不一致的地方，基金托管人按照本协议的约定进行投资监督。 </w:t>
      </w:r>
    </w:p>
    <w:p w14:paraId="12FA33F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（三）如本基金需进行期货投资，则在开始进行期货投资之前，基金管理人应与基金托管人、期货公司三方一同就股指期货开户、清算、估值、交收等事宜另行签署《期货投资托管操作三方备忘录》。 </w:t>
      </w:r>
    </w:p>
    <w:p w14:paraId="0B9BD63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（四）基金托管人根据有关法律法规的规定及《基金合同》的约定，对本托管协议第十五部分第（九）款基金投资禁止行为进行监督。基金托管人通过事后监督方式对基金管理人基金投资禁止行为进行监督。 </w:t>
      </w:r>
    </w:p>
    <w:p w14:paraId="3E8A3BC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0C052D7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法律、行政法规或监管部门取消或调整上述限制，如适用于本基金，则本基金投资不再受相关限制或按照调整后的规定执行。 </w:t>
      </w:r>
    </w:p>
    <w:p w14:paraId="32583BC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五）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和交易结算方式进行交易。基金管理人可以每半年对银行间债券市场交易对手名单及结算方式进行更新，新名单确定前已与本次剔除的交易对手进行但尚未结算的交易，仍应按照协议进行结算。基金管理人有责任确保及时将更新后的交易对手名单发送给基金托管人，否则由此造成的损失应由基金管理人承担。如基金管理人根据市场情况需要临时调整银行间债券市场交易对手名单及结算方式的，应向基金托管人说明理由，并在与交易对手发生交易前3个工作日内与基金托管人协商解决。 </w:t>
      </w:r>
    </w:p>
    <w:p w14:paraId="02E8AF5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交单对合同履行情况进行监督，但不承担交易对手不履行合同造成的损失。如基金托管人事后发现基金管理人没有按照事先约定的交易对手或交易结算方式进行交易时，基金托管人应及时提醒基金管理人，基金托管人不承担由此造成的任何损失和责任。 </w:t>
      </w:r>
    </w:p>
    <w:p w14:paraId="551597E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果基金托管人发现基金管理人与不在名单内的银行间债券市场交易对手进行交易，应及时提醒基金管理人撤销交易，经提醒后基金管理人仍执行交易并造成基金财产损失的，由基金管理人承担相应责任，基金托管人不承担责任，发生此种情形时，基金托管人有权报告中国证监会。 </w:t>
      </w:r>
    </w:p>
    <w:p w14:paraId="2B3954E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（六）基金托管人根据有关法律法规的规定及《基金合同》的约定，对基金管理人投资流通受限证券进行监督。 </w:t>
      </w:r>
    </w:p>
    <w:p w14:paraId="69B4655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投资流通受限证券，应遵守《关于基金投资非公开发行股票等流通受限证券有关问题的通知》等有关法律法规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 </w:t>
      </w:r>
    </w:p>
    <w:p w14:paraId="4DDFE7D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本基金投资的流通受限证券，包括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740FCA4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本基金投资的流通受限证券限于可由中国证券登记结算有限责任公司或中央国债登记结算有限责任公司负责登记和存管，并可在证券交易所或全国银行间债券市场交易的证券。 </w:t>
      </w:r>
    </w:p>
    <w:p w14:paraId="7A96CE2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14:paraId="4B62B93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本基金投资流通受限证券，不得预付任何形式的保证金。 </w:t>
      </w:r>
    </w:p>
    <w:p w14:paraId="2E81F62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在首次投资流通受限证券之前，基金管理人应当制定相关投资决策流程、风险控制制度、流动性风险处置预案等规章制度。基金管理人应当根据基金流动性的需要合理安排流通受限证券的投资比例，并在风险控制制度中明确具体比例，避免基金出现流动性风险。上述规章制度须经基金管理人董事会批准。上述规章制度经董事会通过之后，基金管理人应当将上述规章制度以及董事会批准上述规章制度的决议提交给基金托管人。 </w:t>
      </w:r>
    </w:p>
    <w:p w14:paraId="7A3ADF6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风险处置预案应包括但不限于因投资流通受限证券需要解决的基金投资比例限制失调、基金流动性困难以及相关损失的应对解决措施，以及有关异常情况的处置。 </w:t>
      </w:r>
    </w:p>
    <w:p w14:paraId="78376FC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对本基金投资流通受限证券的流动性风险负责，确保对相关风险采取积极有效的措施，在合理的时间内有效解决基金运作的流动性问题。对本基金因投资流通受限证券导致的流动性风险，基金托管人不承担任何责任。如因基金管理人原因导致本基金出现损失致使基金托管人承担连带赔偿责任的，基金管理人应赔偿基金托管人由此遭受的损失。 </w:t>
      </w:r>
    </w:p>
    <w:p w14:paraId="1E3C002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 </w:t>
      </w:r>
    </w:p>
    <w:p w14:paraId="6D22A0E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（1）中国证监会批准发行非公开发行股票的批准文件。 </w:t>
      </w:r>
    </w:p>
    <w:p w14:paraId="080148C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（2）非公开发行股票有关发行数量、发行价格、锁定期等发行资料。 </w:t>
      </w:r>
    </w:p>
    <w:p w14:paraId="7D4D175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（3）非公开发行股票发行人与中国证券登记结算有限责任公司或中央国债登记结算有限责任公司签订的证券登记及服务协议。 </w:t>
      </w:r>
    </w:p>
    <w:p w14:paraId="707F14E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（4）基金拟认购的数量、价格、总成本、账面价值。 </w:t>
      </w:r>
    </w:p>
    <w:p w14:paraId="0C5A5F4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由于基金管理人未及时提供有关证券的具体的必要的信息，致使基金托管人无法审核认购指令而影响认购款项划拨的，基金托管人免于承担责任。 </w:t>
      </w:r>
    </w:p>
    <w:p w14:paraId="34606E9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 基金管理人应在本基金投资非公开发行股票后两个交易日内，在中国证监会规定媒介披露所投资非公开发行股票的名称、数量、总成本、账面价值，以及总成本和账面价值占基金资产净值的比例、锁定期等信息。 </w:t>
      </w:r>
    </w:p>
    <w:p w14:paraId="1F67838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5、基金托管人根据有关规定有权对基金管理人进行以下事项监督： </w:t>
      </w:r>
    </w:p>
    <w:p w14:paraId="319BC6E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（1）本基金投资流通受限证券时的法律法规遵守情况。 </w:t>
      </w:r>
    </w:p>
    <w:p w14:paraId="64BC10E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（2）在基金投资流通受限证券管理工作方面有关制度、流动性风险处置预案的建立与完善情况。 </w:t>
      </w:r>
    </w:p>
    <w:p w14:paraId="3990063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（3）有关比例限制的执行情况。 </w:t>
      </w:r>
    </w:p>
    <w:p w14:paraId="1483644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（4）信息披露情况。 </w:t>
      </w:r>
    </w:p>
    <w:p w14:paraId="60FCA2C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如果基金管理人未按照本协议的约定向基金托管人报送相关数据或者报送了虚假的数据，导致基金托管人不能履行托管人职责的，基金管理人应依法承担相应法律后果。除基金托管人未能依据法律法规、基金合同及本协议履行职责外，因投资流通受限证券产生的损失，基金托管人按照本协议履行监督职责后不承担上述损失。 </w:t>
      </w:r>
    </w:p>
    <w:p w14:paraId="06C1069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7、相关法律法规对基金投资流通受限证券有新规定的，从其规定。 </w:t>
      </w:r>
    </w:p>
    <w:p w14:paraId="7711F58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（七）基金托管人对基金管理人转融通证券出借业务进行监督 </w:t>
      </w:r>
    </w:p>
    <w:p w14:paraId="05DBB75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运用基金财产参与出借业务，应当遵守审慎经营原则，配备技术系统和专业人员，制定科学合理的投资策略和风险管理制度，完善业务流程，有效防范和控制风险，基金托管人将对基金参与出借业务进行监督和复核。 </w:t>
      </w:r>
    </w:p>
    <w:p w14:paraId="2BA8DF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（八）基金托管人对基金管理人选择存款银行进行监督 </w:t>
      </w:r>
    </w:p>
    <w:p w14:paraId="46CEA30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投资银行存款的，基金管理人应根据法律法规的规定及基金合同的约定，确定符合条件的所有存款银行的名单，并及时提供给基金托管人，基金托管人应据以对基金投资银行存款的交易对手是否符合有关规定进行监督。如基金管理人未向基金托管人提供符合条件的存款银行名单，基金托管人有权不对基金投资银行存款的交易对手进行监督。 </w:t>
      </w:r>
    </w:p>
    <w:p w14:paraId="4C5C408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本基金投资银行存款应符合如下规定： </w:t>
      </w:r>
    </w:p>
    <w:p w14:paraId="737D7E6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（1）基金管理人、基金托管人应当与存款银行建立定期对账机制，确保基金银行存款业务账目及核算的真实、准确。 </w:t>
      </w:r>
    </w:p>
    <w:p w14:paraId="424B40D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（2）基金托管人应加强对基金银行存款业务的监督与核查，严格审查、复核相关协议、账户资料、投资指令、存款证实书等有关文件，切实履行托管职责。 </w:t>
      </w:r>
    </w:p>
    <w:p w14:paraId="2CD7BF2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（3）基金管理人与基金托管人在开展基金存款业务时，应严格遵守《基金法》、《运作办法》等有关法律法规，以及国家有关账户管理、利率管理、支付结算等的各项规定。 </w:t>
      </w:r>
    </w:p>
    <w:p w14:paraId="250E277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托管人发现基金管理人在选择存款银行时有违反有关法律法规的规定及基金合同的约定的行为，应及时以书面形式通知基金管理人限期纠正。基金管理人对基金托管人通知的违规事项未能在限期内纠正的，基金托管人应报告中国证监会。基金托管人发现基金管理人有重大违规行为，应立即报告中国证监会，同时通知基金管理人在限期内纠正或拒绝结算。 </w:t>
      </w:r>
    </w:p>
    <w:p w14:paraId="7F13AA7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九）基金托管人根据有关法律法规的规定及《基金合同》的约定，对基金资产净值计算、基金份额净值、应收资金到账、基金费用开支及收入确定、基金收益分配、相关信息披露、基金宣传推介材料中登载基金业绩表现数据等进行监督和核查。 </w:t>
      </w:r>
    </w:p>
    <w:p w14:paraId="519CE18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如果基金管理人未经基金托管人的审核擅自将不实的业绩表现数据印制在宣传推介材料上或以其他方式进行宣传推介，则基金托管人对此不承担任何责任，并有权在发现后立即报告证监会。 </w:t>
      </w:r>
    </w:p>
    <w:p w14:paraId="4522E1C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有权报告中国证监会。 </w:t>
      </w:r>
    </w:p>
    <w:p w14:paraId="2D3CFE8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一）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26EC8D5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二）对于依据交易程序尚未成交的且基金托管人在交易前能够监控的投资指令，基金托管人发现该投资指令违反法律法规规定或者违反基金合同约定的，应当拒绝执行，立即通知基金管理人，并向证监会报告。对于此类基金托管人拒绝执行的交易行为，基金托管人在履行了对基金管理人的通知义务后，即视为完全履行了其投资监督职责。对于基金管理人此类违反《基金法》、本协议或其他有关法律法规行为造成基金财产或基金份额持有人损失的，由基金管理人承担全部责任，基金托管人免于承担责任。 </w:t>
      </w:r>
    </w:p>
    <w:p w14:paraId="520250A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若基金托管人发现基金管理人依据交易程序已经生效的指令违反法律、行政法规和其他有关规定，或者违反《基金合同》约定的，应当立即通知基金管理人，由此造成的损失由基金管理人承担，基金托管人在履行其通知义务后，予以免责。 </w:t>
      </w:r>
    </w:p>
    <w:p w14:paraId="0A410E3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对于必须于估值完成后方可获知的监控指标或依据交易程序已经成交的投资指令，基金托管人发现该投资指令违反法律法规或者违反基金合同约定的，应当立即通知基金管理人，并报告证监会，基金托管人不承担由此产生的相关责任。 </w:t>
      </w:r>
    </w:p>
    <w:p w14:paraId="7E6D686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十三）基金托管人发现基金管理人有重大违规行为，有权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有权报告中国证监会。 </w:t>
      </w:r>
    </w:p>
    <w:p w14:paraId="73ACA9DA">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三、基金管理人对基金托管人的业务核查</w:t>
      </w:r>
    </w:p>
    <w:p w14:paraId="2164D6B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根据本协议及有关规定，基金管理人对基金托管人履行托管职责情况进行核查，核查事项包括基金托管人安全保管基金财产、开设基金财产的托管资金专门账户、证券账户等投资所需账户、复核基金管理人计算的基金资产净值及基金份额净值、根据基金管理人指令办理清算交收、相关信息披露和监督基金投资运作等行为。 </w:t>
      </w:r>
    </w:p>
    <w:p w14:paraId="6A732CA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4719EFC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有权报告中国证监会。 </w:t>
      </w:r>
    </w:p>
    <w:p w14:paraId="62DF814D">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四、基金财产保管</w:t>
      </w:r>
    </w:p>
    <w:p w14:paraId="1D5E1ED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（一）基金财产保管的原则 </w:t>
      </w:r>
    </w:p>
    <w:p w14:paraId="5C0584F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1、基金财产应独立于基金管理人、基金托管人的固有财产。 </w:t>
      </w:r>
    </w:p>
    <w:p w14:paraId="2BB943E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2、基金托管人按照规定开设基金财产的托管资金专门账户和证券账户等投资所需账户。 </w:t>
      </w:r>
    </w:p>
    <w:p w14:paraId="57C4FFC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3、基金托管人对所托管的不同基金财产分别设置账户，与基金托管人的其他业务和其他基金的托管业务实行严格的分账管理，确保基金财产的完整与独立。 </w:t>
      </w:r>
    </w:p>
    <w:p w14:paraId="7A7E87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托管人按照《基金合同》和本协议的约定保管基金财产，如有特殊情况双方可另行协商解决。基金托管人未经基金管理人的合法合规指令或法律法规、《基金合同》及本协议另有规定，不得自行运用、处分、分配本基金的任何资产（不包含基金托管人依据中国证券登记结算有限责任公司数据完成场内交易交收、托管资产开户银行扣收结算费和账户维护费等费用）。不属于基金托管人实际或应当有效控制下的资产及实物证券等在基金托管人保管期间的损坏、灭失，基金托管人不承担由此产生的责任。 </w:t>
      </w:r>
    </w:p>
    <w:p w14:paraId="5D1317A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003ADA1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基金托管人对因为基金管理人投资产生的存放或存管在基金托管人以外机构的基金资产，或交由期货公司或证券公司负责清算交收的基金资产（包括但不限于期货保证金账户内的资金、期货合约等）及其收益，由于该等机构或该机构会员单位等本协议当事人外第三方的欺诈、疏忽、过失或破产等原因给基金资产造成的损失等不承担责任。基金托管人对基金托管人以外机构实际有效控制的证券不承担保管责任。 </w:t>
      </w:r>
    </w:p>
    <w:p w14:paraId="5800F09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7、除依据法律法规和《基金合同》的规定外，基金托管人不得委托第三人托管基金财产。 </w:t>
      </w:r>
    </w:p>
    <w:p w14:paraId="09BE60F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8、基金管理人从事证券投资基金管理业务，应当遵循公平、诚信的原则，禁止任何形式的利益输送。由于基金管理人违反以上条款而造成基金损失的，由基金管理人承担。 </w:t>
      </w:r>
    </w:p>
    <w:p w14:paraId="2D9D7DC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（二）基金募集资金的验资 </w:t>
      </w:r>
    </w:p>
    <w:p w14:paraId="69055E8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 基金募集期间募集的资金应存于基金管理人在具有托管资格的商业银行开立的“基金募集专户”。该账户由基金管理人开立并管理。 </w:t>
      </w:r>
    </w:p>
    <w:p w14:paraId="5B84A17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募集期满或基金停止募集时，募集的基金份额总额、基金募集金额、基金份额持有人人数符合《基金法》、《公开募集证券投资基金运作管理办法》等有关规定后，基金管理人应将属于基金财产的全部资金划入基金托管人为本基金开立的基金托管资金账户，对于属于基金财产的全部证券，登记机构将根据基金管理人报送确认的投资人有效认购证券数据，过户至基金托管人为基金开立的基金证券账户。同时在规定时间内，聘请符合《证券法》规定的会计师事务所进行验资，出具验资报告。出具的验资报告由参加验资的2名或2名以上中国注册会计师签字方为有效。基金管理人在监管机构备案后方可宣告《基金合同》生效，并同时将验资报告和证券投资基金备案确认函（复印件）提供给基金托管人。 </w:t>
      </w:r>
    </w:p>
    <w:p w14:paraId="60CE44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3、若基金募集期限届满，未能达到《基金合同》备案的条件，由基金管理人按规定办理退款等事宜，基金托管人应提供必要的协助。 </w:t>
      </w:r>
    </w:p>
    <w:p w14:paraId="207FA8A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4、基金管理人应确保托管账户实际到账款项与基金验资报告金额（含利息）一致。如果发现不一致的情况，基金托管人应通知基金管理人，由基金管理人负责解决。 </w:t>
      </w:r>
    </w:p>
    <w:p w14:paraId="6D2593C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（三）基金的托管资金专门账户的开立和管理 </w:t>
      </w:r>
    </w:p>
    <w:p w14:paraId="6C95958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托管人以本基金的名义在具有基金托管资格的商业银行开设托管资金专门账户，并根据基金管理人合法合规的指令办理资金收付。本基金的银行预留印鉴由基金托管人保管和使用。本基金的一切货币收支活动，包括但不限于投资、支付赎回对价的现金部分、支付基金收益、收取申购对价的现金部分、支付或收取现金差额、现金替代及现金替代退补款等，均需通过本基金的资金账户进行。 </w:t>
      </w:r>
    </w:p>
    <w:p w14:paraId="355AAF3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2、托管资金专门账户的开立和使用，限于满足开展本基金业务的需要。基金托管人和基金管理人不得假借本基金的名义开立其他任何银行账户，亦不得使用基金的任何银行账户进行本基金业务以外的活动。 </w:t>
      </w:r>
    </w:p>
    <w:p w14:paraId="7709079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3、托管资金专门账户的开立和管理应符合银行业监督管理机构的有关规定。 </w:t>
      </w:r>
    </w:p>
    <w:p w14:paraId="0C246EA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4、在符合法律法规规定的条件下，基金托管人可以通过托管资金专门账户办理基金资产的支付。 </w:t>
      </w:r>
    </w:p>
    <w:p w14:paraId="30A5DD4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（四）基金证券账户与结算备付金账户的开设和管理 </w:t>
      </w:r>
    </w:p>
    <w:p w14:paraId="44A92FB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1、基金托管人在中国证券登记结算有限责任公司上海分公司、深圳分公司为基金开立基金托管人与基金联名的证券账户。 </w:t>
      </w:r>
    </w:p>
    <w:p w14:paraId="7062586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45E35AC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3、基金证券账户的开立和证券账户卡的保管由基金托管人负责，账户资产的管理和运用由基金管理人负责。 </w:t>
      </w:r>
    </w:p>
    <w:p w14:paraId="4D2D278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证券账户开户费由基金托管人先行垫付，待托管产品启始运营后，基金管理人可向基金托管人发送划款指令，将代垫开户费从本基金托管资金账户中扣还基金托管人。 </w:t>
      </w:r>
    </w:p>
    <w:p w14:paraId="08073FD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托管人以基金托管人的名义在中国证券登记结算有限责任公司开立结算备付金账户，并代表所托管的基金完成与中国证券登记结算有限责任公司的一级法人清算工作，基金管理人应予以积极协助。结算备付金、结算互保基金、交收价差资金等的收取按照中国证券登记结算有限责任公司的规定执行。 </w:t>
      </w:r>
    </w:p>
    <w:p w14:paraId="583BF57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5、若中国证监会或其他监管机构在本托管协议生效日之后允许基金从事其他投资品种的投资业务，涉及相关账户的开立、使用的，若无相关规定，则基金托管人比照上述关于账户开立、使用的规定执行。 </w:t>
      </w:r>
    </w:p>
    <w:p w14:paraId="1E4CB5A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（五）债券托管账户的开立和管理 </w:t>
      </w:r>
    </w:p>
    <w:p w14:paraId="51969A1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合同》生效后，基金管理人负责以基金的名义申请并取得进入全国银行间同业拆借市场的交易资格，并代表基金进行交易；基金托管人负责以本基金的名义在中央国债登记结算有限责任公司和银行间市场清算所股份有限公司开设银行间债券市场债券托管账户，并代表基金进行银行间市场债券的结算。基金管理人和基金托管人共同代表基金签订全国银行间债券市场债券回购主协议。 </w:t>
      </w:r>
    </w:p>
    <w:p w14:paraId="6E3FF62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（六）其他账户的开设和管理 </w:t>
      </w:r>
    </w:p>
    <w:p w14:paraId="501F319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 在本托管协议生效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 </w:t>
      </w:r>
    </w:p>
    <w:p w14:paraId="67EE3A8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2、法律法规等有关规定对相关账户的开立和管理另有规定的，从其规定办理。 </w:t>
      </w:r>
    </w:p>
    <w:p w14:paraId="2590520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（七）基金财产投资的有关有价凭证等的保管 </w:t>
      </w:r>
    </w:p>
    <w:p w14:paraId="0B564D1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财产投资的有关实物证券、银行存款开户证实书等有价凭证由基金托管人存放于基金托管人的保管库，也可存入中央国债登记结算有限责任公司、中国证券登记结算有限责任公司上海分公司/深圳分公司、银行间市场清算所股份有限公司或票据营业中心的代保管库，保管凭证由基金托管人持有。实物证券、银行定期存款证实书等有价凭证的购买和转让，由基金托管人根据基金管理人的指令办理。属于基金托管人实际有效控制下的实物证券因基金托管人过错在保管期间的损坏、灭失，由此产生的责任应由基金托管人承担。基金托管人对由基金托管人以外机构实际有效控制或保管的资产不承担保管责任。 </w:t>
      </w:r>
    </w:p>
    <w:p w14:paraId="21D9304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（八）与基金财产有关的重大合同的保管 </w:t>
      </w:r>
    </w:p>
    <w:p w14:paraId="53849CB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对于无法取得二份以上的正本的，基金管理人应向基金托管人提供加盖授权业务章的合同传真件，基金管理人向基金托管人提供的合同传真件与基金管理人留存原件不一致的，以传真件为准。未经双方协商或未在合同约定范围内，合同原件不得转移，由基金管理人保管。重大合同的保管期限不低于法律法规的规定。 </w:t>
      </w:r>
    </w:p>
    <w:p w14:paraId="1E924F7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因基金管理人将自己保管的与本基金有关的重大合同在未经基金托管人书面同意的情况下，用于抵押、质押、担保或债权转让或作其他处分而造成本基金资产损失的，由基金管理人负责，基金托管人予以免责。 </w:t>
      </w:r>
    </w:p>
    <w:p w14:paraId="445C23F2">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五、基金资产净值计算和会计核算</w:t>
      </w:r>
    </w:p>
    <w:p w14:paraId="38A4148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（一）基金资产净值的计算、复核与完成的时间及程序 </w:t>
      </w:r>
    </w:p>
    <w:p w14:paraId="402418D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资产净值是指基金资产总值减去负债后的价值。基金份额净值是按照每个工作日闭市后，基金资产净值除以当日基金份额的余额数量计算。基金份额净值精确到0.0001元，小数点后第五位四舍五入，由此产生的误差计入基金财产。基金管理人可以设立大额赎回情形下的净值精度应急调整机制。国家另有规定的，从其规定。 </w:t>
      </w:r>
    </w:p>
    <w:p w14:paraId="5BFB990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本基金的估值日为本基金相关的证券交易场所的交易日以及国家法律法规规定需要对外披露基金净值的非交易日。 </w:t>
      </w:r>
    </w:p>
    <w:p w14:paraId="60040F6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基金管理人于每个工作日计算基金资产净值及基金份额净值，并按规定公告。 </w:t>
      </w:r>
    </w:p>
    <w:p w14:paraId="51AF130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管理人应每个工作日对基金资产估值。但基金管理人根据法律法规或《基金合同》的规定暂停估值时除外。基金管理人每个工作日对基金资产估值后，将基金资产净值和基金份额净值发送基金托管人，经基金托管人复核无误后，由基金管理人按约定对外公布。 </w:t>
      </w:r>
    </w:p>
    <w:p w14:paraId="7ECEB65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（二）基金资产估值方法和特殊情形的处理 </w:t>
      </w:r>
    </w:p>
    <w:p w14:paraId="6B7D2C0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1、估值对象 </w:t>
      </w:r>
    </w:p>
    <w:p w14:paraId="24D09E7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基金所拥有的股票、债券、国债期货合约、股指期货合约、股票期权合约、资产支持证券和银行存款本息、应收款项、其它投资等资产及负债。 </w:t>
      </w:r>
    </w:p>
    <w:p w14:paraId="2FFFF8B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2、估值方法 </w:t>
      </w:r>
    </w:p>
    <w:p w14:paraId="78A6DE2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（1）证券交易所上市的有价证券的估值 </w:t>
      </w:r>
    </w:p>
    <w:p w14:paraId="039D746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交易所上市的有价证券（包括股票等），以其估值日在证券交易所挂牌的市价（收盘价）确定公允价值；估值日无交易的，且最近交易日后未发生影响公允价值计量的重大事件的，以最近交易日的市价（收盘价）估值；如有充足证据表明估值日或最近交易日的市价不能真实反映公允价值的，应对市价进行调整，确定公允价格； </w:t>
      </w:r>
    </w:p>
    <w:p w14:paraId="4C87227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2）交易所上市交易或挂牌转让的固定收益品种（基金合同另有规定的除外），选取估值日第三方估值机构提供的相应品种对应的估值净价估值，具体估值机构由基金管理人与基金托管人另行协商约定； </w:t>
      </w:r>
    </w:p>
    <w:p w14:paraId="24EB953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交易所上市交易的可转换债券按估值日收盘价减去债券收盘价中所含的债券应收利息得到的净价进行估值；估值日没有交易的，且最近交易日后经济环境未发生重大变化，按最近交易日债券收盘价减去债券收盘价中所含的债券应收利息得到的净价进行估值。如最近交易日后经济环境发生了重大变化的，可参考类似投资品种的现行市价及重大变化因素，调整最近交易市价，确定公允价格； </w:t>
      </w:r>
    </w:p>
    <w:p w14:paraId="725C81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交易所上市实行全价交易的债券（可转债除外），选取第三方估值机构提供的估值全价减去估值全价中所含的债券（税后）应收利息得到的净价进行估值； </w:t>
      </w:r>
    </w:p>
    <w:p w14:paraId="1B2D4EC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4）交易所上市不存在活跃市场的有价证券，采用估值技术确定公允价值。交易所上市的资产支持证券，采用估值技术确定公允价值，在估值技术难以可靠计量公允价值的情况下，按成本估值。 </w:t>
      </w:r>
    </w:p>
    <w:p w14:paraId="4009528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（2）处于未上市期间的有价证券应区分如下情况处理： </w:t>
      </w:r>
    </w:p>
    <w:p w14:paraId="4D5799D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1）送股、转增股、配股和公开增发的新股，按估值日在证券交易所挂牌的同一股票的估值方法估值；该日无交易的，以最近一日的市价（收盘价）估值； </w:t>
      </w:r>
    </w:p>
    <w:p w14:paraId="75446D5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2）首次公开发行未上市的股票、债券，采用估值技术确定公允价值，在估值技术难以可靠计量公允价值的情况下，按成本估值； </w:t>
      </w:r>
    </w:p>
    <w:p w14:paraId="7EB9ABF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451D3A7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 </w:t>
      </w:r>
    </w:p>
    <w:p w14:paraId="24D0A09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（4）同一证券同时在两个或两个以上市场交易的，按证券所处的市场分别估值。 </w:t>
      </w:r>
    </w:p>
    <w:p w14:paraId="22BC4E2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（5）本基金投资国债期货、股指期货合约，一般以估值当日结算价确定公允价值，估值当日无结算价的，且最近交易日后未发生影响公允价值计量的重大事件的，采用最近交易日结算价估值。 </w:t>
      </w:r>
    </w:p>
    <w:p w14:paraId="44A9B50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（6）本基金投资股票期权，根据相关法律法规以及监管部门的规定估值。 </w:t>
      </w:r>
    </w:p>
    <w:p w14:paraId="306ACB8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（7）本基金参与转融通证券出借业务的，将按照法律法规及行业协会的相关规定进行估值。 </w:t>
      </w:r>
    </w:p>
    <w:p w14:paraId="33FC3E1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（8）汇率 </w:t>
      </w:r>
    </w:p>
    <w:p w14:paraId="4EF4D43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本基金外币资产价值计算中，涉及主要货币对人民币汇率的，应当以基金估值日中国人民银行或其授权机构公布的人民币汇率中间价或其他可以反映公允价值的汇率进行估值。 </w:t>
      </w:r>
    </w:p>
    <w:p w14:paraId="381A4BC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（9）本基金投资存托凭证的估值核算，依照境内上市交易的股票执行。 </w:t>
      </w:r>
    </w:p>
    <w:p w14:paraId="5311C8F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（10）如有确凿证据表明按上述方法进行估值不能客观反映其公允价值的，基金管理人可根据具体情况与基金托管人商定后，按最能反映公允价值的方法估值。 </w:t>
      </w:r>
    </w:p>
    <w:p w14:paraId="2AA1C47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（11）相关法律法规以及监管部门有强制规定的，从其规定。如有新增事项，按国家最新规定估值。 </w:t>
      </w:r>
    </w:p>
    <w:p w14:paraId="0A0A788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03DDE4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4A3F24D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3、特殊情形的处理 </w:t>
      </w:r>
    </w:p>
    <w:p w14:paraId="03C3E25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（1）基金管理人或基金托管人按估值方法的第（10）项进行估值时，所造成的误差不作为基金资产估值错误处理。 </w:t>
      </w:r>
    </w:p>
    <w:p w14:paraId="48B892D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由于不可抗力原因，或证券/期货交易所或登记结算公司或标的指数供应商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635E707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（三）基金份额净值错误的处理方式 </w:t>
      </w:r>
    </w:p>
    <w:p w14:paraId="36A47AE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当基金份额净值小数点后4位以内（含第4位）发生差错时，视为基金份额净值错误；基金份额净值出现错误时，基金管理人应当立即予以纠正，通报基金托管人，并采取合理的措施防止损失进一步扩大；错误偏差达到基金份额净值的0.25%时，基金管理人应当通报基金托管人并报中国证监会备案；错误偏差达到基金份额净值的0.5%时，基金管理人应当公告、通报基金托管人并报中国证监会备案；当发生净值计算错误时，由基金管理人负责处理，由此给基金份额持有人和基金造成损失的，应由基金管理人先行赔付，基金管理人按差错情形，有权向其他当事人追偿。 </w:t>
      </w:r>
    </w:p>
    <w:p w14:paraId="63B5B96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2、当基金份额净值计算差错给基金和基金份额持有人造成损失需要进行赔偿时，基金管理人和基金托管人应根据实际情况界定双方承担的责任，经确认后按以下条款进行赔偿： </w:t>
      </w:r>
    </w:p>
    <w:p w14:paraId="0A93B89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本基金的基金会计主责任方由基金管理人担任，基金托管人承担复核责任。与本基金有关的会计问题，如经双方在平等基础上充分讨论后，尚不能达成一致时，按基金管理人的建议执行，由此给基金份额持有人和基金财产造成的损失，由基金管理人负责赔付。 </w:t>
      </w:r>
    </w:p>
    <w:p w14:paraId="72D7EE7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若基金管理人计算的基金份额净值已由基金托管人复核确认后公告，而且基金托管人未对计算过程提出疑义或要求基金管理人书面说明，基金份额净值出错且造成基金份额持有人损失的，应根据法律法规的规定对投资者或基金支付赔偿金，就实际向投资者或基金支付的赔偿金额，基金管理人与基金托管人按照管理费和托管费的比例各自承担相应的责任。 </w:t>
      </w:r>
    </w:p>
    <w:p w14:paraId="249431C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如基金管理人和基金托管人对基金份额净值计算结果，虽然多次重新计算和核对，尚不能达成一致时，为避免不能按时公布基金份额净值情形，以基金管理人的计算结果对外公布，由此给基金份额持有人和基金造成的损失，由基金管理人负责赔付，基金托管人不承担任何责任。 </w:t>
      </w:r>
    </w:p>
    <w:p w14:paraId="2EDD703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由于基金管理人提供的信息错误（包括但不限于基金申购或赎回金额等），进而导致基金份额净值计算错误而引起的基金份额持有人和基金财产的损失，由基金管理人负责赔付，基金托管人不承担任何责任。 </w:t>
      </w:r>
    </w:p>
    <w:p w14:paraId="4AA856C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3、基金管理人和基金托管人由于各自技术系统设置而产生的净值计算尾差，以基金管理人计算结果为准。 </w:t>
      </w:r>
    </w:p>
    <w:p w14:paraId="0094940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4、前述内容如法律法规或者监管机关另有规定的，从其规定处理。如果行业另有通行做法，基金管理人、基金托管人应本着平等和保护基金份额持有人利益的原则进行协商。 </w:t>
      </w:r>
    </w:p>
    <w:p w14:paraId="3886775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（四）暂停估值的情形 </w:t>
      </w:r>
    </w:p>
    <w:p w14:paraId="748107F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1、基金投资所涉及的证券/期货交易市场或外汇市场遇法定节假日或因其他原因暂停营业时； </w:t>
      </w:r>
    </w:p>
    <w:p w14:paraId="3FC6758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2、因不可抗力致使基金管理人、基金托管人无法准确评估基金资产价值时； </w:t>
      </w:r>
    </w:p>
    <w:p w14:paraId="548CF5E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3、当前一估值日基金资产净值50%以上的资产出现无可参考的活跃市场价格且采用估值技术仍导致公允价值存在重大不确定性时，经与基金托管人协商确认后，基金管理人应当暂停估值； </w:t>
      </w:r>
    </w:p>
    <w:p w14:paraId="51FA27E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4、中国证监会和基金合同认定的其它情形。 </w:t>
      </w:r>
    </w:p>
    <w:p w14:paraId="0B36A34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（五）基金会计制度 </w:t>
      </w:r>
    </w:p>
    <w:p w14:paraId="66AC0F2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按国家有关部门规定的会计制度执行。 </w:t>
      </w:r>
    </w:p>
    <w:p w14:paraId="33166714">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（六）基金账册的建立 </w:t>
      </w:r>
    </w:p>
    <w:p w14:paraId="56A3F5F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进行基金会计核算并编制基金财务会计报告。基金管理人、基金托管人分别独立地设置、记录和保管本基金的全套账册。若基金管理人和基金托管人对会计处理方法存在分歧，应以基金管理人的处理方法为准。若当日核对不符，暂时无法查找到错账的原因而影响到基金净值的计算和公告的，以基金管理人的账册为准。 </w:t>
      </w:r>
    </w:p>
    <w:p w14:paraId="1652F38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（七）基金财务报表与报告的编制和复核 </w:t>
      </w:r>
    </w:p>
    <w:p w14:paraId="0AA9D71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1、财务报表的编制 </w:t>
      </w:r>
    </w:p>
    <w:p w14:paraId="0A2064F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基金财务报表由基金管理人编制，基金托管人复核。 </w:t>
      </w:r>
    </w:p>
    <w:p w14:paraId="45A7375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2、报表复核 </w:t>
      </w:r>
    </w:p>
    <w:p w14:paraId="45D6706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基金托管人在收到基金管理人编制的基金财务报表后，进行独立的复核。核对不符时，应及时通知基金管理人共同查出原因，进行调整，直至双方数据完全一致。 </w:t>
      </w:r>
    </w:p>
    <w:p w14:paraId="528174D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3、财务报表的编制与复核时间安排 </w:t>
      </w:r>
    </w:p>
    <w:p w14:paraId="4487F97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（1）报表的编制 </w:t>
      </w:r>
    </w:p>
    <w:p w14:paraId="2C496F1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应当在季度结束之日起15个工作日内完成基金季度报告的编制；在上半年结束之日起两个月内完成基金中期报告的编制；在每年结束之日起三个月内完成基金年度报告的编制。基金年度报告的财务会计报告应当经过符合《证券法》规定的会计师事务所审计。《基金合同》生效不足两个月的，基金管理人可以不编制当期季度报告、中期报告或者年度报告。 </w:t>
      </w:r>
    </w:p>
    <w:p w14:paraId="2BE8991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（2）报表的复核 </w:t>
      </w:r>
    </w:p>
    <w:p w14:paraId="539B05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在季度报告完成后，将有关报告提供给基金托管人复核，基金托管人应在收到后7个工作日内完成复核，并将复核结果书面通知基金管理人。基金管理人在中期报告完成后，将有关报告提供给基金托管人复核，基金托管人应在收到后30日内完成复核，并将复核结果书面通知基金管理人。基金管理人在年度报告完成后，将有关报告提供基金托管人复核，基金托管人应在收到后45日内完成复核，并将复核结果书面通知基金管理人。基金管理人和基金托管人之间的上述文件往来均以传真的方式或双方商定的其他方式进行。 </w:t>
      </w:r>
    </w:p>
    <w:p w14:paraId="591E361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托管人在复核过程中，发现双方的报表存在不符时，基金管理人和基金托管人应共同查明原因，进行调整，调整以国家有关规定为准；若双方无法达成一致，以基金管理人的账务处理为准。如果基金管理人与基金托管人不能于应当发布公告之日之前就相关报表达成一致，基金管理人有权按照其编制的报表对外发布公告，由此产生的信息披露错误，基金托管人不承担责任，基金托管人有权就相关情况报证监会备案。 </w:t>
      </w:r>
    </w:p>
    <w:p w14:paraId="5A28395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（八）基金管理人应在编制季度报告、中期报告或者年度报告之前及时向基金托管人提供基金业绩比较基准的基础数据和编制结果。 </w:t>
      </w:r>
    </w:p>
    <w:p w14:paraId="50FD8031">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六、基金份额持有人名册的保管</w:t>
      </w:r>
    </w:p>
    <w:p w14:paraId="191D85F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基金的基金管理人和基金托管人须分别妥善保管基金份额持有人名册，包括基金合同生效日、基金合同终止日、每年6月30日、12月31日的基金份额持有人名册。基金份额持有人名册至少应包括基金份额持有人的名称和持有的基金份额。基金份额持有人名册由基金登记机构编制和保管，保存期不少于20年，法律法规另有规定或监管机关另有要求的除外。基金管理人和基金托管人应分别保管基金份额持有人名册，保存期不少于15年，法律法规另有规定或监管机关另有要求的除外。如不能妥善保管，则按相关法规承担责任。 </w:t>
      </w:r>
    </w:p>
    <w:p w14:paraId="123DF4F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托管人有权要求基金管理人提供任意一个交易日或全部交易日的基金份额持有人名册，基金管理人应及时提供，不得无故拒绝或延误提供，并保证其真实性、准确性和完整性。每年6月30日和12月31日的基金份额持有人名册应于下月前十个工作日内提交；基金合同生效日、基金合同终止日等涉及到基金重要事项日期的基金份额持有人名册应于发生日后十个工作日内提交。 </w:t>
      </w:r>
    </w:p>
    <w:p w14:paraId="3E6F05C5">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基金托管人不得将所保管的基金份额持有人名册用于基金托管业务以外的其他用途，并应遵守保密义务，法律法规另有规定或监管机关另有要求的除外。 </w:t>
      </w:r>
    </w:p>
    <w:p w14:paraId="3D4D0D4C">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七、争议解决方式</w:t>
      </w:r>
    </w:p>
    <w:p w14:paraId="4132D6C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因本协议产生或与之相关的争议，双方当事人应通过协商、调解解决，协商、调解不能解决的，任何一方均有权将争议提交中国国际经济贸易仲裁委员会，按照其届时有效的仲裁规则进行仲裁。仲裁地点为北京市。仲裁裁决是终局性的并对各方当事人具有约束力。除非仲裁裁决另有规定，仲裁费由败诉方承担。 </w:t>
      </w:r>
    </w:p>
    <w:p w14:paraId="62920CC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争议处理期间，双方当事人应恪守各自的职责，继续忠实、勤勉、尽责地履行基金合同和托管协议规定的义务，维护基金份额持有人的合法权益。 </w:t>
      </w:r>
    </w:p>
    <w:p w14:paraId="1FD620E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本协议受中国（为本协议之目的，不含台湾、香港、澳门地区）法律管辖并从其解释。 </w:t>
      </w:r>
    </w:p>
    <w:p w14:paraId="00CD64E7">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八、基金托管协议的变更、终止与基金财产的清算</w:t>
      </w:r>
    </w:p>
    <w:p w14:paraId="1CF1CEA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（一）托管协议的变更程序 </w:t>
      </w:r>
    </w:p>
    <w:p w14:paraId="4880FBC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本协议双方当事人经协商一致，可以对协议进行修改。修改后的新协议，其内容不得与《基金合同》的规定有任何冲突。基金托管协议的变更报中国证监会备案。 </w:t>
      </w:r>
    </w:p>
    <w:p w14:paraId="14634EC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（二）基金托管协议终止出现的情形 </w:t>
      </w:r>
    </w:p>
    <w:p w14:paraId="3696E4D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1、《基金合同》终止； </w:t>
      </w:r>
    </w:p>
    <w:p w14:paraId="6BFA88C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2、基金托管人解散、依法被撤销、破产或由其他基金托管人接管基金资产； </w:t>
      </w:r>
    </w:p>
    <w:p w14:paraId="78D6477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3、基金管理人解散、依法被撤销、破产或由其他基金管理人接管基金管理权； </w:t>
      </w:r>
    </w:p>
    <w:p w14:paraId="4685089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4、发生法律法规、中国证监会或《基金合同》规定的终止事项。 </w:t>
      </w:r>
    </w:p>
    <w:p w14:paraId="6E6F4420">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（三）基金财产的清算 </w:t>
      </w:r>
    </w:p>
    <w:p w14:paraId="694154E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1、基金财产清算小组：自出现《基金合同》终止事由之日起30个工作日内成立清算小组，基金管理人组织基金财产清算小组并在中国证监会的监督下进行基金清算。 </w:t>
      </w:r>
    </w:p>
    <w:p w14:paraId="1B9C6AC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2、基金财产清算小组组成：基金财产清算小组成员由基金管理人、基金托管人、符合《证券法》规定的注册会计师、律师以及中国证监会指定的人员组成。基金财产清算小组可以聘用必要的工作人员。 </w:t>
      </w:r>
    </w:p>
    <w:p w14:paraId="6DDFF0E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3、基金财产清算小组职责：基金财产清算小组负责基金财产的保管、清理、估价、变现和分配。基金财产清算小组可以依法进行必要的民事活动。 </w:t>
      </w:r>
    </w:p>
    <w:p w14:paraId="30A0047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4、基金财产清算程序： </w:t>
      </w:r>
    </w:p>
    <w:p w14:paraId="36A8DA7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（1）《基金合同》终止情形出现时，由基金财产清算小组统一接管基金； </w:t>
      </w:r>
    </w:p>
    <w:p w14:paraId="2D91B10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（2）对基金财产和债权债务进行清理和确认； </w:t>
      </w:r>
    </w:p>
    <w:p w14:paraId="0458151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（3）对基金财产进行估值和变现； </w:t>
      </w:r>
    </w:p>
    <w:p w14:paraId="1D0FB642">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（4）制作清算报告； </w:t>
      </w:r>
    </w:p>
    <w:p w14:paraId="5CF4437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（5）聘请会计师事务所对清算报告进行外部审计，聘请律师事务所对清算报告出具法律意见书； </w:t>
      </w:r>
    </w:p>
    <w:p w14:paraId="4FAA1959">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（6）将清算报告报中国证监会备案并公告； </w:t>
      </w:r>
    </w:p>
    <w:p w14:paraId="2BBD7BC6">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（7）对基金剩余财产进行分配。 </w:t>
      </w:r>
    </w:p>
    <w:p w14:paraId="7BBDB23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5、基金财产清算的期限为6个月，但因本基金所持证券的流动性受到限制而不能及时变现的，清算期限可相应顺延。 </w:t>
      </w:r>
    </w:p>
    <w:p w14:paraId="43F653E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6、清算费用 </w:t>
      </w:r>
    </w:p>
    <w:p w14:paraId="4341C1D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清算费用是指基金财产清算小组在进行基金清算过程中发生的所有合理费用，清算费用由基金财产清算小组优先从基金财产中支付。 </w:t>
      </w:r>
    </w:p>
    <w:p w14:paraId="269678AD">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7、基金财产清算剩余资产的分配 </w:t>
      </w:r>
    </w:p>
    <w:p w14:paraId="37A6E77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依据基金财产清算的分配方案，将基金财产清算后的全部剩余资产扣除基金财产清算费用、交纳所欠税款并清偿基金债务后，按基金份额持有人持有的基金份额比例进行分配。 </w:t>
      </w:r>
    </w:p>
    <w:p w14:paraId="6AEB9243">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8、基金财产清算的公告 </w:t>
      </w:r>
    </w:p>
    <w:p w14:paraId="5210EB8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29DC146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9、基金财产清算账册及文件的保存 </w:t>
      </w:r>
    </w:p>
    <w:p w14:paraId="320FB27F">
      <w:pPr>
        <w:pStyle w:val="8"/>
        <w:spacing w:before="0" w:beforeAutospacing="0" w:after="0" w:afterAutospacing="0" w:line="360" w:lineRule="auto"/>
        <w:ind w:firstLine="420"/>
        <w:rPr>
          <w:sz w:val="21"/>
          <w:szCs w:val="21"/>
          <w:highlight w:val="none"/>
        </w:rPr>
      </w:pPr>
      <w:r>
        <w:rPr>
          <w:rFonts w:hint="eastAsia"/>
          <w:sz w:val="21"/>
          <w:szCs w:val="21"/>
          <w:highlight w:val="none"/>
        </w:rPr>
        <w:t>基金财产清算账册及有关文件由基金托管人保存20年以上，法律法规或监管规则另有</w:t>
      </w:r>
      <w:bookmarkStart w:id="184" w:name="chapter_level1_25_72_section_1_end"/>
      <w:bookmarkEnd w:id="184"/>
      <w:r>
        <w:rPr>
          <w:rFonts w:hint="eastAsia"/>
          <w:sz w:val="21"/>
          <w:szCs w:val="21"/>
          <w:highlight w:val="none"/>
        </w:rPr>
        <w:t xml:space="preserve">规定的从其规定。 </w:t>
      </w:r>
    </w:p>
    <w:p w14:paraId="206F2814">
      <w:pPr>
        <w:widowControl/>
        <w:jc w:val="left"/>
        <w:rPr>
          <w:rFonts w:ascii="宋体" w:hAnsi="宋体" w:eastAsia="宋体"/>
          <w:highlight w:val="none"/>
        </w:rPr>
      </w:pPr>
      <w:r>
        <w:rPr>
          <w:rFonts w:ascii="宋体" w:hAnsi="宋体" w:eastAsia="宋体"/>
          <w:highlight w:val="none"/>
        </w:rPr>
        <w:br w:type="page"/>
      </w:r>
    </w:p>
    <w:p w14:paraId="573FC468">
      <w:pPr>
        <w:pStyle w:val="2"/>
        <w:jc w:val="center"/>
        <w:rPr>
          <w:rFonts w:ascii="宋体" w:hAnsi="宋体" w:eastAsia="宋体"/>
          <w:sz w:val="30"/>
          <w:highlight w:val="none"/>
        </w:rPr>
      </w:pPr>
      <w:bookmarkStart w:id="185" w:name="_Toc207933764"/>
      <w:bookmarkStart w:id="186" w:name="chapter_level1_26_75"/>
      <w:r>
        <w:rPr>
          <w:rFonts w:hint="eastAsia" w:ascii="宋体" w:hAnsi="宋体" w:eastAsia="宋体"/>
          <w:sz w:val="30"/>
          <w:highlight w:val="none"/>
        </w:rPr>
        <w:t>第二十三部分  对基金份额持有人的服务</w:t>
      </w:r>
      <w:bookmarkEnd w:id="185"/>
      <w:bookmarkEnd w:id="186"/>
    </w:p>
    <w:p w14:paraId="1C75A299">
      <w:pPr>
        <w:pStyle w:val="8"/>
        <w:spacing w:before="0" w:beforeAutospacing="0" w:after="0" w:afterAutospacing="0" w:line="360" w:lineRule="auto"/>
        <w:ind w:firstLine="420"/>
        <w:rPr>
          <w:sz w:val="21"/>
          <w:szCs w:val="21"/>
          <w:highlight w:val="none"/>
        </w:rPr>
      </w:pPr>
      <w:bookmarkStart w:id="187" w:name="chapter_level1_26_75_section_1"/>
      <w:bookmarkEnd w:id="187"/>
      <w:r>
        <w:rPr>
          <w:rFonts w:hint="eastAsia"/>
          <w:sz w:val="21"/>
          <w:szCs w:val="21"/>
          <w:highlight w:val="none"/>
        </w:rPr>
        <w:t xml:space="preserve">对本基金份额持有人的服务主要由基金管理人、发售代理机构、申购赎回代理券商提供。基金管理人承诺为基金份额持有人提供一系列的服务，以下是主要的服务内容。基金管理人根据基金份额持有人的需要和市场的变化，有权增加和修改服务项目。  </w:t>
      </w:r>
    </w:p>
    <w:p w14:paraId="205F8F48">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基金管理人提供的服务内容如下： </w:t>
      </w:r>
    </w:p>
    <w:p w14:paraId="62BA619A">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一、客户服务电话</w:t>
      </w:r>
    </w:p>
    <w:p w14:paraId="489E604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客户服务中心自动语音系统提供每周七天、每天24小时的自动语音服务和查询服务，客户可以通过电话查询基金份额净值。同时，客服中心提供工作日每天9:00-21:00、节假日（十一和春节除外）9:00-17:00的电话人工服务。 </w:t>
      </w:r>
    </w:p>
    <w:p w14:paraId="58F99E3A">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博时一线通：95105568（免长途话费） </w:t>
      </w:r>
    </w:p>
    <w:p w14:paraId="2FC3BF7F">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二、网上客户服务中心</w:t>
      </w:r>
    </w:p>
    <w:p w14:paraId="37C0DBCF">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网上客户服务为投资人提供查询服务、资讯服务以及在线咨询的平台。登陆网站后，投资人可以查询基金相关信息，享受资讯服务；投资人还可以使用“在线客服”功能进行在线咨询以及查询热点问题及其解答，并提交投诉与建议。 </w:t>
      </w:r>
    </w:p>
    <w:p w14:paraId="58BB6586">
      <w:pPr>
        <w:pStyle w:val="8"/>
        <w:spacing w:before="0" w:beforeAutospacing="0" w:after="0" w:afterAutospacing="0" w:line="360" w:lineRule="auto"/>
        <w:ind w:firstLine="420"/>
        <w:rPr>
          <w:sz w:val="21"/>
          <w:szCs w:val="21"/>
          <w:highlight w:val="none"/>
        </w:rPr>
      </w:pPr>
      <w:r>
        <w:rPr>
          <w:rFonts w:hint="eastAsia"/>
          <w:sz w:val="21"/>
          <w:szCs w:val="21"/>
          <w:highlight w:val="none"/>
        </w:rPr>
        <w:t>基金管理人网址：</w:t>
      </w:r>
      <w:r>
        <w:rPr>
          <w:highlight w:val="none"/>
        </w:rPr>
        <w:fldChar w:fldCharType="begin"/>
      </w:r>
      <w:r>
        <w:rPr>
          <w:highlight w:val="none"/>
        </w:rPr>
        <w:instrText xml:space="preserve"> HYPERLINK "http://www.bosera.com/" </w:instrText>
      </w:r>
      <w:r>
        <w:rPr>
          <w:highlight w:val="none"/>
        </w:rPr>
        <w:fldChar w:fldCharType="separate"/>
      </w:r>
      <w:r>
        <w:rPr>
          <w:rStyle w:val="13"/>
          <w:rFonts w:hint="eastAsia"/>
          <w:sz w:val="21"/>
          <w:szCs w:val="21"/>
          <w:highlight w:val="none"/>
        </w:rPr>
        <w:t>www.bosera.com</w:t>
      </w:r>
      <w:r>
        <w:rPr>
          <w:rStyle w:val="13"/>
          <w:rFonts w:hint="eastAsia"/>
          <w:sz w:val="21"/>
          <w:szCs w:val="21"/>
          <w:highlight w:val="none"/>
        </w:rPr>
        <w:fldChar w:fldCharType="end"/>
      </w:r>
    </w:p>
    <w:p w14:paraId="76E6525C">
      <w:pPr>
        <w:pStyle w:val="8"/>
        <w:spacing w:before="0" w:beforeAutospacing="0" w:after="0" w:afterAutospacing="0" w:line="360" w:lineRule="auto"/>
        <w:ind w:firstLine="420"/>
        <w:rPr>
          <w:sz w:val="21"/>
          <w:szCs w:val="21"/>
          <w:highlight w:val="none"/>
        </w:rPr>
      </w:pPr>
      <w:r>
        <w:rPr>
          <w:rFonts w:hint="eastAsia"/>
          <w:sz w:val="21"/>
          <w:szCs w:val="21"/>
          <w:highlight w:val="none"/>
        </w:rPr>
        <w:t>电子邮箱：</w:t>
      </w:r>
      <w:r>
        <w:rPr>
          <w:highlight w:val="none"/>
        </w:rPr>
        <w:fldChar w:fldCharType="begin"/>
      </w:r>
      <w:r>
        <w:rPr>
          <w:highlight w:val="none"/>
        </w:rPr>
        <w:instrText xml:space="preserve"> HYPERLINK "mailto:service@bosera.com" </w:instrText>
      </w:r>
      <w:r>
        <w:rPr>
          <w:highlight w:val="none"/>
        </w:rPr>
        <w:fldChar w:fldCharType="separate"/>
      </w:r>
      <w:r>
        <w:rPr>
          <w:rStyle w:val="13"/>
          <w:rFonts w:hint="eastAsia"/>
          <w:sz w:val="21"/>
          <w:szCs w:val="21"/>
          <w:highlight w:val="none"/>
        </w:rPr>
        <w:t>service@bosera.com</w:t>
      </w:r>
      <w:r>
        <w:rPr>
          <w:rStyle w:val="13"/>
          <w:rFonts w:hint="eastAsia"/>
          <w:sz w:val="21"/>
          <w:szCs w:val="21"/>
          <w:highlight w:val="none"/>
        </w:rPr>
        <w:fldChar w:fldCharType="end"/>
      </w:r>
    </w:p>
    <w:p w14:paraId="4F3AD37B">
      <w:pPr>
        <w:pStyle w:val="8"/>
        <w:spacing w:before="0" w:beforeAutospacing="0" w:after="0" w:afterAutospacing="0" w:line="360" w:lineRule="auto"/>
        <w:ind w:firstLine="420"/>
        <w:rPr>
          <w:sz w:val="21"/>
          <w:szCs w:val="21"/>
          <w:highlight w:val="none"/>
        </w:rPr>
      </w:pPr>
      <w:r>
        <w:rPr>
          <w:rStyle w:val="12"/>
          <w:rFonts w:hint="eastAsia"/>
          <w:sz w:val="21"/>
          <w:szCs w:val="21"/>
          <w:highlight w:val="none"/>
        </w:rPr>
        <w:t>三、客户投诉处理</w:t>
      </w:r>
    </w:p>
    <w:p w14:paraId="483374F1">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投资者可以通过博时基金网站、客服中心IVR自动语音留言、客服中心电话人工坐席、书信、电子邮件、传真等渠道对基金管理人提供的服务进行投诉。投资者还可以通过发售代理机构、申购赎回代理券商的服务电话对该代理机构提供的服务进行投诉。 </w:t>
      </w:r>
    </w:p>
    <w:p w14:paraId="2B6D0654">
      <w:pPr>
        <w:pStyle w:val="8"/>
        <w:spacing w:before="0" w:beforeAutospacing="0" w:after="0" w:afterAutospacing="0" w:line="360" w:lineRule="auto"/>
        <w:ind w:firstLine="420"/>
        <w:rPr>
          <w:sz w:val="21"/>
          <w:szCs w:val="21"/>
          <w:highlight w:val="none"/>
        </w:rPr>
      </w:pPr>
      <w:r>
        <w:rPr>
          <w:rFonts w:hint="eastAsia"/>
          <w:sz w:val="21"/>
          <w:szCs w:val="21"/>
          <w:highlight w:val="none"/>
        </w:rPr>
        <w:t>如本招募说明书存在任何您/贵机构无法理解的内容，请通过上述方式联系基金管理人。</w:t>
      </w:r>
      <w:bookmarkStart w:id="188" w:name="chapter_level1_26_75_section_1_end"/>
      <w:bookmarkEnd w:id="188"/>
      <w:r>
        <w:rPr>
          <w:rFonts w:hint="eastAsia"/>
          <w:sz w:val="21"/>
          <w:szCs w:val="21"/>
          <w:highlight w:val="none"/>
        </w:rPr>
        <w:t xml:space="preserve">请确保投资前，您/贵机构已经全面理解了本招募说明书。 </w:t>
      </w:r>
    </w:p>
    <w:p w14:paraId="32EE3988">
      <w:pPr>
        <w:widowControl/>
        <w:jc w:val="left"/>
        <w:rPr>
          <w:rFonts w:ascii="宋体" w:hAnsi="宋体" w:eastAsia="宋体"/>
          <w:highlight w:val="none"/>
        </w:rPr>
      </w:pPr>
      <w:r>
        <w:rPr>
          <w:rFonts w:ascii="宋体" w:hAnsi="宋体" w:eastAsia="宋体"/>
          <w:highlight w:val="none"/>
        </w:rPr>
        <w:br w:type="page"/>
      </w:r>
    </w:p>
    <w:p w14:paraId="79F45592">
      <w:pPr>
        <w:pStyle w:val="2"/>
        <w:jc w:val="center"/>
        <w:rPr>
          <w:rFonts w:ascii="宋体" w:hAnsi="宋体" w:eastAsia="宋体"/>
          <w:sz w:val="30"/>
          <w:highlight w:val="none"/>
        </w:rPr>
      </w:pPr>
      <w:bookmarkStart w:id="189" w:name="chapter_level1_27_3499"/>
      <w:bookmarkStart w:id="190" w:name="_Toc207933765"/>
      <w:r>
        <w:rPr>
          <w:rFonts w:hint="eastAsia" w:ascii="宋体" w:hAnsi="宋体" w:eastAsia="宋体"/>
          <w:sz w:val="30"/>
          <w:highlight w:val="none"/>
        </w:rPr>
        <w:t>第二十四部分 其他应披露的事项</w:t>
      </w:r>
      <w:bookmarkEnd w:id="189"/>
      <w:bookmarkEnd w:id="190"/>
    </w:p>
    <w:p w14:paraId="2CBBABB1">
      <w:pPr>
        <w:pStyle w:val="8"/>
        <w:spacing w:before="0" w:beforeAutospacing="0" w:after="0" w:afterAutospacing="0" w:line="360" w:lineRule="auto"/>
        <w:ind w:firstLine="420"/>
        <w:rPr>
          <w:sz w:val="21"/>
          <w:szCs w:val="21"/>
          <w:highlight w:val="none"/>
        </w:rPr>
      </w:pPr>
      <w:bookmarkStart w:id="191" w:name="chapter_level1_27_3499_section_1"/>
      <w:bookmarkEnd w:id="191"/>
      <w:bookmarkStart w:id="192" w:name="field_0_bsrevealinfo_1_start"/>
      <w:bookmarkEnd w:id="192"/>
      <w:r>
        <w:rPr>
          <w:rFonts w:hint="eastAsia"/>
          <w:sz w:val="21"/>
          <w:szCs w:val="21"/>
          <w:highlight w:val="none"/>
        </w:rPr>
        <w:t>（一）、2025年8月29日，我公司公告了《博时恒生港股通高股息率交易型开放式指数证券投资基金2025年中期报告》；</w:t>
      </w:r>
    </w:p>
    <w:p w14:paraId="4D2EEC80">
      <w:pPr>
        <w:pStyle w:val="8"/>
        <w:spacing w:before="0" w:beforeAutospacing="0" w:after="0" w:afterAutospacing="0" w:line="360" w:lineRule="auto"/>
        <w:ind w:firstLine="420"/>
        <w:rPr>
          <w:sz w:val="21"/>
          <w:szCs w:val="21"/>
          <w:highlight w:val="none"/>
        </w:rPr>
      </w:pPr>
      <w:r>
        <w:rPr>
          <w:rFonts w:hint="eastAsia"/>
          <w:sz w:val="21"/>
          <w:szCs w:val="21"/>
          <w:highlight w:val="none"/>
        </w:rPr>
        <w:t>（二）、2025年7月21日，我公司公告了《博时恒生港股通高股息率交易型开放式指数证券投资基金2025年第2季度报告》；</w:t>
      </w:r>
    </w:p>
    <w:p w14:paraId="5744F49B">
      <w:pPr>
        <w:pStyle w:val="8"/>
        <w:spacing w:before="0" w:beforeAutospacing="0" w:after="0" w:afterAutospacing="0" w:line="360" w:lineRule="auto"/>
        <w:ind w:firstLine="420"/>
        <w:rPr>
          <w:sz w:val="21"/>
          <w:szCs w:val="21"/>
          <w:highlight w:val="none"/>
        </w:rPr>
      </w:pPr>
      <w:r>
        <w:rPr>
          <w:rFonts w:hint="eastAsia"/>
          <w:sz w:val="21"/>
          <w:szCs w:val="21"/>
          <w:highlight w:val="none"/>
        </w:rPr>
        <w:t>（三）、2025年6月30日，我公司公告了《博时恒生港股通高股息率交易型开放式指数证券投资基金暂停申购、赎回业务的公告》；</w:t>
      </w:r>
    </w:p>
    <w:p w14:paraId="5E86549C">
      <w:pPr>
        <w:pStyle w:val="8"/>
        <w:spacing w:before="0" w:beforeAutospacing="0" w:after="0" w:afterAutospacing="0" w:line="360" w:lineRule="auto"/>
        <w:ind w:firstLine="420"/>
        <w:rPr>
          <w:sz w:val="21"/>
          <w:szCs w:val="21"/>
          <w:highlight w:val="none"/>
        </w:rPr>
      </w:pPr>
      <w:r>
        <w:rPr>
          <w:rFonts w:hint="eastAsia"/>
          <w:sz w:val="21"/>
          <w:szCs w:val="21"/>
          <w:highlight w:val="none"/>
        </w:rPr>
        <w:t>（四）、2025年6月26日，我公司公告了《博时恒生港股通高股息率交易型开放式指数证券投资基金基金产品资料概要更新》；</w:t>
      </w:r>
    </w:p>
    <w:p w14:paraId="0F3579C4">
      <w:pPr>
        <w:pStyle w:val="8"/>
        <w:spacing w:before="0" w:beforeAutospacing="0" w:after="0" w:afterAutospacing="0" w:line="360" w:lineRule="auto"/>
        <w:ind w:firstLine="420"/>
        <w:rPr>
          <w:sz w:val="21"/>
          <w:szCs w:val="21"/>
          <w:highlight w:val="none"/>
        </w:rPr>
      </w:pPr>
      <w:r>
        <w:rPr>
          <w:rFonts w:hint="eastAsia"/>
          <w:sz w:val="21"/>
          <w:szCs w:val="21"/>
          <w:highlight w:val="none"/>
        </w:rPr>
        <w:t>（五）、2025年6月6日，我公司公告了《博时基金管理有限公司关于旗下基金持有的长期停牌股票调整估值方法的公告-20250606》；</w:t>
      </w:r>
    </w:p>
    <w:p w14:paraId="278615EF">
      <w:pPr>
        <w:pStyle w:val="8"/>
        <w:spacing w:before="0" w:beforeAutospacing="0" w:after="0" w:afterAutospacing="0" w:line="360" w:lineRule="auto"/>
        <w:ind w:firstLine="420"/>
        <w:rPr>
          <w:sz w:val="21"/>
          <w:szCs w:val="21"/>
          <w:highlight w:val="none"/>
        </w:rPr>
      </w:pPr>
      <w:r>
        <w:rPr>
          <w:rFonts w:hint="eastAsia"/>
          <w:sz w:val="21"/>
          <w:szCs w:val="21"/>
          <w:highlight w:val="none"/>
        </w:rPr>
        <w:t>（六）、2025年6月3日，我公司公告了《博时基金管理有限公司关于旗下基金持有的长期停牌股票调整估值方法的公告-20250603》；</w:t>
      </w:r>
    </w:p>
    <w:p w14:paraId="348709D5">
      <w:pPr>
        <w:pStyle w:val="8"/>
        <w:spacing w:before="0" w:beforeAutospacing="0" w:after="0" w:afterAutospacing="0" w:line="360" w:lineRule="auto"/>
        <w:ind w:firstLine="420"/>
        <w:rPr>
          <w:sz w:val="21"/>
          <w:szCs w:val="21"/>
          <w:highlight w:val="none"/>
        </w:rPr>
      </w:pPr>
      <w:r>
        <w:rPr>
          <w:rFonts w:hint="eastAsia"/>
          <w:sz w:val="21"/>
          <w:szCs w:val="21"/>
          <w:highlight w:val="none"/>
        </w:rPr>
        <w:t>（七）、2025年5月19日，我公司公告了《博时恒生港股通高股息率交易型开放式指数证券投资基金更新招募说明书》；</w:t>
      </w:r>
    </w:p>
    <w:p w14:paraId="5E21C3C7">
      <w:pPr>
        <w:pStyle w:val="8"/>
        <w:spacing w:before="0" w:beforeAutospacing="0" w:after="0" w:afterAutospacing="0" w:line="360" w:lineRule="auto"/>
        <w:ind w:firstLine="420"/>
        <w:rPr>
          <w:sz w:val="21"/>
          <w:szCs w:val="21"/>
          <w:highlight w:val="none"/>
        </w:rPr>
      </w:pPr>
      <w:r>
        <w:rPr>
          <w:rFonts w:hint="eastAsia"/>
          <w:sz w:val="21"/>
          <w:szCs w:val="21"/>
          <w:highlight w:val="none"/>
        </w:rPr>
        <w:t>（八）、2025年5月16日，我公司公告了《关于博时恒生港股通高股息率交易型开放式指数证券投资基金调整基金份额参考净值（IOPV）计算公式的公告》；</w:t>
      </w:r>
    </w:p>
    <w:p w14:paraId="250BEBAA">
      <w:pPr>
        <w:pStyle w:val="8"/>
        <w:spacing w:before="0" w:beforeAutospacing="0" w:after="0" w:afterAutospacing="0" w:line="360" w:lineRule="auto"/>
        <w:ind w:firstLine="420"/>
        <w:rPr>
          <w:sz w:val="21"/>
          <w:szCs w:val="21"/>
          <w:highlight w:val="none"/>
        </w:rPr>
      </w:pPr>
      <w:r>
        <w:rPr>
          <w:rFonts w:hint="eastAsia"/>
          <w:sz w:val="21"/>
          <w:szCs w:val="21"/>
          <w:highlight w:val="none"/>
        </w:rPr>
        <w:t>（九）、2025年4月25日，我公司公告了《关于博时基金管理有限公司旗下部分基金新增万和证券股份有限公司为申购、赎回代办券商的公告》；</w:t>
      </w:r>
    </w:p>
    <w:p w14:paraId="6BDCFC2A">
      <w:pPr>
        <w:pStyle w:val="8"/>
        <w:spacing w:before="0" w:beforeAutospacing="0" w:after="0" w:afterAutospacing="0" w:line="360" w:lineRule="auto"/>
        <w:ind w:firstLine="420"/>
        <w:rPr>
          <w:sz w:val="21"/>
          <w:szCs w:val="21"/>
          <w:highlight w:val="none"/>
        </w:rPr>
      </w:pPr>
      <w:r>
        <w:rPr>
          <w:rFonts w:hint="eastAsia"/>
          <w:sz w:val="21"/>
          <w:szCs w:val="21"/>
          <w:highlight w:val="none"/>
        </w:rPr>
        <w:t>（十）、2025年4月22日，我公司公告了《博时恒生港股通高股息率交易型开放式指数证券投资基金2025年第1季度报告》；</w:t>
      </w:r>
    </w:p>
    <w:p w14:paraId="014A29CA">
      <w:pPr>
        <w:pStyle w:val="8"/>
        <w:spacing w:before="0" w:beforeAutospacing="0" w:after="0" w:afterAutospacing="0" w:line="360" w:lineRule="auto"/>
        <w:ind w:firstLine="420"/>
        <w:rPr>
          <w:sz w:val="21"/>
          <w:szCs w:val="21"/>
          <w:highlight w:val="none"/>
        </w:rPr>
      </w:pPr>
      <w:r>
        <w:rPr>
          <w:rFonts w:hint="eastAsia"/>
          <w:sz w:val="21"/>
          <w:szCs w:val="21"/>
          <w:highlight w:val="none"/>
        </w:rPr>
        <w:t>（十一）、2025年4月17日，我公司公告了《博时恒生港股通高股息率交易型开放式指数证券投资基金暂停申购、赎回业务的公告》、《博时恒生港股通高股息率交易型开放式指数证券投资基金基金产品资料概要更新》；</w:t>
      </w:r>
    </w:p>
    <w:p w14:paraId="0458A392">
      <w:pPr>
        <w:pStyle w:val="8"/>
        <w:spacing w:before="0" w:beforeAutospacing="0" w:after="0" w:afterAutospacing="0" w:line="360" w:lineRule="auto"/>
        <w:ind w:firstLine="420"/>
        <w:rPr>
          <w:sz w:val="21"/>
          <w:szCs w:val="21"/>
          <w:highlight w:val="none"/>
        </w:rPr>
      </w:pPr>
      <w:r>
        <w:rPr>
          <w:rFonts w:hint="eastAsia"/>
          <w:sz w:val="21"/>
          <w:szCs w:val="21"/>
          <w:highlight w:val="none"/>
        </w:rPr>
        <w:t>（十二）、2025年4月16日，我公司公告了《博时恒生港股通高股息率交易型开放式指数证券投资基金更新招募说明书》、《博时基金管理有限公司关于博时恒生港股通高股息率交易型开放式指数证券投资基金的基金经理变更的公告》；</w:t>
      </w:r>
    </w:p>
    <w:p w14:paraId="7308C967">
      <w:pPr>
        <w:pStyle w:val="8"/>
        <w:spacing w:before="0" w:beforeAutospacing="0" w:after="0" w:afterAutospacing="0" w:line="360" w:lineRule="auto"/>
        <w:ind w:firstLine="420"/>
        <w:rPr>
          <w:sz w:val="21"/>
          <w:szCs w:val="21"/>
          <w:highlight w:val="none"/>
        </w:rPr>
      </w:pPr>
      <w:r>
        <w:rPr>
          <w:rFonts w:hint="eastAsia"/>
          <w:sz w:val="21"/>
          <w:szCs w:val="21"/>
          <w:highlight w:val="none"/>
        </w:rPr>
        <w:t>（十三）、2025年4月8日，我公司公告了《博时基金管理有限公司关于运用公司固有资金投资旗下公募基金的公告》、《博时基金管理有限公司关于旗下基金持有的长期停牌股票调整估值方法的公告-20250408》；</w:t>
      </w:r>
    </w:p>
    <w:p w14:paraId="2789D0A2">
      <w:pPr>
        <w:pStyle w:val="8"/>
        <w:spacing w:before="0" w:beforeAutospacing="0" w:after="0" w:afterAutospacing="0" w:line="360" w:lineRule="auto"/>
        <w:ind w:firstLine="420"/>
        <w:rPr>
          <w:sz w:val="21"/>
          <w:szCs w:val="21"/>
          <w:highlight w:val="none"/>
        </w:rPr>
      </w:pPr>
      <w:r>
        <w:rPr>
          <w:rFonts w:hint="eastAsia"/>
          <w:sz w:val="21"/>
          <w:szCs w:val="21"/>
          <w:highlight w:val="none"/>
        </w:rPr>
        <w:t>（十四）、2025年3月31日，我公司公告了《博时基金管理有限公司旗下公募基金通过证券公司证券交易及佣金支付情况（2024年度）》、《博时恒生港股通高股息率交易型开放式指数证券投资基金2024年年度报告》；</w:t>
      </w:r>
    </w:p>
    <w:p w14:paraId="787DD1D0">
      <w:pPr>
        <w:pStyle w:val="8"/>
        <w:spacing w:before="0" w:beforeAutospacing="0" w:after="0" w:afterAutospacing="0" w:line="360" w:lineRule="auto"/>
        <w:ind w:firstLine="420"/>
        <w:rPr>
          <w:sz w:val="21"/>
          <w:szCs w:val="21"/>
          <w:highlight w:val="none"/>
        </w:rPr>
      </w:pPr>
      <w:r>
        <w:rPr>
          <w:rFonts w:hint="eastAsia"/>
          <w:sz w:val="21"/>
          <w:szCs w:val="21"/>
          <w:highlight w:val="none"/>
        </w:rPr>
        <w:t>（十五）、2025年3月25日，我公司公告了《关于博时基金管理有限公司旗下部分基金新增江海证券为申购、赎回代办券商的公告》、《博时基金管理有限公司关于旗下基金持有的长期停牌股票调整估值方法的公告-20250325》；</w:t>
      </w:r>
    </w:p>
    <w:p w14:paraId="78B73FBE">
      <w:pPr>
        <w:pStyle w:val="8"/>
        <w:spacing w:before="0" w:beforeAutospacing="0" w:after="0" w:afterAutospacing="0" w:line="360" w:lineRule="auto"/>
        <w:ind w:firstLine="420"/>
        <w:rPr>
          <w:sz w:val="21"/>
          <w:szCs w:val="21"/>
          <w:highlight w:val="none"/>
        </w:rPr>
      </w:pPr>
      <w:r>
        <w:rPr>
          <w:rFonts w:hint="eastAsia"/>
          <w:sz w:val="21"/>
          <w:szCs w:val="21"/>
          <w:highlight w:val="none"/>
        </w:rPr>
        <w:t>（十六）、2025年2月26日，我公司公告了《博时恒生港股通高股息率交易型开放式指数证券投资基金基金产品资料概要更新》、《博时基金管理有限公司关于博时恒生港股通高股息率交易型开放式指数证券投资基金变更场内扩位证券简称的公告》；</w:t>
      </w:r>
    </w:p>
    <w:p w14:paraId="45D00830">
      <w:pPr>
        <w:pStyle w:val="8"/>
        <w:spacing w:before="0" w:beforeAutospacing="0" w:after="0" w:afterAutospacing="0" w:line="360" w:lineRule="auto"/>
        <w:ind w:firstLine="420"/>
        <w:rPr>
          <w:sz w:val="21"/>
          <w:szCs w:val="21"/>
          <w:highlight w:val="none"/>
        </w:rPr>
      </w:pPr>
      <w:r>
        <w:rPr>
          <w:rFonts w:hint="eastAsia"/>
          <w:sz w:val="21"/>
          <w:szCs w:val="21"/>
          <w:highlight w:val="none"/>
        </w:rPr>
        <w:t>（十七）、2025年2月25日，我公司公告了《关于博时基金管理有限公司旗下部分基金新增长江证券为申购、赎回代办券商的公告》；</w:t>
      </w:r>
    </w:p>
    <w:p w14:paraId="69168169">
      <w:pPr>
        <w:pStyle w:val="8"/>
        <w:spacing w:before="0" w:beforeAutospacing="0" w:after="0" w:afterAutospacing="0" w:line="360" w:lineRule="auto"/>
        <w:ind w:firstLine="420"/>
        <w:rPr>
          <w:sz w:val="21"/>
          <w:szCs w:val="21"/>
          <w:highlight w:val="none"/>
        </w:rPr>
      </w:pPr>
      <w:r>
        <w:rPr>
          <w:rFonts w:hint="eastAsia"/>
          <w:sz w:val="21"/>
          <w:szCs w:val="21"/>
          <w:highlight w:val="none"/>
        </w:rPr>
        <w:t>（十八）、2025年2月20日，我公司公告了《关于博时基金管理有限公司旗下部分基金新增国新证券为申购、赎回代办券商的公告》；</w:t>
      </w:r>
    </w:p>
    <w:p w14:paraId="50142EFC">
      <w:pPr>
        <w:pStyle w:val="8"/>
        <w:spacing w:before="0" w:beforeAutospacing="0" w:after="0" w:afterAutospacing="0" w:line="360" w:lineRule="auto"/>
        <w:ind w:firstLine="420"/>
        <w:rPr>
          <w:sz w:val="21"/>
          <w:szCs w:val="21"/>
          <w:highlight w:val="none"/>
        </w:rPr>
      </w:pPr>
      <w:r>
        <w:rPr>
          <w:rFonts w:hint="eastAsia"/>
          <w:sz w:val="21"/>
          <w:szCs w:val="21"/>
          <w:highlight w:val="none"/>
        </w:rPr>
        <w:t>（十九）、2025年1月22日，我公司公告了《博时恒生港股通高股息率交易型开放式指数证券投资基金2024年第4季度报告》；</w:t>
      </w:r>
    </w:p>
    <w:p w14:paraId="32E5F0FB">
      <w:pPr>
        <w:pStyle w:val="8"/>
        <w:spacing w:before="0" w:beforeAutospacing="0" w:after="0" w:afterAutospacing="0" w:line="360" w:lineRule="auto"/>
        <w:ind w:firstLine="420"/>
        <w:rPr>
          <w:sz w:val="21"/>
          <w:szCs w:val="21"/>
          <w:highlight w:val="none"/>
        </w:rPr>
      </w:pPr>
      <w:r>
        <w:rPr>
          <w:rFonts w:hint="eastAsia"/>
          <w:sz w:val="21"/>
          <w:szCs w:val="21"/>
          <w:highlight w:val="none"/>
        </w:rPr>
        <w:t>（二十）、2025年1月8日，我公司公告了《博时恒生港股通高股息率交易型开放式指数证券投资基金2025年非港股通交易日及境外主要市场节假日暂停申购、赎回等交易类业务的公告》；</w:t>
      </w:r>
    </w:p>
    <w:p w14:paraId="1F1A11B5">
      <w:pPr>
        <w:pStyle w:val="8"/>
        <w:spacing w:before="0" w:beforeAutospacing="0" w:after="0" w:afterAutospacing="0" w:line="360" w:lineRule="auto"/>
        <w:ind w:firstLine="420"/>
        <w:rPr>
          <w:sz w:val="21"/>
          <w:szCs w:val="21"/>
          <w:highlight w:val="none"/>
        </w:rPr>
      </w:pPr>
      <w:r>
        <w:rPr>
          <w:rFonts w:hint="eastAsia"/>
          <w:sz w:val="21"/>
          <w:szCs w:val="21"/>
          <w:highlight w:val="none"/>
        </w:rPr>
        <w:t>（二十一）、2025年1月2日，我公司公告了《关于博时基金管理有限公司旗下部分基金新增联储证券为申购、赎回代办券商的公告》；</w:t>
      </w:r>
    </w:p>
    <w:p w14:paraId="2972CBCD">
      <w:pPr>
        <w:pStyle w:val="8"/>
        <w:spacing w:before="0" w:beforeAutospacing="0" w:after="0" w:afterAutospacing="0" w:line="360" w:lineRule="auto"/>
        <w:ind w:firstLine="420"/>
        <w:rPr>
          <w:sz w:val="21"/>
          <w:szCs w:val="21"/>
          <w:highlight w:val="none"/>
        </w:rPr>
      </w:pPr>
      <w:r>
        <w:rPr>
          <w:rFonts w:hint="eastAsia"/>
          <w:sz w:val="21"/>
          <w:szCs w:val="21"/>
          <w:highlight w:val="none"/>
        </w:rPr>
        <w:t>（二十二）、2024年12月30日，我公司公告了《博时恒生港股通高股息率交易型开放式指数证券投资基金暂停申购、赎回业务的公告》；</w:t>
      </w:r>
    </w:p>
    <w:p w14:paraId="05963F02">
      <w:pPr>
        <w:pStyle w:val="8"/>
        <w:spacing w:before="0" w:beforeAutospacing="0" w:after="0" w:afterAutospacing="0" w:line="360" w:lineRule="auto"/>
        <w:ind w:firstLine="420"/>
        <w:rPr>
          <w:sz w:val="21"/>
          <w:szCs w:val="21"/>
          <w:highlight w:val="none"/>
        </w:rPr>
      </w:pPr>
      <w:r>
        <w:rPr>
          <w:rFonts w:hint="eastAsia"/>
          <w:sz w:val="21"/>
          <w:szCs w:val="21"/>
          <w:highlight w:val="none"/>
        </w:rPr>
        <w:t>（二十三）、2024年12月27日，我公司公告了《博时基金管理有限公司关于旗下193只基金改聘会计师事务所的公告》；</w:t>
      </w:r>
    </w:p>
    <w:p w14:paraId="67ADAB18">
      <w:pPr>
        <w:pStyle w:val="8"/>
        <w:spacing w:before="0" w:beforeAutospacing="0" w:after="0" w:afterAutospacing="0" w:line="360" w:lineRule="auto"/>
        <w:ind w:firstLine="420"/>
        <w:rPr>
          <w:sz w:val="21"/>
          <w:szCs w:val="21"/>
          <w:highlight w:val="none"/>
        </w:rPr>
      </w:pPr>
      <w:r>
        <w:rPr>
          <w:rFonts w:hint="eastAsia"/>
          <w:sz w:val="21"/>
          <w:szCs w:val="21"/>
          <w:highlight w:val="none"/>
        </w:rPr>
        <w:t>（二十四）、2024年12月26日，我公司公告了《博时恒生港股通高股息率交易型开放式指数证券投资基金溢价风险提示公告》；</w:t>
      </w:r>
    </w:p>
    <w:p w14:paraId="094FD3C8">
      <w:pPr>
        <w:pStyle w:val="8"/>
        <w:spacing w:before="0" w:beforeAutospacing="0" w:after="0" w:afterAutospacing="0" w:line="360" w:lineRule="auto"/>
        <w:ind w:firstLine="420"/>
        <w:rPr>
          <w:sz w:val="21"/>
          <w:szCs w:val="21"/>
          <w:highlight w:val="none"/>
        </w:rPr>
      </w:pPr>
      <w:r>
        <w:rPr>
          <w:rFonts w:hint="eastAsia"/>
          <w:sz w:val="21"/>
          <w:szCs w:val="21"/>
          <w:highlight w:val="none"/>
        </w:rPr>
        <w:t>（二十五）、2024年12月23日，我公司公告了《博时恒生港股通高股息率交易型开放式指数证券投资基金暂停申购、赎回业务的公告》；</w:t>
      </w:r>
    </w:p>
    <w:p w14:paraId="1EA3DD78">
      <w:pPr>
        <w:pStyle w:val="8"/>
        <w:spacing w:before="0" w:beforeAutospacing="0" w:after="0" w:afterAutospacing="0" w:line="360" w:lineRule="auto"/>
        <w:ind w:firstLine="420"/>
        <w:rPr>
          <w:sz w:val="21"/>
          <w:szCs w:val="21"/>
          <w:highlight w:val="none"/>
        </w:rPr>
      </w:pPr>
      <w:r>
        <w:rPr>
          <w:rFonts w:hint="eastAsia"/>
          <w:sz w:val="21"/>
          <w:szCs w:val="21"/>
          <w:highlight w:val="none"/>
        </w:rPr>
        <w:t>（二十六）、2024年12月12日，我公司公告了《博时恒生港股通高股息率交易型开放式指数证券投资基金分红公告》；</w:t>
      </w:r>
    </w:p>
    <w:p w14:paraId="2E9C78D4">
      <w:pPr>
        <w:pStyle w:val="8"/>
        <w:spacing w:before="0" w:beforeAutospacing="0" w:after="0" w:afterAutospacing="0" w:line="360" w:lineRule="auto"/>
        <w:ind w:firstLine="420"/>
        <w:rPr>
          <w:sz w:val="21"/>
          <w:szCs w:val="21"/>
          <w:highlight w:val="none"/>
        </w:rPr>
      </w:pPr>
      <w:r>
        <w:rPr>
          <w:rFonts w:hint="eastAsia"/>
          <w:sz w:val="21"/>
          <w:szCs w:val="21"/>
          <w:highlight w:val="none"/>
        </w:rPr>
        <w:t>（二十七）、2024年12月7日，我公司公告了《博时基金管理有限公司关于高级管理人员变更的公告》；</w:t>
      </w:r>
    </w:p>
    <w:p w14:paraId="43EBAA32">
      <w:pPr>
        <w:pStyle w:val="8"/>
        <w:spacing w:before="0" w:beforeAutospacing="0" w:after="0" w:afterAutospacing="0" w:line="360" w:lineRule="auto"/>
        <w:ind w:firstLine="420"/>
        <w:rPr>
          <w:sz w:val="21"/>
          <w:szCs w:val="21"/>
          <w:highlight w:val="none"/>
        </w:rPr>
      </w:pPr>
      <w:r>
        <w:rPr>
          <w:rFonts w:hint="eastAsia"/>
          <w:sz w:val="21"/>
          <w:szCs w:val="21"/>
          <w:highlight w:val="none"/>
        </w:rPr>
        <w:t>（二十八）、2024年11月19日，我公司公告了《关于博时基金管理有限公司旗下部分基金新增中航证券为申购、赎回代办券商的公告》；</w:t>
      </w:r>
    </w:p>
    <w:p w14:paraId="7CF20AC7">
      <w:pPr>
        <w:pStyle w:val="8"/>
        <w:spacing w:before="0" w:beforeAutospacing="0" w:after="0" w:afterAutospacing="0" w:line="360" w:lineRule="auto"/>
        <w:ind w:firstLine="420"/>
        <w:rPr>
          <w:sz w:val="21"/>
          <w:szCs w:val="21"/>
          <w:highlight w:val="none"/>
        </w:rPr>
      </w:pPr>
      <w:r>
        <w:rPr>
          <w:rFonts w:hint="eastAsia"/>
          <w:sz w:val="21"/>
          <w:szCs w:val="21"/>
          <w:highlight w:val="none"/>
        </w:rPr>
        <w:t>（二十九）、2024年11月18日，我公司公告了《博时基金管理有限公司关于终止乾道基金销售有限公司办理旗下基金销售业务的公告》；</w:t>
      </w:r>
    </w:p>
    <w:p w14:paraId="75D90D8D">
      <w:pPr>
        <w:pStyle w:val="8"/>
        <w:spacing w:before="0" w:beforeAutospacing="0" w:after="0" w:afterAutospacing="0" w:line="360" w:lineRule="auto"/>
        <w:ind w:firstLine="420"/>
        <w:rPr>
          <w:sz w:val="21"/>
          <w:szCs w:val="21"/>
          <w:highlight w:val="none"/>
        </w:rPr>
      </w:pPr>
      <w:r>
        <w:rPr>
          <w:rFonts w:hint="eastAsia"/>
          <w:sz w:val="21"/>
          <w:szCs w:val="21"/>
          <w:highlight w:val="none"/>
        </w:rPr>
        <w:t>（三十）、2024年11月6日，我公司公告了《博时基金管理有限公司关于旗下基金持有的长期停牌股票调整估值方法的公告-20241106》；</w:t>
      </w:r>
    </w:p>
    <w:p w14:paraId="04360978">
      <w:pPr>
        <w:pStyle w:val="8"/>
        <w:spacing w:before="0" w:beforeAutospacing="0" w:after="0" w:afterAutospacing="0" w:line="360" w:lineRule="auto"/>
        <w:ind w:firstLine="420"/>
        <w:rPr>
          <w:sz w:val="21"/>
          <w:szCs w:val="21"/>
          <w:highlight w:val="none"/>
        </w:rPr>
      </w:pPr>
      <w:r>
        <w:rPr>
          <w:rFonts w:hint="eastAsia"/>
          <w:sz w:val="21"/>
          <w:szCs w:val="21"/>
          <w:highlight w:val="none"/>
        </w:rPr>
        <w:t>（三十一）、2024年10月25日，我公司公告了《博时恒生港股通高股息率交易型开放式指数证券投资基金2024年第3季度报告》；</w:t>
      </w:r>
    </w:p>
    <w:p w14:paraId="5953805F">
      <w:pPr>
        <w:pStyle w:val="8"/>
        <w:spacing w:before="0" w:beforeAutospacing="0" w:after="0" w:afterAutospacing="0" w:line="360" w:lineRule="auto"/>
        <w:ind w:firstLine="420"/>
        <w:rPr>
          <w:sz w:val="21"/>
          <w:szCs w:val="21"/>
          <w:highlight w:val="none"/>
        </w:rPr>
      </w:pPr>
      <w:r>
        <w:rPr>
          <w:rFonts w:hint="eastAsia"/>
          <w:sz w:val="21"/>
          <w:szCs w:val="21"/>
          <w:highlight w:val="none"/>
        </w:rPr>
        <w:t>（三十二）、2024年10月10日，我公司公告了《博时恒生港股通高股息率交易型开放式指数证券投资基金暂停申购、赎回业务的公告》；</w:t>
      </w:r>
    </w:p>
    <w:p w14:paraId="07E42DF3">
      <w:pPr>
        <w:pStyle w:val="8"/>
        <w:spacing w:before="0" w:beforeAutospacing="0" w:after="0" w:afterAutospacing="0" w:line="360" w:lineRule="auto"/>
        <w:ind w:firstLine="420"/>
        <w:rPr>
          <w:sz w:val="21"/>
          <w:szCs w:val="21"/>
          <w:highlight w:val="none"/>
        </w:rPr>
      </w:pPr>
      <w:r>
        <w:rPr>
          <w:rFonts w:hint="eastAsia"/>
          <w:sz w:val="21"/>
          <w:szCs w:val="21"/>
          <w:highlight w:val="none"/>
        </w:rPr>
        <w:t>（三十三）、2024年9月30日，我公司公告了《博时恒生港股通高股息率交易型开放式指数证券投资基金更新招募说明书》；</w:t>
      </w:r>
    </w:p>
    <w:p w14:paraId="3DD8B587">
      <w:pPr>
        <w:pStyle w:val="8"/>
        <w:spacing w:before="0" w:beforeAutospacing="0" w:after="0" w:afterAutospacing="0" w:line="360" w:lineRule="auto"/>
        <w:ind w:firstLine="420"/>
        <w:rPr>
          <w:sz w:val="21"/>
          <w:szCs w:val="21"/>
          <w:highlight w:val="none"/>
        </w:rPr>
      </w:pPr>
      <w:r>
        <w:rPr>
          <w:rFonts w:hint="eastAsia"/>
          <w:sz w:val="21"/>
          <w:szCs w:val="21"/>
          <w:highlight w:val="none"/>
        </w:rPr>
        <w:t>（三十四）、2024年9月25日，我公司公告了《博时基金管理有限公司关于旗下基金持有的长期停牌股票调整估值方法的公告-20240925》；</w:t>
      </w:r>
    </w:p>
    <w:p w14:paraId="2D612225">
      <w:pPr>
        <w:pStyle w:val="8"/>
        <w:spacing w:before="0" w:beforeAutospacing="0" w:after="0" w:afterAutospacing="0" w:line="360" w:lineRule="auto"/>
        <w:ind w:firstLine="420"/>
        <w:rPr>
          <w:sz w:val="21"/>
          <w:szCs w:val="21"/>
          <w:highlight w:val="none"/>
        </w:rPr>
      </w:pPr>
      <w:r>
        <w:rPr>
          <w:rFonts w:hint="eastAsia"/>
          <w:sz w:val="21"/>
          <w:szCs w:val="21"/>
          <w:highlight w:val="none"/>
        </w:rPr>
        <w:t>（三十五）、2024年9月21日，我公司公告了《博时基金管理有限公司关于董事会成员变更的公告》；</w:t>
      </w:r>
    </w:p>
    <w:p w14:paraId="54BA55F3">
      <w:pPr>
        <w:pStyle w:val="8"/>
        <w:spacing w:before="0" w:beforeAutospacing="0" w:after="0" w:afterAutospacing="0" w:line="360" w:lineRule="auto"/>
        <w:ind w:firstLine="420"/>
        <w:rPr>
          <w:sz w:val="21"/>
          <w:szCs w:val="21"/>
          <w:highlight w:val="none"/>
        </w:rPr>
      </w:pPr>
      <w:r>
        <w:rPr>
          <w:rFonts w:hint="eastAsia"/>
          <w:sz w:val="21"/>
          <w:szCs w:val="21"/>
          <w:highlight w:val="none"/>
        </w:rPr>
        <w:t>（三十六）、2024年9月13日，我公司公告了《博时恒生港股通高股息率交易型开放式指数证券投资基金暂停申购、赎回业务的公告》；</w:t>
      </w:r>
    </w:p>
    <w:p w14:paraId="5A31D8D7">
      <w:pPr>
        <w:pStyle w:val="8"/>
        <w:spacing w:before="0" w:beforeAutospacing="0" w:after="0" w:afterAutospacing="0" w:line="360" w:lineRule="auto"/>
        <w:ind w:firstLine="420"/>
        <w:rPr>
          <w:sz w:val="21"/>
          <w:szCs w:val="21"/>
          <w:highlight w:val="none"/>
        </w:rPr>
      </w:pPr>
      <w:r>
        <w:rPr>
          <w:rFonts w:hint="eastAsia"/>
          <w:sz w:val="21"/>
          <w:szCs w:val="21"/>
          <w:highlight w:val="none"/>
        </w:rPr>
        <w:t>（三十七）、2024年9月6日，我公司公告了《博时基金管理有限公司关于旗下部分</w:t>
      </w:r>
      <w:bookmarkStart w:id="193" w:name="chapter_level1_27_3499_section_1_end"/>
      <w:bookmarkEnd w:id="193"/>
      <w:r>
        <w:rPr>
          <w:rFonts w:hint="eastAsia"/>
          <w:sz w:val="21"/>
          <w:szCs w:val="21"/>
          <w:highlight w:val="none"/>
        </w:rPr>
        <w:t>上海证券交易所ETF暂停申购、赎回业务的公告》。</w:t>
      </w:r>
      <w:bookmarkStart w:id="194" w:name="field_0_bsrevealinfo_1_end"/>
      <w:bookmarkEnd w:id="194"/>
      <w:r>
        <w:rPr>
          <w:rFonts w:hint="eastAsia"/>
          <w:sz w:val="21"/>
          <w:szCs w:val="21"/>
          <w:highlight w:val="none"/>
        </w:rPr>
        <w:t xml:space="preserve">  </w:t>
      </w:r>
    </w:p>
    <w:p w14:paraId="3C00D5D7">
      <w:pPr>
        <w:widowControl/>
        <w:jc w:val="left"/>
        <w:rPr>
          <w:rFonts w:ascii="宋体" w:hAnsi="宋体" w:eastAsia="宋体"/>
          <w:highlight w:val="none"/>
        </w:rPr>
      </w:pPr>
      <w:r>
        <w:rPr>
          <w:rFonts w:ascii="宋体" w:hAnsi="宋体" w:eastAsia="宋体"/>
          <w:highlight w:val="none"/>
        </w:rPr>
        <w:br w:type="page"/>
      </w:r>
    </w:p>
    <w:p w14:paraId="0A0CA585">
      <w:pPr>
        <w:pStyle w:val="2"/>
        <w:jc w:val="center"/>
        <w:rPr>
          <w:rFonts w:ascii="宋体" w:hAnsi="宋体" w:eastAsia="宋体"/>
          <w:sz w:val="30"/>
          <w:highlight w:val="none"/>
        </w:rPr>
      </w:pPr>
      <w:bookmarkStart w:id="195" w:name="_Toc207933766"/>
      <w:bookmarkStart w:id="196" w:name="chapter_level1_28_77"/>
      <w:r>
        <w:rPr>
          <w:rFonts w:hint="eastAsia" w:ascii="宋体" w:hAnsi="宋体" w:eastAsia="宋体"/>
          <w:sz w:val="30"/>
          <w:highlight w:val="none"/>
        </w:rPr>
        <w:t>第二十五部分  招募说明书的存放及查阅方式</w:t>
      </w:r>
      <w:bookmarkEnd w:id="195"/>
      <w:bookmarkEnd w:id="196"/>
    </w:p>
    <w:p w14:paraId="70B80220">
      <w:pPr>
        <w:pStyle w:val="8"/>
        <w:spacing w:before="0" w:beforeAutospacing="0" w:after="0" w:afterAutospacing="0" w:line="360" w:lineRule="auto"/>
        <w:ind w:firstLine="420"/>
        <w:rPr>
          <w:sz w:val="21"/>
          <w:szCs w:val="21"/>
          <w:highlight w:val="none"/>
        </w:rPr>
      </w:pPr>
      <w:bookmarkStart w:id="197" w:name="chapter_level1_28_77_section_1"/>
      <w:bookmarkEnd w:id="197"/>
      <w:r>
        <w:rPr>
          <w:rFonts w:hint="eastAsia"/>
          <w:sz w:val="21"/>
          <w:szCs w:val="21"/>
          <w:highlight w:val="none"/>
        </w:rPr>
        <w:t xml:space="preserve">依法必须披露的信息发布后，基金管理人、基金托管人应当按照相关法律法规规定将信息置备于公司住所、基金上市交易的证券交易所，以供社会公众查阅、复制。投资人可在办公时间查阅；投资人在支付工本费后，可在合理时间内取得上述文件复制件或复印件。对投资人按此种方式所获得的文件及其复印件，基金管理人保证文本的内容与所公告的内容完全一致。  </w:t>
      </w:r>
    </w:p>
    <w:p w14:paraId="042FFA31">
      <w:pPr>
        <w:pStyle w:val="8"/>
        <w:spacing w:before="0" w:beforeAutospacing="0" w:after="0" w:afterAutospacing="0" w:line="360" w:lineRule="auto"/>
        <w:ind w:firstLine="420"/>
        <w:rPr>
          <w:sz w:val="21"/>
          <w:szCs w:val="21"/>
          <w:highlight w:val="none"/>
        </w:rPr>
      </w:pPr>
      <w:bookmarkStart w:id="198" w:name="chapter_level1_28_77_section_1_end"/>
      <w:bookmarkEnd w:id="198"/>
      <w:r>
        <w:rPr>
          <w:rFonts w:hint="eastAsia"/>
          <w:sz w:val="21"/>
          <w:szCs w:val="21"/>
          <w:highlight w:val="none"/>
        </w:rPr>
        <w:t xml:space="preserve">投资人还可以直接登录基金管理人的网站（www.bosera.com）查阅和下载招募说明书。 </w:t>
      </w:r>
    </w:p>
    <w:p w14:paraId="7927CFA9">
      <w:pPr>
        <w:widowControl/>
        <w:jc w:val="left"/>
        <w:rPr>
          <w:rFonts w:ascii="宋体" w:hAnsi="宋体" w:eastAsia="宋体"/>
          <w:highlight w:val="none"/>
        </w:rPr>
      </w:pPr>
      <w:r>
        <w:rPr>
          <w:rFonts w:ascii="宋体" w:hAnsi="宋体" w:eastAsia="宋体"/>
          <w:highlight w:val="none"/>
        </w:rPr>
        <w:br w:type="page"/>
      </w:r>
    </w:p>
    <w:p w14:paraId="5D2120D6">
      <w:pPr>
        <w:pStyle w:val="2"/>
        <w:jc w:val="center"/>
        <w:rPr>
          <w:rFonts w:ascii="宋体" w:hAnsi="宋体" w:eastAsia="宋体"/>
          <w:sz w:val="30"/>
          <w:highlight w:val="none"/>
        </w:rPr>
      </w:pPr>
      <w:bookmarkStart w:id="199" w:name="chapter_level1_29_332"/>
      <w:bookmarkStart w:id="200" w:name="_Toc207933767"/>
      <w:r>
        <w:rPr>
          <w:rFonts w:hint="eastAsia" w:ascii="宋体" w:hAnsi="宋体" w:eastAsia="宋体"/>
          <w:sz w:val="30"/>
          <w:highlight w:val="none"/>
        </w:rPr>
        <w:t>第二十六部分  备查文件</w:t>
      </w:r>
      <w:bookmarkEnd w:id="199"/>
      <w:bookmarkEnd w:id="200"/>
    </w:p>
    <w:p w14:paraId="3D6919F3">
      <w:pPr>
        <w:pStyle w:val="8"/>
        <w:spacing w:before="0" w:beforeAutospacing="0" w:after="0" w:afterAutospacing="0" w:line="360" w:lineRule="auto"/>
        <w:ind w:firstLine="420"/>
        <w:rPr>
          <w:sz w:val="21"/>
          <w:szCs w:val="21"/>
          <w:highlight w:val="none"/>
        </w:rPr>
      </w:pPr>
      <w:bookmarkStart w:id="201" w:name="chapter_level1_29_332_section_1"/>
      <w:bookmarkEnd w:id="201"/>
      <w:r>
        <w:rPr>
          <w:rFonts w:hint="eastAsia"/>
          <w:sz w:val="21"/>
          <w:szCs w:val="21"/>
          <w:highlight w:val="none"/>
        </w:rPr>
        <w:t xml:space="preserve">以下备查文件存放在基金管理人的办公场所，在办公时间可供免费查阅。  </w:t>
      </w:r>
    </w:p>
    <w:p w14:paraId="6B200677">
      <w:pPr>
        <w:pStyle w:val="8"/>
        <w:spacing w:before="0" w:beforeAutospacing="0" w:after="0" w:afterAutospacing="0" w:line="360" w:lineRule="auto"/>
        <w:ind w:firstLine="420"/>
        <w:rPr>
          <w:sz w:val="21"/>
          <w:szCs w:val="21"/>
          <w:highlight w:val="none"/>
        </w:rPr>
      </w:pPr>
      <w:r>
        <w:rPr>
          <w:rFonts w:hint="eastAsia"/>
          <w:sz w:val="21"/>
          <w:szCs w:val="21"/>
          <w:highlight w:val="none"/>
        </w:rPr>
        <w:t>（一）中国证监会准予</w:t>
      </w:r>
      <w:bookmarkStart w:id="202" w:name="field_0_productfullname_16"/>
      <w:r>
        <w:rPr>
          <w:rFonts w:hint="eastAsia"/>
          <w:sz w:val="21"/>
          <w:szCs w:val="21"/>
          <w:highlight w:val="none"/>
        </w:rPr>
        <w:t>博时恒生港股通高股息率交易型开放式指数证券投资基金</w:t>
      </w:r>
      <w:bookmarkEnd w:id="202"/>
      <w:r>
        <w:rPr>
          <w:rFonts w:hint="eastAsia"/>
          <w:sz w:val="21"/>
          <w:szCs w:val="21"/>
          <w:highlight w:val="none"/>
        </w:rPr>
        <w:t xml:space="preserve">注册的文件 </w:t>
      </w:r>
    </w:p>
    <w:p w14:paraId="456FC752">
      <w:pPr>
        <w:pStyle w:val="8"/>
        <w:spacing w:before="0" w:beforeAutospacing="0" w:after="0" w:afterAutospacing="0" w:line="360" w:lineRule="auto"/>
        <w:ind w:firstLine="420"/>
        <w:rPr>
          <w:sz w:val="21"/>
          <w:szCs w:val="21"/>
          <w:highlight w:val="none"/>
        </w:rPr>
      </w:pPr>
      <w:r>
        <w:rPr>
          <w:rFonts w:hint="eastAsia"/>
          <w:sz w:val="21"/>
          <w:szCs w:val="21"/>
          <w:highlight w:val="none"/>
        </w:rPr>
        <w:t>（二）《</w:t>
      </w:r>
      <w:bookmarkStart w:id="203" w:name="field_0_productfullname_17"/>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203"/>
      <w:r>
        <w:rPr>
          <w:rFonts w:hint="eastAsia"/>
          <w:sz w:val="21"/>
          <w:szCs w:val="21"/>
          <w:highlight w:val="none"/>
        </w:rPr>
        <w:t xml:space="preserve">基金合同》 </w:t>
      </w:r>
    </w:p>
    <w:p w14:paraId="7305A61A">
      <w:pPr>
        <w:pStyle w:val="8"/>
        <w:spacing w:before="0" w:beforeAutospacing="0" w:after="0" w:afterAutospacing="0" w:line="360" w:lineRule="auto"/>
        <w:ind w:firstLine="420"/>
        <w:rPr>
          <w:sz w:val="21"/>
          <w:szCs w:val="21"/>
          <w:highlight w:val="none"/>
        </w:rPr>
      </w:pPr>
      <w:r>
        <w:rPr>
          <w:rFonts w:hint="eastAsia"/>
          <w:sz w:val="21"/>
          <w:szCs w:val="21"/>
          <w:highlight w:val="none"/>
        </w:rPr>
        <w:t>（三）《</w:t>
      </w:r>
      <w:bookmarkStart w:id="204" w:name="field_0_productfullname_18"/>
      <w:r>
        <w:rPr>
          <w:rFonts w:hint="eastAsia"/>
          <w:sz w:val="21"/>
          <w:szCs w:val="21"/>
          <w:highlight w:val="none"/>
        </w:rPr>
        <w:t>博时恒生港股通</w:t>
      </w:r>
      <w:r>
        <w:rPr>
          <w:rFonts w:hint="eastAsia"/>
          <w:sz w:val="21"/>
          <w:szCs w:val="21"/>
          <w:highlight w:val="none"/>
          <w:lang w:eastAsia="zh-CN"/>
        </w:rPr>
        <w:t>红利</w:t>
      </w:r>
      <w:r>
        <w:rPr>
          <w:rFonts w:hint="eastAsia"/>
          <w:sz w:val="21"/>
          <w:szCs w:val="21"/>
          <w:highlight w:val="none"/>
        </w:rPr>
        <w:t>交易型开放式指数证券投资基金</w:t>
      </w:r>
      <w:bookmarkEnd w:id="204"/>
      <w:r>
        <w:rPr>
          <w:rFonts w:hint="eastAsia"/>
          <w:sz w:val="21"/>
          <w:szCs w:val="21"/>
          <w:highlight w:val="none"/>
        </w:rPr>
        <w:t xml:space="preserve">托管协议》 </w:t>
      </w:r>
    </w:p>
    <w:p w14:paraId="780E3E87">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（四）基金管理人业务资格批件、营业执照 </w:t>
      </w:r>
    </w:p>
    <w:p w14:paraId="4B89E29B">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（五）基金托管人业务资格批件、营业执照 </w:t>
      </w:r>
    </w:p>
    <w:p w14:paraId="6926B6CC">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（六）法律意见书 </w:t>
      </w:r>
    </w:p>
    <w:p w14:paraId="5841B47E">
      <w:pPr>
        <w:pStyle w:val="8"/>
        <w:spacing w:before="0" w:beforeAutospacing="0" w:after="0" w:afterAutospacing="0" w:line="360" w:lineRule="auto"/>
        <w:ind w:firstLine="420"/>
        <w:rPr>
          <w:sz w:val="21"/>
          <w:szCs w:val="21"/>
          <w:highlight w:val="none"/>
        </w:rPr>
      </w:pPr>
      <w:r>
        <w:rPr>
          <w:rFonts w:hint="eastAsia"/>
          <w:sz w:val="21"/>
          <w:szCs w:val="21"/>
          <w:highlight w:val="none"/>
        </w:rPr>
        <w:t xml:space="preserve">（七）中国证监会要求的其他文件 </w:t>
      </w:r>
    </w:p>
    <w:p w14:paraId="320C5511">
      <w:pPr>
        <w:pStyle w:val="8"/>
        <w:spacing w:before="0" w:beforeAutospacing="0" w:after="0" w:afterAutospacing="0" w:line="360" w:lineRule="auto"/>
        <w:ind w:firstLine="420"/>
        <w:rPr>
          <w:sz w:val="21"/>
          <w:szCs w:val="21"/>
          <w:highlight w:val="none"/>
        </w:rPr>
      </w:pPr>
      <w:bookmarkStart w:id="205" w:name="chapter_level1_29_332_section_1_end"/>
      <w:bookmarkEnd w:id="205"/>
      <w:r>
        <w:rPr>
          <w:rFonts w:hint="eastAsia"/>
          <w:sz w:val="21"/>
          <w:szCs w:val="21"/>
          <w:highlight w:val="none"/>
        </w:rPr>
        <w:t xml:space="preserve">查阅方式：投资者可在营业时间免费查阅，也可按工本费购买复印件。 </w:t>
      </w:r>
    </w:p>
    <w:p w14:paraId="77AF8903">
      <w:pPr>
        <w:pStyle w:val="8"/>
        <w:spacing w:before="0" w:beforeAutospacing="0" w:after="0" w:afterAutospacing="0" w:line="360" w:lineRule="auto"/>
        <w:ind w:firstLine="420"/>
        <w:rPr>
          <w:sz w:val="21"/>
          <w:szCs w:val="21"/>
          <w:highlight w:val="none"/>
        </w:rPr>
      </w:pPr>
      <w:bookmarkStart w:id="206" w:name="chapter_level1_29_332_section_2"/>
      <w:bookmarkEnd w:id="206"/>
    </w:p>
    <w:p w14:paraId="42970F2A">
      <w:pPr>
        <w:pStyle w:val="8"/>
        <w:spacing w:before="0" w:beforeAutospacing="0" w:after="0" w:afterAutospacing="0" w:line="360" w:lineRule="auto"/>
        <w:ind w:firstLine="420"/>
        <w:rPr>
          <w:sz w:val="21"/>
          <w:szCs w:val="21"/>
          <w:highlight w:val="none"/>
        </w:rPr>
      </w:pPr>
    </w:p>
    <w:p w14:paraId="07F9C667">
      <w:pPr>
        <w:pStyle w:val="8"/>
        <w:spacing w:before="0" w:beforeAutospacing="0" w:after="0" w:afterAutospacing="0" w:line="360" w:lineRule="auto"/>
        <w:ind w:firstLine="420"/>
        <w:rPr>
          <w:sz w:val="21"/>
          <w:szCs w:val="21"/>
          <w:highlight w:val="none"/>
        </w:rPr>
      </w:pPr>
    </w:p>
    <w:p w14:paraId="55CE14DE">
      <w:pPr>
        <w:pStyle w:val="8"/>
        <w:spacing w:before="0" w:beforeAutospacing="0" w:after="0" w:afterAutospacing="0" w:line="360" w:lineRule="auto"/>
        <w:ind w:firstLine="420"/>
        <w:jc w:val="right"/>
        <w:rPr>
          <w:sz w:val="21"/>
          <w:szCs w:val="21"/>
          <w:highlight w:val="none"/>
        </w:rPr>
      </w:pPr>
      <w:bookmarkStart w:id="207" w:name="field_0_managerorgfullname_5"/>
      <w:r>
        <w:rPr>
          <w:rFonts w:hint="eastAsia"/>
          <w:sz w:val="21"/>
          <w:szCs w:val="21"/>
          <w:highlight w:val="none"/>
        </w:rPr>
        <w:t>博时基金管理有限公司</w:t>
      </w:r>
      <w:bookmarkEnd w:id="207"/>
      <w:r>
        <w:rPr>
          <w:rFonts w:hint="eastAsia"/>
          <w:sz w:val="21"/>
          <w:szCs w:val="21"/>
          <w:highlight w:val="none"/>
        </w:rPr>
        <w:t xml:space="preserve">  </w:t>
      </w:r>
    </w:p>
    <w:p w14:paraId="7A35347F">
      <w:pPr>
        <w:pStyle w:val="8"/>
        <w:spacing w:before="0" w:beforeAutospacing="0" w:after="0" w:afterAutospacing="0" w:line="360" w:lineRule="auto"/>
        <w:ind w:firstLine="420"/>
        <w:jc w:val="right"/>
        <w:rPr>
          <w:sz w:val="21"/>
          <w:szCs w:val="21"/>
          <w:highlight w:val="none"/>
        </w:rPr>
      </w:pPr>
      <w:bookmarkStart w:id="208" w:name="chapter_level1_29_332_section_2_end"/>
      <w:bookmarkEnd w:id="208"/>
      <w:bookmarkStart w:id="209" w:name="field_0_commitmenttime_1"/>
      <w:r>
        <w:rPr>
          <w:sz w:val="21"/>
          <w:szCs w:val="21"/>
          <w:highlight w:val="none"/>
        </w:rPr>
        <w:t>202</w:t>
      </w:r>
      <w:r>
        <w:rPr>
          <w:rFonts w:hint="eastAsia"/>
          <w:sz w:val="21"/>
          <w:szCs w:val="21"/>
          <w:highlight w:val="none"/>
          <w:lang w:val="en-US" w:eastAsia="zh-CN"/>
        </w:rPr>
        <w:t>6</w:t>
      </w:r>
      <w:r>
        <w:rPr>
          <w:sz w:val="21"/>
          <w:szCs w:val="21"/>
          <w:highlight w:val="none"/>
        </w:rPr>
        <w:t>年</w:t>
      </w:r>
      <w:r>
        <w:rPr>
          <w:rFonts w:hint="eastAsia"/>
          <w:sz w:val="21"/>
          <w:szCs w:val="21"/>
          <w:highlight w:val="none"/>
          <w:lang w:val="en-US" w:eastAsia="zh-CN"/>
        </w:rPr>
        <w:t>9</w:t>
      </w:r>
      <w:r>
        <w:rPr>
          <w:sz w:val="21"/>
          <w:szCs w:val="21"/>
          <w:highlight w:val="none"/>
        </w:rPr>
        <w:t>月</w:t>
      </w:r>
      <w:r>
        <w:rPr>
          <w:rFonts w:hint="eastAsia"/>
          <w:sz w:val="21"/>
          <w:szCs w:val="21"/>
          <w:highlight w:val="none"/>
          <w:lang w:val="en-US" w:eastAsia="zh-CN"/>
        </w:rPr>
        <w:t>14</w:t>
      </w:r>
      <w:r>
        <w:rPr>
          <w:sz w:val="21"/>
          <w:szCs w:val="21"/>
          <w:highlight w:val="none"/>
        </w:rPr>
        <w:t>日</w:t>
      </w:r>
      <w:bookmarkEnd w:id="209"/>
      <w:r>
        <w:rPr>
          <w:rFonts w:hint="eastAsia"/>
          <w:sz w:val="21"/>
          <w:szCs w:val="21"/>
          <w:highlight w:val="none"/>
        </w:rPr>
        <w:t xml:space="preserve">  </w:t>
      </w:r>
    </w:p>
    <w:p w14:paraId="4DFE2F74">
      <w:pPr>
        <w:rPr>
          <w:rFonts w:ascii="宋体" w:hAnsi="宋体" w:eastAsia="宋体"/>
          <w:highlight w:val="none"/>
        </w:rPr>
      </w:pPr>
      <w:bookmarkStart w:id="210" w:name="end"/>
      <w:bookmarkEnd w:id="210"/>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26F8D">
    <w:pPr>
      <w:pStyle w:val="5"/>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161</w:t>
    </w:r>
    <w:r>
      <w:fldChar w:fldCharType="end"/>
    </w:r>
    <w:r>
      <w:rPr>
        <w:rFonts w:hint="eastAsia"/>
      </w:rPr>
      <w:t>页 共</w:t>
    </w:r>
    <w:r>
      <w:fldChar w:fldCharType="begin"/>
    </w:r>
    <w:r>
      <w:instrText xml:space="preserve"> NumPages \* MERGEFORMAT </w:instrText>
    </w:r>
    <w:r>
      <w:fldChar w:fldCharType="separate"/>
    </w:r>
    <w:r>
      <w:t>161</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A71DD">
    <w:pPr>
      <w:pStyle w:val="6"/>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71EE3AF8">
    <w:pPr>
      <w:pStyle w:val="6"/>
      <w:jc w:val="right"/>
    </w:pPr>
    <w:r>
      <w:rPr>
        <w:rFonts w:hint="eastAsia"/>
      </w:rPr>
      <w:t>博时恒生港股通</w:t>
    </w:r>
    <w:r>
      <w:rPr>
        <w:rFonts w:hint="eastAsia"/>
        <w:lang w:eastAsia="zh-CN"/>
      </w:rPr>
      <w:t>红利</w:t>
    </w:r>
    <w:r>
      <w:rPr>
        <w:rFonts w:hint="eastAsia"/>
      </w:rPr>
      <w:t>交易型开放式指数证券投资基金更新招募说明书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trackRevisions w:val="1"/>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58C8"/>
    <w:rsid w:val="000B58C8"/>
    <w:rsid w:val="004057B4"/>
    <w:rsid w:val="00677DB7"/>
    <w:rsid w:val="00EB6A94"/>
    <w:rsid w:val="02467D0C"/>
    <w:rsid w:val="05BA56F5"/>
    <w:rsid w:val="05E02F2E"/>
    <w:rsid w:val="070F525A"/>
    <w:rsid w:val="0DF71E95"/>
    <w:rsid w:val="0F540D62"/>
    <w:rsid w:val="114B4CEC"/>
    <w:rsid w:val="1C281910"/>
    <w:rsid w:val="1C743C65"/>
    <w:rsid w:val="1D626D77"/>
    <w:rsid w:val="21DC16E3"/>
    <w:rsid w:val="2316449E"/>
    <w:rsid w:val="26CF67C1"/>
    <w:rsid w:val="2BC64CC5"/>
    <w:rsid w:val="2C354361"/>
    <w:rsid w:val="2D276465"/>
    <w:rsid w:val="2E5F2659"/>
    <w:rsid w:val="2FD67A0A"/>
    <w:rsid w:val="3152011F"/>
    <w:rsid w:val="36B77FD3"/>
    <w:rsid w:val="383D3652"/>
    <w:rsid w:val="3BAC3BF0"/>
    <w:rsid w:val="3E9E36DB"/>
    <w:rsid w:val="41896292"/>
    <w:rsid w:val="42605A17"/>
    <w:rsid w:val="447370B2"/>
    <w:rsid w:val="4A79578F"/>
    <w:rsid w:val="4AA8226C"/>
    <w:rsid w:val="4C8119D0"/>
    <w:rsid w:val="51CB0999"/>
    <w:rsid w:val="56B37215"/>
    <w:rsid w:val="57830B6F"/>
    <w:rsid w:val="57856723"/>
    <w:rsid w:val="5C145F68"/>
    <w:rsid w:val="5C8F2195"/>
    <w:rsid w:val="5D3046F0"/>
    <w:rsid w:val="5DC0655D"/>
    <w:rsid w:val="6025124B"/>
    <w:rsid w:val="60B55B5A"/>
    <w:rsid w:val="64CC53EB"/>
    <w:rsid w:val="65247755"/>
    <w:rsid w:val="66A9277E"/>
    <w:rsid w:val="6830589C"/>
    <w:rsid w:val="6A6B6F47"/>
    <w:rsid w:val="6A9C0B12"/>
    <w:rsid w:val="6BD77E7D"/>
    <w:rsid w:val="6BDF03B7"/>
    <w:rsid w:val="6BEE3C03"/>
    <w:rsid w:val="6D8668BF"/>
    <w:rsid w:val="760D04BC"/>
    <w:rsid w:val="78C5192F"/>
    <w:rsid w:val="7A392B15"/>
    <w:rsid w:val="7DC06BDF"/>
    <w:rsid w:val="7F072360"/>
    <w:rsid w:val="7F09315F"/>
    <w:rsid w:val="7F440F59"/>
    <w:rsid w:val="7F8055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6"/>
    <w:unhideWhenUsed/>
    <w:qFormat/>
    <w:uiPriority w:val="99"/>
    <w:pPr>
      <w:tabs>
        <w:tab w:val="center" w:pos="4153"/>
        <w:tab w:val="right" w:pos="8306"/>
      </w:tabs>
      <w:snapToGrid w:val="0"/>
      <w:jc w:val="left"/>
    </w:pPr>
    <w:rPr>
      <w:sz w:val="18"/>
      <w:szCs w:val="18"/>
    </w:rPr>
  </w:style>
  <w:style w:type="paragraph" w:styleId="6">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2"/>
    <w:basedOn w:val="1"/>
    <w:next w:val="1"/>
    <w:unhideWhenUsed/>
    <w:qFormat/>
    <w:uiPriority w:val="39"/>
    <w:pPr>
      <w:ind w:left="420" w:leftChars="200"/>
    </w:p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bCs/>
    </w:rPr>
  </w:style>
  <w:style w:type="character" w:styleId="13">
    <w:name w:val="Hyperlink"/>
    <w:basedOn w:val="11"/>
    <w:unhideWhenUsed/>
    <w:qFormat/>
    <w:uiPriority w:val="99"/>
    <w:rPr>
      <w:color w:val="0000FF"/>
      <w:u w:val="single"/>
    </w:rPr>
  </w:style>
  <w:style w:type="character" w:customStyle="1" w:styleId="14">
    <w:name w:val="标题 2 Char"/>
    <w:basedOn w:val="11"/>
    <w:link w:val="2"/>
    <w:qFormat/>
    <w:uiPriority w:val="9"/>
    <w:rPr>
      <w:rFonts w:asciiTheme="majorHAnsi" w:hAnsiTheme="majorHAnsi" w:eastAsiaTheme="majorEastAsia" w:cstheme="majorBidi"/>
      <w:b/>
      <w:bCs/>
      <w:sz w:val="32"/>
      <w:szCs w:val="32"/>
    </w:rPr>
  </w:style>
  <w:style w:type="character" w:customStyle="1" w:styleId="15">
    <w:name w:val="页眉 Char"/>
    <w:basedOn w:val="11"/>
    <w:link w:val="6"/>
    <w:qFormat/>
    <w:uiPriority w:val="99"/>
    <w:rPr>
      <w:sz w:val="18"/>
      <w:szCs w:val="18"/>
    </w:rPr>
  </w:style>
  <w:style w:type="character" w:customStyle="1" w:styleId="16">
    <w:name w:val="页脚 Char"/>
    <w:basedOn w:val="11"/>
    <w:link w:val="5"/>
    <w:qFormat/>
    <w:uiPriority w:val="99"/>
    <w:rPr>
      <w:sz w:val="18"/>
      <w:szCs w:val="18"/>
    </w:rPr>
  </w:style>
  <w:style w:type="character" w:customStyle="1" w:styleId="17">
    <w:name w:val="批注框文本 Char"/>
    <w:basedOn w:val="11"/>
    <w:link w:val="4"/>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162</Pages>
  <Words>19590</Words>
  <Characters>111663</Characters>
  <Lines>930</Lines>
  <Paragraphs>261</Paragraphs>
  <TotalTime>327</TotalTime>
  <ScaleCrop>false</ScaleCrop>
  <LinksUpToDate>false</LinksUpToDate>
  <CharactersWithSpaces>130992</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2025-09-04T19:02:00Z</dcterms:created>
  <dc:creator>BSKMadminDev</dc:creator>
  <cp:lastModifiedBy>李昌幸</cp:lastModifiedBy>
  <dcterms:modified xsi:type="dcterms:W3CDTF">2026-09-11T08:45:00Z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E7B06A2CE23D4CFCBEC88709FFCF2CB6</vt:lpwstr>
  </property>
</Properties>
</file>