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BB2B6C">
      <w:pPr>
        <w:widowControl/>
        <w:jc w:val="center"/>
        <w:rPr>
          <w:rFonts w:cs="宋体" w:asciiTheme="minorEastAsia" w:hAnsiTheme="minorEastAsia" w:eastAsiaTheme="minorEastAsia"/>
          <w:b/>
          <w:kern w:val="0"/>
          <w:sz w:val="30"/>
          <w:szCs w:val="30"/>
        </w:rPr>
      </w:pPr>
      <w:bookmarkStart w:id="6" w:name="_GoBack"/>
      <w:bookmarkEnd w:id="6"/>
      <w:r>
        <w:rPr>
          <w:rFonts w:hint="eastAsia" w:cs="宋体" w:asciiTheme="minorEastAsia" w:hAnsiTheme="minorEastAsia" w:eastAsiaTheme="minorEastAsia"/>
          <w:b/>
          <w:kern w:val="0"/>
          <w:sz w:val="30"/>
          <w:szCs w:val="30"/>
          <w:lang w:eastAsia="zh-CN"/>
        </w:rPr>
        <w:t>博时国证粮食产业交易型开放式指数证券投资基金</w:t>
      </w:r>
      <w:r>
        <w:rPr>
          <w:rFonts w:hint="eastAsia" w:cs="宋体" w:asciiTheme="minorEastAsia" w:hAnsiTheme="minorEastAsia" w:eastAsiaTheme="minorEastAsia"/>
          <w:b/>
          <w:kern w:val="0"/>
          <w:sz w:val="30"/>
          <w:szCs w:val="30"/>
        </w:rPr>
        <w:t>开放日常申购、赎回业务的公告</w:t>
      </w:r>
    </w:p>
    <w:p w14:paraId="23E7A819">
      <w:pPr>
        <w:spacing w:line="560" w:lineRule="exact"/>
        <w:jc w:val="center"/>
        <w:rPr>
          <w:rFonts w:asciiTheme="minorEastAsia" w:hAnsiTheme="minorEastAsia" w:eastAsiaTheme="minorEastAsia"/>
          <w:color w:val="000000"/>
          <w:sz w:val="24"/>
          <w:szCs w:val="24"/>
          <w:highlight w:val="yellow"/>
        </w:rPr>
      </w:pPr>
      <w:r>
        <w:rPr>
          <w:rFonts w:asciiTheme="minorEastAsia" w:hAnsiTheme="minorEastAsia" w:eastAsiaTheme="minorEastAsia"/>
          <w:color w:val="000000"/>
          <w:sz w:val="24"/>
          <w:szCs w:val="24"/>
        </w:rPr>
        <w:t>公告送出日期：</w:t>
      </w:r>
      <w:r>
        <w:rPr>
          <w:rFonts w:hint="eastAsia" w:cs="Times New Roman" w:asciiTheme="minorEastAsia" w:hAnsiTheme="minorEastAsia" w:eastAsiaTheme="minorEastAsia"/>
          <w:bCs w:val="0"/>
          <w:color w:val="000000"/>
          <w:sz w:val="24"/>
          <w:szCs w:val="24"/>
          <w:lang w:eastAsia="zh-CN"/>
        </w:rPr>
        <w:t>2026年5月27日</w:t>
      </w:r>
    </w:p>
    <w:p w14:paraId="26024B98">
      <w:pPr>
        <w:pStyle w:val="2"/>
        <w:spacing w:line="560" w:lineRule="exact"/>
        <w:rPr>
          <w:rFonts w:asciiTheme="minorEastAsia" w:hAnsiTheme="minorEastAsia" w:eastAsiaTheme="minorEastAsia"/>
          <w:bCs w:val="0"/>
          <w:color w:val="000000"/>
          <w:sz w:val="24"/>
          <w:szCs w:val="24"/>
        </w:rPr>
      </w:pPr>
      <w:bookmarkStart w:id="0" w:name="_Toc275961395"/>
      <w:r>
        <w:rPr>
          <w:rFonts w:asciiTheme="minorEastAsia" w:hAnsiTheme="minorEastAsia" w:eastAsiaTheme="minorEastAsia"/>
          <w:bCs w:val="0"/>
          <w:color w:val="000000"/>
          <w:sz w:val="24"/>
          <w:szCs w:val="24"/>
        </w:rPr>
        <w:t>1 公告基本信息</w:t>
      </w:r>
      <w:bookmarkEnd w:id="0"/>
    </w:p>
    <w:tbl>
      <w:tblPr>
        <w:tblStyle w:val="9"/>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2"/>
        <w:gridCol w:w="6137"/>
      </w:tblGrid>
      <w:tr w14:paraId="06542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343E7EAF">
            <w:pPr>
              <w:spacing w:line="56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基金名称</w:t>
            </w:r>
          </w:p>
        </w:tc>
        <w:tc>
          <w:tcPr>
            <w:tcW w:w="6137" w:type="dxa"/>
            <w:vAlign w:val="center"/>
          </w:tcPr>
          <w:p w14:paraId="7B0E142A">
            <w:pPr>
              <w:rPr>
                <w:rFonts w:hint="default" w:asciiTheme="minorEastAsia" w:hAnsiTheme="minorEastAsia" w:eastAsiaTheme="minorEastAsia"/>
                <w:sz w:val="24"/>
                <w:szCs w:val="24"/>
                <w:lang w:eastAsia="zh-CN"/>
              </w:rPr>
            </w:pPr>
            <w:r>
              <w:rPr>
                <w:rFonts w:hint="default" w:asciiTheme="minorEastAsia" w:hAnsiTheme="minorEastAsia" w:eastAsiaTheme="minorEastAsia"/>
                <w:sz w:val="24"/>
                <w:szCs w:val="24"/>
              </w:rPr>
              <w:t>博时国证粮食产业交易型开放式指数证券投资基金</w:t>
            </w:r>
          </w:p>
        </w:tc>
      </w:tr>
      <w:tr w14:paraId="0160D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122ED448">
            <w:pPr>
              <w:spacing w:line="56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基金简称</w:t>
            </w:r>
          </w:p>
        </w:tc>
        <w:tc>
          <w:tcPr>
            <w:tcW w:w="6137" w:type="dxa"/>
            <w:vAlign w:val="center"/>
          </w:tcPr>
          <w:p w14:paraId="4DD749F8">
            <w:pPr>
              <w:rPr>
                <w:rFonts w:hint="default" w:asciiTheme="minorEastAsia" w:hAnsiTheme="minorEastAsia" w:eastAsiaTheme="minorEastAsia"/>
                <w:sz w:val="24"/>
                <w:szCs w:val="24"/>
                <w:lang w:eastAsia="zh-CN"/>
              </w:rPr>
            </w:pPr>
            <w:r>
              <w:rPr>
                <w:rFonts w:hint="default" w:asciiTheme="minorEastAsia" w:hAnsiTheme="minorEastAsia" w:eastAsiaTheme="minorEastAsia"/>
                <w:sz w:val="24"/>
                <w:szCs w:val="24"/>
              </w:rPr>
              <w:t>博时国证粮食产业</w:t>
            </w:r>
            <w:r>
              <w:rPr>
                <w:rFonts w:asciiTheme="minorEastAsia" w:hAnsiTheme="minorEastAsia" w:eastAsiaTheme="minorEastAsia"/>
                <w:sz w:val="24"/>
                <w:szCs w:val="24"/>
              </w:rPr>
              <w:t>ETF</w:t>
            </w:r>
          </w:p>
        </w:tc>
      </w:tr>
      <w:tr w14:paraId="78EC3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5BD58D07">
            <w:pPr>
              <w:spacing w:line="56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基金主代码</w:t>
            </w:r>
          </w:p>
        </w:tc>
        <w:tc>
          <w:tcPr>
            <w:tcW w:w="6137" w:type="dxa"/>
            <w:vAlign w:val="center"/>
          </w:tcPr>
          <w:p w14:paraId="74C431BE">
            <w:pPr>
              <w:rPr>
                <w:rFonts w:hint="default" w:asciiTheme="minorEastAsia" w:hAnsiTheme="minorEastAsia" w:eastAsiaTheme="minorEastAsia"/>
                <w:sz w:val="24"/>
                <w:szCs w:val="24"/>
                <w:lang w:val="en-US" w:eastAsia="zh-CN"/>
              </w:rPr>
            </w:pPr>
            <w:r>
              <w:rPr>
                <w:rFonts w:asciiTheme="minorEastAsia" w:hAnsiTheme="minorEastAsia" w:eastAsiaTheme="minorEastAsia"/>
                <w:sz w:val="24"/>
                <w:szCs w:val="24"/>
              </w:rPr>
              <w:t>159031</w:t>
            </w:r>
          </w:p>
        </w:tc>
      </w:tr>
      <w:tr w14:paraId="1F5BA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6E12564A">
            <w:pPr>
              <w:spacing w:line="56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基金运作方式</w:t>
            </w:r>
          </w:p>
        </w:tc>
        <w:tc>
          <w:tcPr>
            <w:tcW w:w="6137" w:type="dxa"/>
            <w:vAlign w:val="center"/>
          </w:tcPr>
          <w:p w14:paraId="46D2D9FC">
            <w:pPr>
              <w:rPr>
                <w:rFonts w:asciiTheme="minorEastAsia" w:hAnsiTheme="minorEastAsia" w:eastAsiaTheme="minorEastAsia"/>
                <w:sz w:val="24"/>
                <w:szCs w:val="24"/>
              </w:rPr>
            </w:pPr>
            <w:r>
              <w:rPr>
                <w:rFonts w:asciiTheme="minorEastAsia" w:hAnsiTheme="minorEastAsia" w:eastAsiaTheme="minorEastAsia"/>
                <w:sz w:val="24"/>
                <w:szCs w:val="24"/>
              </w:rPr>
              <w:t>交易型开放式</w:t>
            </w:r>
          </w:p>
        </w:tc>
      </w:tr>
      <w:tr w14:paraId="212A1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5877EDE1">
            <w:pPr>
              <w:spacing w:line="56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基金合同生效日</w:t>
            </w:r>
          </w:p>
        </w:tc>
        <w:tc>
          <w:tcPr>
            <w:tcW w:w="6137" w:type="dxa"/>
            <w:vAlign w:val="center"/>
          </w:tcPr>
          <w:p w14:paraId="1A42EDBE">
            <w:pPr>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2026年5月20日</w:t>
            </w:r>
          </w:p>
        </w:tc>
      </w:tr>
      <w:tr w14:paraId="5024F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4F4B7A2F">
            <w:pPr>
              <w:spacing w:line="56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基金管理人名称</w:t>
            </w:r>
          </w:p>
        </w:tc>
        <w:tc>
          <w:tcPr>
            <w:tcW w:w="6137" w:type="dxa"/>
            <w:vAlign w:val="center"/>
          </w:tcPr>
          <w:p w14:paraId="5B2CFE8D">
            <w:pPr>
              <w:rPr>
                <w:rFonts w:asciiTheme="minorEastAsia" w:hAnsiTheme="minorEastAsia" w:eastAsiaTheme="minorEastAsia"/>
                <w:sz w:val="24"/>
                <w:szCs w:val="24"/>
              </w:rPr>
            </w:pPr>
            <w:r>
              <w:rPr>
                <w:rFonts w:asciiTheme="minorEastAsia" w:hAnsiTheme="minorEastAsia" w:eastAsiaTheme="minorEastAsia"/>
                <w:sz w:val="24"/>
                <w:szCs w:val="24"/>
              </w:rPr>
              <w:t>博时基金管理有限公司</w:t>
            </w:r>
          </w:p>
        </w:tc>
      </w:tr>
      <w:tr w14:paraId="49CAF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1B36C3DF">
            <w:pPr>
              <w:spacing w:line="56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基金托管人名称</w:t>
            </w:r>
          </w:p>
        </w:tc>
        <w:tc>
          <w:tcPr>
            <w:tcW w:w="6137" w:type="dxa"/>
            <w:vAlign w:val="center"/>
          </w:tcPr>
          <w:p w14:paraId="663AF91E">
            <w:pPr>
              <w:rPr>
                <w:rFonts w:asciiTheme="minorEastAsia" w:hAnsiTheme="minorEastAsia" w:eastAsiaTheme="minorEastAsia"/>
                <w:sz w:val="24"/>
                <w:szCs w:val="24"/>
              </w:rPr>
            </w:pPr>
            <w:r>
              <w:rPr>
                <w:rFonts w:hint="eastAsia" w:asciiTheme="minorEastAsia" w:hAnsiTheme="minorEastAsia" w:eastAsiaTheme="minorEastAsia"/>
                <w:sz w:val="24"/>
                <w:szCs w:val="24"/>
              </w:rPr>
              <w:t>兴业银行股份有限公司</w:t>
            </w:r>
          </w:p>
        </w:tc>
      </w:tr>
      <w:tr w14:paraId="3FAE4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0CC82EC7">
            <w:pPr>
              <w:spacing w:line="56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基金注册登记机构名称</w:t>
            </w:r>
          </w:p>
        </w:tc>
        <w:tc>
          <w:tcPr>
            <w:tcW w:w="6137" w:type="dxa"/>
            <w:vAlign w:val="center"/>
          </w:tcPr>
          <w:p w14:paraId="2646407F">
            <w:pPr>
              <w:rPr>
                <w:rFonts w:asciiTheme="minorEastAsia" w:hAnsiTheme="minorEastAsia" w:eastAsiaTheme="minorEastAsia"/>
                <w:sz w:val="24"/>
                <w:szCs w:val="24"/>
              </w:rPr>
            </w:pPr>
            <w:r>
              <w:rPr>
                <w:rFonts w:hint="eastAsia" w:asciiTheme="minorEastAsia" w:hAnsiTheme="minorEastAsia" w:eastAsiaTheme="minorEastAsia"/>
                <w:sz w:val="24"/>
                <w:szCs w:val="24"/>
              </w:rPr>
              <w:t>中国证券登记结算有限责任公司</w:t>
            </w:r>
          </w:p>
        </w:tc>
      </w:tr>
      <w:tr w14:paraId="520EA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7FEF6A24">
            <w:pPr>
              <w:spacing w:line="56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公告依据</w:t>
            </w:r>
          </w:p>
        </w:tc>
        <w:tc>
          <w:tcPr>
            <w:tcW w:w="6137" w:type="dxa"/>
            <w:vAlign w:val="center"/>
          </w:tcPr>
          <w:p w14:paraId="1F66C19D">
            <w:pPr>
              <w:spacing w:line="560" w:lineRule="exact"/>
              <w:rPr>
                <w:rFonts w:asciiTheme="minorEastAsia" w:hAnsiTheme="minorEastAsia" w:eastAsiaTheme="minorEastAsia"/>
                <w:sz w:val="24"/>
                <w:szCs w:val="24"/>
              </w:rPr>
            </w:pPr>
            <w:r>
              <w:rPr>
                <w:rFonts w:asciiTheme="minorEastAsia" w:hAnsiTheme="minorEastAsia" w:eastAsiaTheme="minorEastAsia"/>
                <w:sz w:val="24"/>
                <w:szCs w:val="24"/>
              </w:rPr>
              <w:t>《</w:t>
            </w:r>
            <w:r>
              <w:rPr>
                <w:rFonts w:hint="eastAsia" w:asciiTheme="minorEastAsia" w:hAnsiTheme="minorEastAsia" w:eastAsiaTheme="minorEastAsia"/>
                <w:sz w:val="24"/>
                <w:szCs w:val="24"/>
                <w:lang w:eastAsia="zh-CN"/>
              </w:rPr>
              <w:t>博时国证粮食产业交易型开放式指数证券投资基金</w:t>
            </w:r>
            <w:r>
              <w:rPr>
                <w:rFonts w:asciiTheme="minorEastAsia" w:hAnsiTheme="minorEastAsia" w:eastAsiaTheme="minorEastAsia"/>
                <w:sz w:val="24"/>
                <w:szCs w:val="24"/>
              </w:rPr>
              <w:t>基金合同》、《</w:t>
            </w:r>
            <w:r>
              <w:rPr>
                <w:rFonts w:hint="eastAsia" w:asciiTheme="minorEastAsia" w:hAnsiTheme="minorEastAsia" w:eastAsiaTheme="minorEastAsia"/>
                <w:sz w:val="24"/>
                <w:szCs w:val="24"/>
                <w:lang w:eastAsia="zh-CN"/>
              </w:rPr>
              <w:t>博时国证粮食产业交易型开放式指数证券投资基金</w:t>
            </w:r>
            <w:r>
              <w:rPr>
                <w:rFonts w:asciiTheme="minorEastAsia" w:hAnsiTheme="minorEastAsia" w:eastAsiaTheme="minorEastAsia"/>
                <w:sz w:val="24"/>
                <w:szCs w:val="24"/>
              </w:rPr>
              <w:t>招募说明书》等</w:t>
            </w:r>
          </w:p>
        </w:tc>
      </w:tr>
      <w:tr w14:paraId="46288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26E83AF1">
            <w:pPr>
              <w:spacing w:line="560" w:lineRule="exact"/>
              <w:rPr>
                <w:rFonts w:asciiTheme="minorEastAsia" w:hAnsiTheme="minorEastAsia" w:eastAsiaTheme="minorEastAsia"/>
                <w:color w:val="000000"/>
                <w:sz w:val="24"/>
                <w:szCs w:val="24"/>
                <w:highlight w:val="none"/>
              </w:rPr>
            </w:pPr>
            <w:r>
              <w:rPr>
                <w:rFonts w:asciiTheme="minorEastAsia" w:hAnsiTheme="minorEastAsia" w:eastAsiaTheme="minorEastAsia"/>
                <w:color w:val="000000"/>
                <w:sz w:val="24"/>
                <w:szCs w:val="24"/>
                <w:highlight w:val="none"/>
              </w:rPr>
              <w:t>申购起始日</w:t>
            </w:r>
          </w:p>
        </w:tc>
        <w:tc>
          <w:tcPr>
            <w:tcW w:w="6137" w:type="dxa"/>
            <w:vAlign w:val="center"/>
          </w:tcPr>
          <w:p w14:paraId="350C768C">
            <w:pPr>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2026年6月1日</w:t>
            </w:r>
          </w:p>
        </w:tc>
      </w:tr>
      <w:tr w14:paraId="589D2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2DA46AC9">
            <w:pPr>
              <w:spacing w:line="560" w:lineRule="exact"/>
              <w:rPr>
                <w:rFonts w:asciiTheme="minorEastAsia" w:hAnsiTheme="minorEastAsia" w:eastAsiaTheme="minorEastAsia"/>
                <w:color w:val="000000"/>
                <w:sz w:val="24"/>
                <w:szCs w:val="24"/>
                <w:highlight w:val="none"/>
              </w:rPr>
            </w:pPr>
            <w:r>
              <w:rPr>
                <w:rFonts w:asciiTheme="minorEastAsia" w:hAnsiTheme="minorEastAsia" w:eastAsiaTheme="minorEastAsia"/>
                <w:color w:val="000000"/>
                <w:sz w:val="24"/>
                <w:szCs w:val="24"/>
                <w:highlight w:val="none"/>
              </w:rPr>
              <w:t>赎回起始日</w:t>
            </w:r>
          </w:p>
        </w:tc>
        <w:tc>
          <w:tcPr>
            <w:tcW w:w="6137" w:type="dxa"/>
            <w:vAlign w:val="center"/>
          </w:tcPr>
          <w:p w14:paraId="70638C92">
            <w:pPr>
              <w:rPr>
                <w:rFonts w:hint="default"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eastAsia="zh-CN"/>
              </w:rPr>
              <w:t>2026年6月1日</w:t>
            </w:r>
          </w:p>
        </w:tc>
      </w:tr>
    </w:tbl>
    <w:p w14:paraId="0E5D8FD5">
      <w:pPr>
        <w:spacing w:line="360" w:lineRule="auto"/>
        <w:rPr>
          <w:rFonts w:asciiTheme="minorEastAsia" w:hAnsiTheme="minorEastAsia" w:eastAsiaTheme="minorEastAsia"/>
          <w:color w:val="000000"/>
          <w:sz w:val="24"/>
          <w:szCs w:val="24"/>
          <w:highlight w:val="none"/>
        </w:rPr>
      </w:pPr>
      <w:r>
        <w:rPr>
          <w:rFonts w:asciiTheme="minorEastAsia" w:hAnsiTheme="minorEastAsia" w:eastAsiaTheme="minorEastAsia"/>
          <w:color w:val="000000"/>
          <w:kern w:val="0"/>
          <w:sz w:val="24"/>
          <w:szCs w:val="24"/>
          <w:highlight w:val="none"/>
        </w:rPr>
        <w:t>注：</w:t>
      </w:r>
      <w:r>
        <w:rPr>
          <w:rFonts w:hint="eastAsia" w:asciiTheme="minorEastAsia" w:hAnsiTheme="minorEastAsia" w:eastAsiaTheme="minorEastAsia"/>
          <w:color w:val="000000"/>
          <w:kern w:val="0"/>
          <w:sz w:val="24"/>
          <w:szCs w:val="24"/>
          <w:highlight w:val="none"/>
        </w:rPr>
        <w:t>本基金场内简称为“</w:t>
      </w:r>
      <w:r>
        <w:rPr>
          <w:rFonts w:hint="eastAsia" w:asciiTheme="minorEastAsia" w:hAnsiTheme="minorEastAsia" w:eastAsiaTheme="minorEastAsia"/>
          <w:color w:val="000000"/>
          <w:kern w:val="0"/>
          <w:sz w:val="24"/>
          <w:szCs w:val="24"/>
          <w:highlight w:val="none"/>
          <w:lang w:eastAsia="zh-CN"/>
        </w:rPr>
        <w:t>粮食ETF博时</w:t>
      </w:r>
      <w:r>
        <w:rPr>
          <w:rFonts w:hint="eastAsia" w:asciiTheme="minorEastAsia" w:hAnsiTheme="minorEastAsia" w:eastAsiaTheme="minorEastAsia"/>
          <w:color w:val="000000"/>
          <w:kern w:val="0"/>
          <w:sz w:val="24"/>
          <w:szCs w:val="24"/>
          <w:highlight w:val="none"/>
        </w:rPr>
        <w:t>”。</w:t>
      </w:r>
      <w:r>
        <w:rPr>
          <w:rFonts w:asciiTheme="minorEastAsia" w:hAnsiTheme="minorEastAsia" w:eastAsiaTheme="minorEastAsia"/>
          <w:color w:val="000000"/>
          <w:kern w:val="0"/>
          <w:sz w:val="24"/>
          <w:szCs w:val="24"/>
          <w:highlight w:val="none"/>
        </w:rPr>
        <w:t>本基金将自</w:t>
      </w:r>
      <w:r>
        <w:rPr>
          <w:rFonts w:hint="eastAsia" w:asciiTheme="minorEastAsia" w:hAnsiTheme="minorEastAsia" w:eastAsiaTheme="minorEastAsia"/>
          <w:color w:val="000000"/>
          <w:kern w:val="0"/>
          <w:sz w:val="24"/>
          <w:szCs w:val="24"/>
          <w:highlight w:val="none"/>
          <w:lang w:eastAsia="zh-CN"/>
        </w:rPr>
        <w:t>2026年6月1日</w:t>
      </w:r>
      <w:r>
        <w:rPr>
          <w:rFonts w:asciiTheme="minorEastAsia" w:hAnsiTheme="minorEastAsia" w:eastAsiaTheme="minorEastAsia"/>
          <w:color w:val="000000"/>
          <w:kern w:val="0"/>
          <w:sz w:val="24"/>
          <w:szCs w:val="24"/>
          <w:highlight w:val="none"/>
        </w:rPr>
        <w:t>起在深圳证券交易所上市交易。</w:t>
      </w:r>
    </w:p>
    <w:p w14:paraId="3C9B645F">
      <w:pPr>
        <w:pStyle w:val="2"/>
        <w:spacing w:line="560" w:lineRule="exact"/>
        <w:rPr>
          <w:rFonts w:asciiTheme="minorEastAsia" w:hAnsiTheme="minorEastAsia" w:eastAsiaTheme="minorEastAsia"/>
          <w:bCs w:val="0"/>
          <w:color w:val="000000"/>
          <w:sz w:val="24"/>
          <w:szCs w:val="24"/>
        </w:rPr>
      </w:pPr>
      <w:bookmarkStart w:id="1" w:name="_Toc275961396"/>
      <w:r>
        <w:rPr>
          <w:rFonts w:asciiTheme="minorEastAsia" w:hAnsiTheme="minorEastAsia" w:eastAsiaTheme="minorEastAsia"/>
          <w:bCs w:val="0"/>
          <w:color w:val="000000"/>
          <w:sz w:val="24"/>
          <w:szCs w:val="24"/>
        </w:rPr>
        <w:t>2 日常申购、赎回业务的办理时间</w:t>
      </w:r>
      <w:bookmarkEnd w:id="1"/>
    </w:p>
    <w:p w14:paraId="58204F2F">
      <w:pPr>
        <w:spacing w:line="360" w:lineRule="auto"/>
        <w:ind w:firstLine="480" w:firstLineChars="200"/>
        <w:rPr>
          <w:rFonts w:hint="eastAsia" w:cs="Times New Roman" w:asciiTheme="minorEastAsia" w:hAnsiTheme="minorEastAsia" w:eastAsiaTheme="minorEastAsia"/>
          <w:color w:val="000000"/>
          <w:sz w:val="24"/>
          <w:szCs w:val="24"/>
        </w:rPr>
      </w:pPr>
      <w:bookmarkStart w:id="2" w:name="_Toc275961397"/>
      <w:r>
        <w:rPr>
          <w:rFonts w:hint="eastAsia" w:cs="Times New Roman" w:asciiTheme="minorEastAsia" w:hAnsiTheme="minorEastAsia" w:eastAsiaTheme="minorEastAsia"/>
          <w:color w:val="000000"/>
          <w:sz w:val="24"/>
          <w:szCs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14:paraId="78D0A28C">
      <w:pPr>
        <w:spacing w:line="360" w:lineRule="auto"/>
        <w:ind w:firstLine="480" w:firstLineChars="200"/>
        <w:rPr>
          <w:rFonts w:hint="eastAsia" w:cs="Times New Roman" w:asciiTheme="minorEastAsia" w:hAnsiTheme="minorEastAsia" w:eastAsiaTheme="minorEastAsia"/>
          <w:color w:val="000000"/>
          <w:sz w:val="24"/>
          <w:szCs w:val="24"/>
        </w:rPr>
      </w:pPr>
      <w:r>
        <w:rPr>
          <w:rFonts w:hint="eastAsia" w:cs="Times New Roman" w:asciiTheme="minorEastAsia" w:hAnsiTheme="minorEastAsia" w:eastAsiaTheme="minorEastAsia"/>
          <w:color w:val="000000"/>
          <w:sz w:val="24"/>
          <w:szCs w:val="24"/>
        </w:rPr>
        <w:t>基金合同生效后，若出现新的证券/期货交易市场、证券/期货交易所交易时间变更或其他特殊情况，基金管理人将视情况对前述开放日及开放时间进行相应的调整，但应在实施日前依照《公开募集证券投资基金信息披露管理办法》</w:t>
      </w:r>
      <w:r>
        <w:rPr>
          <w:rFonts w:hint="eastAsia" w:cs="Times New Roman" w:asciiTheme="minorEastAsia" w:hAnsiTheme="minorEastAsia" w:eastAsiaTheme="minorEastAsia"/>
          <w:color w:val="000000"/>
          <w:sz w:val="24"/>
          <w:szCs w:val="24"/>
          <w:lang w:eastAsia="zh-CN"/>
        </w:rPr>
        <w:t>（</w:t>
      </w:r>
      <w:r>
        <w:rPr>
          <w:rFonts w:hint="eastAsia" w:cs="Times New Roman" w:asciiTheme="minorEastAsia" w:hAnsiTheme="minorEastAsia" w:eastAsiaTheme="minorEastAsia"/>
          <w:color w:val="000000"/>
          <w:sz w:val="24"/>
          <w:szCs w:val="24"/>
          <w:lang w:val="en-US" w:eastAsia="zh-CN"/>
        </w:rPr>
        <w:t>以下简称“</w:t>
      </w:r>
      <w:r>
        <w:rPr>
          <w:rFonts w:hint="eastAsia" w:cs="Times New Roman" w:asciiTheme="minorEastAsia" w:hAnsiTheme="minorEastAsia" w:eastAsiaTheme="minorEastAsia"/>
          <w:color w:val="000000"/>
          <w:sz w:val="24"/>
          <w:szCs w:val="24"/>
        </w:rPr>
        <w:t>《信息披露办法》</w:t>
      </w:r>
      <w:r>
        <w:rPr>
          <w:rFonts w:hint="eastAsia" w:cs="Times New Roman" w:asciiTheme="minorEastAsia" w:hAnsiTheme="minorEastAsia" w:eastAsiaTheme="minorEastAsia"/>
          <w:color w:val="000000"/>
          <w:sz w:val="24"/>
          <w:szCs w:val="24"/>
          <w:lang w:val="en-US" w:eastAsia="zh-CN"/>
        </w:rPr>
        <w:t>”</w:t>
      </w:r>
      <w:r>
        <w:rPr>
          <w:rFonts w:hint="eastAsia" w:cs="Times New Roman" w:asciiTheme="minorEastAsia" w:hAnsiTheme="minorEastAsia" w:eastAsiaTheme="minorEastAsia"/>
          <w:color w:val="000000"/>
          <w:sz w:val="24"/>
          <w:szCs w:val="24"/>
          <w:lang w:eastAsia="zh-CN"/>
        </w:rPr>
        <w:t>）</w:t>
      </w:r>
      <w:r>
        <w:rPr>
          <w:rFonts w:hint="eastAsia" w:cs="Times New Roman" w:asciiTheme="minorEastAsia" w:hAnsiTheme="minorEastAsia" w:eastAsiaTheme="minorEastAsia"/>
          <w:color w:val="000000"/>
          <w:sz w:val="24"/>
          <w:szCs w:val="24"/>
        </w:rPr>
        <w:t>的有关规定在规定媒介上公告。</w:t>
      </w:r>
    </w:p>
    <w:p w14:paraId="3863D884">
      <w:pPr>
        <w:pStyle w:val="2"/>
        <w:spacing w:line="560" w:lineRule="exact"/>
        <w:rPr>
          <w:rFonts w:asciiTheme="minorEastAsia" w:hAnsiTheme="minorEastAsia" w:eastAsiaTheme="minorEastAsia"/>
          <w:bCs w:val="0"/>
          <w:color w:val="000000"/>
          <w:sz w:val="24"/>
          <w:szCs w:val="24"/>
        </w:rPr>
      </w:pPr>
      <w:r>
        <w:rPr>
          <w:rFonts w:asciiTheme="minorEastAsia" w:hAnsiTheme="minorEastAsia" w:eastAsiaTheme="minorEastAsia"/>
          <w:bCs w:val="0"/>
          <w:color w:val="000000"/>
          <w:sz w:val="24"/>
          <w:szCs w:val="24"/>
        </w:rPr>
        <w:t>3 日常申购业务</w:t>
      </w:r>
      <w:bookmarkEnd w:id="2"/>
    </w:p>
    <w:p w14:paraId="6AAECC02">
      <w:pPr>
        <w:spacing w:line="560" w:lineRule="exact"/>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t>3.1 申购</w:t>
      </w:r>
      <w:r>
        <w:rPr>
          <w:rFonts w:hint="eastAsia" w:asciiTheme="minorEastAsia" w:hAnsiTheme="minorEastAsia" w:eastAsiaTheme="minorEastAsia"/>
          <w:b/>
          <w:color w:val="000000"/>
          <w:sz w:val="24"/>
          <w:szCs w:val="24"/>
        </w:rPr>
        <w:t>份额</w:t>
      </w:r>
      <w:r>
        <w:rPr>
          <w:rFonts w:asciiTheme="minorEastAsia" w:hAnsiTheme="minorEastAsia" w:eastAsiaTheme="minorEastAsia"/>
          <w:b/>
          <w:color w:val="000000"/>
          <w:sz w:val="24"/>
          <w:szCs w:val="24"/>
        </w:rPr>
        <w:t>限制</w:t>
      </w:r>
    </w:p>
    <w:p w14:paraId="535709EA">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lang w:val="en-US" w:eastAsia="zh-CN"/>
        </w:rPr>
        <w:t>1</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投资者申购的基金份额需为最小申购单位的整数倍。</w:t>
      </w:r>
    </w:p>
    <w:p w14:paraId="0C00F6AC">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本基金的最小申购单位为</w:t>
      </w:r>
      <w:r>
        <w:rPr>
          <w:rFonts w:hint="eastAsia" w:asciiTheme="minorEastAsia" w:hAnsiTheme="minorEastAsia" w:eastAsiaTheme="minorEastAsia"/>
          <w:color w:val="000000"/>
          <w:sz w:val="24"/>
          <w:szCs w:val="24"/>
          <w:lang w:val="en-US" w:eastAsia="zh-CN"/>
        </w:rPr>
        <w:t>150</w:t>
      </w:r>
      <w:r>
        <w:rPr>
          <w:rFonts w:hint="eastAsia" w:asciiTheme="minorEastAsia" w:hAnsiTheme="minorEastAsia" w:eastAsiaTheme="minorEastAsia"/>
          <w:color w:val="000000"/>
          <w:sz w:val="24"/>
          <w:szCs w:val="24"/>
        </w:rPr>
        <w:t>万份。基金管理人可根据基金运作情况、市场变化以及投资者需求等因素对基金的最小申购单位进行调整，并在调整实施前依照《信息披露办法》的有关规定在规定媒介公告。</w:t>
      </w:r>
    </w:p>
    <w:p w14:paraId="35582228">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lang w:val="en-US" w:eastAsia="zh-CN"/>
        </w:rPr>
        <w:t>2</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除非证券交易所另有规定，本基金场内申购暂不设置当日申购份额上限、交易账户最低基金份额余额、单个投资人累计持有的基金份额上限。具体规定详见申购赎回清单。</w:t>
      </w:r>
    </w:p>
    <w:p w14:paraId="00034141">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lang w:val="en-US" w:eastAsia="zh-CN"/>
        </w:rPr>
        <w:t>3</w:t>
      </w:r>
      <w:r>
        <w:rPr>
          <w:rFonts w:hint="eastAsia" w:asciiTheme="minorEastAsia" w:hAnsiTheme="minorEastAsia" w:eastAsiaTheme="minorEastAsia"/>
          <w:color w:val="000000"/>
          <w:sz w:val="24"/>
          <w:szCs w:val="24"/>
          <w:lang w:eastAsia="zh-CN"/>
        </w:rPr>
        <w:t>）当接受申购申请对存量基金份额持有人利益构成潜在重大不利影响时，基金管理人应当采取设定单一投资者申购份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w:t>
      </w:r>
    </w:p>
    <w:p w14:paraId="051D8ED2">
      <w:pPr>
        <w:spacing w:line="360" w:lineRule="auto"/>
        <w:ind w:firstLine="480" w:firstLineChars="200"/>
        <w:rPr>
          <w:rFonts w:hint="eastAsia" w:asciiTheme="minorEastAsia" w:hAnsiTheme="minorEastAsia" w:eastAsiaTheme="minorEastAsia"/>
          <w:b w:val="0"/>
          <w:color w:val="000000"/>
          <w:sz w:val="24"/>
          <w:szCs w:val="24"/>
        </w:rPr>
      </w:pP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lang w:val="en-US" w:eastAsia="zh-CN"/>
        </w:rPr>
        <w:t>4</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基金管理人可根据市场情况，在不违反法律法规规定的情况下，调整上述规定数量或比例等限制。基金管理人必须在调整实施前依照《信息披露办法》的有关规定在规定媒介上公告（其中上述第</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lang w:val="en-US" w:eastAsia="zh-CN"/>
        </w:rPr>
        <w:t>2</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条可由基金管理人于前一交易日设定并在当日基金申购赎回清单上公布，而不必在规定媒介上公告也无需报中国证监会备案）。</w:t>
      </w:r>
    </w:p>
    <w:p w14:paraId="36CA6E23">
      <w:pPr>
        <w:spacing w:line="560" w:lineRule="exact"/>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3</w:t>
      </w:r>
      <w:r>
        <w:rPr>
          <w:rFonts w:asciiTheme="minorEastAsia" w:hAnsiTheme="minorEastAsia" w:eastAsiaTheme="minorEastAsia"/>
          <w:b/>
          <w:color w:val="000000"/>
          <w:sz w:val="24"/>
          <w:szCs w:val="24"/>
        </w:rPr>
        <w:t>.</w:t>
      </w:r>
      <w:r>
        <w:rPr>
          <w:rFonts w:hint="eastAsia" w:asciiTheme="minorEastAsia" w:hAnsiTheme="minorEastAsia" w:eastAsiaTheme="minorEastAsia"/>
          <w:b/>
          <w:color w:val="000000"/>
          <w:sz w:val="24"/>
          <w:szCs w:val="24"/>
        </w:rPr>
        <w:t>2</w:t>
      </w:r>
      <w:r>
        <w:rPr>
          <w:rFonts w:asciiTheme="minorEastAsia" w:hAnsiTheme="minorEastAsia" w:eastAsiaTheme="minorEastAsia"/>
          <w:b/>
          <w:color w:val="000000"/>
          <w:sz w:val="24"/>
          <w:szCs w:val="24"/>
        </w:rPr>
        <w:t xml:space="preserve"> 申购费率</w:t>
      </w:r>
    </w:p>
    <w:p w14:paraId="4A745675">
      <w:pPr>
        <w:spacing w:line="360" w:lineRule="auto"/>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（1）申购对价根据申购赎回清单和投资人申购的基金份额数额确定。申购对价是指投资人申购基金份额时应交付的组合证券、现金替代、现金差额和/或其他对价。</w:t>
      </w:r>
    </w:p>
    <w:p w14:paraId="71205744">
      <w:pPr>
        <w:spacing w:line="360" w:lineRule="auto"/>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（2）投资人在申购基金份额时，申购赎回代理券商可按照不超过0.</w:t>
      </w:r>
      <w:r>
        <w:rPr>
          <w:rFonts w:hint="eastAsia" w:asciiTheme="minorEastAsia" w:hAnsiTheme="minorEastAsia" w:eastAsiaTheme="minorEastAsia"/>
          <w:color w:val="000000"/>
          <w:sz w:val="24"/>
          <w:szCs w:val="24"/>
          <w:lang w:val="en-US" w:eastAsia="zh-CN"/>
        </w:rPr>
        <w:t>3</w:t>
      </w:r>
      <w:r>
        <w:rPr>
          <w:rFonts w:hint="eastAsia" w:asciiTheme="minorEastAsia" w:hAnsiTheme="minorEastAsia" w:eastAsiaTheme="minorEastAsia"/>
          <w:color w:val="000000"/>
          <w:sz w:val="24"/>
          <w:szCs w:val="24"/>
        </w:rPr>
        <w:t>%的标准收取佣金，其中包含证券交易所、登记机构等收取的相关费用。</w:t>
      </w:r>
    </w:p>
    <w:p w14:paraId="14B4554A">
      <w:pPr>
        <w:pStyle w:val="2"/>
        <w:spacing w:line="560" w:lineRule="exact"/>
        <w:rPr>
          <w:rFonts w:asciiTheme="minorEastAsia" w:hAnsiTheme="minorEastAsia" w:eastAsiaTheme="minorEastAsia"/>
          <w:bCs w:val="0"/>
          <w:color w:val="000000"/>
          <w:sz w:val="24"/>
          <w:szCs w:val="24"/>
        </w:rPr>
      </w:pPr>
      <w:bookmarkStart w:id="3" w:name="_Toc275961398"/>
      <w:r>
        <w:rPr>
          <w:rFonts w:hint="eastAsia" w:asciiTheme="minorEastAsia" w:hAnsiTheme="minorEastAsia" w:eastAsiaTheme="minorEastAsia"/>
          <w:bCs w:val="0"/>
          <w:color w:val="000000"/>
          <w:sz w:val="24"/>
          <w:szCs w:val="24"/>
        </w:rPr>
        <w:t>4</w:t>
      </w:r>
      <w:r>
        <w:rPr>
          <w:rFonts w:asciiTheme="minorEastAsia" w:hAnsiTheme="minorEastAsia" w:eastAsiaTheme="minorEastAsia"/>
          <w:bCs w:val="0"/>
          <w:color w:val="000000"/>
          <w:sz w:val="24"/>
          <w:szCs w:val="24"/>
        </w:rPr>
        <w:t xml:space="preserve"> 日常赎回业务</w:t>
      </w:r>
      <w:bookmarkEnd w:id="3"/>
    </w:p>
    <w:p w14:paraId="5B699137">
      <w:pPr>
        <w:spacing w:line="560" w:lineRule="exact"/>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4</w:t>
      </w:r>
      <w:r>
        <w:rPr>
          <w:rFonts w:asciiTheme="minorEastAsia" w:hAnsiTheme="minorEastAsia" w:eastAsiaTheme="minorEastAsia"/>
          <w:b/>
          <w:color w:val="000000"/>
          <w:sz w:val="24"/>
          <w:szCs w:val="24"/>
        </w:rPr>
        <w:t>.</w:t>
      </w:r>
      <w:r>
        <w:rPr>
          <w:rFonts w:hint="eastAsia" w:asciiTheme="minorEastAsia" w:hAnsiTheme="minorEastAsia" w:eastAsiaTheme="minorEastAsia"/>
          <w:b/>
          <w:color w:val="000000"/>
          <w:sz w:val="24"/>
          <w:szCs w:val="24"/>
        </w:rPr>
        <w:t>1</w:t>
      </w:r>
      <w:r>
        <w:rPr>
          <w:rFonts w:asciiTheme="minorEastAsia" w:hAnsiTheme="minorEastAsia" w:eastAsiaTheme="minorEastAsia"/>
          <w:b/>
          <w:color w:val="000000"/>
          <w:sz w:val="24"/>
          <w:szCs w:val="24"/>
        </w:rPr>
        <w:t xml:space="preserve"> 赎回份额限制</w:t>
      </w:r>
    </w:p>
    <w:p w14:paraId="311E7655">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lang w:val="en-US" w:eastAsia="zh-CN"/>
        </w:rPr>
        <w:t>1</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投资者赎回的基金份额需为最小赎回单位的整数倍。</w:t>
      </w:r>
    </w:p>
    <w:p w14:paraId="414481D2">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本基金的最小赎回单位为</w:t>
      </w:r>
      <w:r>
        <w:rPr>
          <w:rFonts w:hint="eastAsia" w:asciiTheme="minorEastAsia" w:hAnsiTheme="minorEastAsia" w:eastAsiaTheme="minorEastAsia"/>
          <w:color w:val="000000"/>
          <w:sz w:val="24"/>
          <w:szCs w:val="24"/>
          <w:lang w:val="en-US" w:eastAsia="zh-CN"/>
        </w:rPr>
        <w:t>150</w:t>
      </w:r>
      <w:r>
        <w:rPr>
          <w:rFonts w:hint="eastAsia" w:asciiTheme="minorEastAsia" w:hAnsiTheme="minorEastAsia" w:eastAsiaTheme="minorEastAsia"/>
          <w:color w:val="000000"/>
          <w:sz w:val="24"/>
          <w:szCs w:val="24"/>
        </w:rPr>
        <w:t>万份。基金管理人可根据基金运作情况、市场变化以及投资者需求等因素对基金的最小赎回单位进行调整，并在调整实施前依照《信息披露办法》的有关规定在规定媒介公告。</w:t>
      </w:r>
    </w:p>
    <w:p w14:paraId="5755C27A">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lang w:val="en-US" w:eastAsia="zh-CN"/>
        </w:rPr>
        <w:t>2</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除非证券交易所另有规定，本基金场内赎回暂不设置当日赎回份额上限、交易账户最低基金份额余额、单个投资人累计持有的基金份额上限。具体规定详见申购赎回清单。</w:t>
      </w:r>
    </w:p>
    <w:p w14:paraId="2452F8C9">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lang w:val="en-US" w:eastAsia="zh-CN"/>
        </w:rPr>
        <w:t>3</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基金管理人可根据市场情况，在不违反法律法规规定的情况下，调整上述规定数量或比例等限制。基金管理人必须在调整实施前依照《信息披露办法》的有关规定在规定媒介上公告（其中上述第</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lang w:val="en-US" w:eastAsia="zh-CN"/>
        </w:rPr>
        <w:t>2</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条可由基金管理人于前一交易日设定并在当日基金申购赎回清单上公布，而不必在规定媒介上公告也无需报中国证监会备案）。</w:t>
      </w:r>
    </w:p>
    <w:p w14:paraId="618C6AE7">
      <w:pPr>
        <w:spacing w:line="560" w:lineRule="exact"/>
        <w:ind w:firstLine="0" w:firstLineChars="0"/>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4</w:t>
      </w:r>
      <w:r>
        <w:rPr>
          <w:rFonts w:asciiTheme="minorEastAsia" w:hAnsiTheme="minorEastAsia" w:eastAsiaTheme="minorEastAsia"/>
          <w:b/>
          <w:color w:val="000000"/>
          <w:sz w:val="24"/>
          <w:szCs w:val="24"/>
        </w:rPr>
        <w:t>.</w:t>
      </w:r>
      <w:r>
        <w:rPr>
          <w:rFonts w:hint="eastAsia" w:asciiTheme="minorEastAsia" w:hAnsiTheme="minorEastAsia" w:eastAsiaTheme="minorEastAsia"/>
          <w:b/>
          <w:color w:val="000000"/>
          <w:sz w:val="24"/>
          <w:szCs w:val="24"/>
        </w:rPr>
        <w:t>2</w:t>
      </w:r>
      <w:r>
        <w:rPr>
          <w:rFonts w:asciiTheme="minorEastAsia" w:hAnsiTheme="minorEastAsia" w:eastAsiaTheme="minorEastAsia"/>
          <w:b/>
          <w:color w:val="000000"/>
          <w:sz w:val="24"/>
          <w:szCs w:val="24"/>
        </w:rPr>
        <w:t xml:space="preserve"> 赎回费率</w:t>
      </w:r>
    </w:p>
    <w:p w14:paraId="1CDAFD71">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（1）赎回对价根据申购赎回清单和投资人赎回的基金份额数额确定。</w:t>
      </w:r>
      <w:r>
        <w:rPr>
          <w:rFonts w:hint="eastAsia" w:asciiTheme="minorEastAsia" w:hAnsiTheme="minorEastAsia" w:eastAsiaTheme="minorEastAsia"/>
          <w:color w:val="000000"/>
          <w:sz w:val="24"/>
          <w:szCs w:val="24"/>
        </w:rPr>
        <w:t>赎回对价是指投资人赎回基金份额时，基金管理人应交付给投资人的组合证券、现金替代、现金差额和/或其他对价。</w:t>
      </w:r>
    </w:p>
    <w:p w14:paraId="4A9921CA">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（2）投资人在赎回基金份额时，申购赎回代理券商可按照不超过0.5%的标准收取佣金，其中包含证券交易所、登记机构等收取的相关费用。</w:t>
      </w:r>
    </w:p>
    <w:p w14:paraId="0D2EED21">
      <w:pPr>
        <w:pStyle w:val="2"/>
        <w:spacing w:line="560" w:lineRule="exact"/>
        <w:rPr>
          <w:rFonts w:asciiTheme="minorEastAsia" w:hAnsiTheme="minorEastAsia" w:eastAsiaTheme="minorEastAsia"/>
          <w:bCs w:val="0"/>
          <w:color w:val="000000"/>
          <w:sz w:val="24"/>
          <w:szCs w:val="24"/>
        </w:rPr>
      </w:pPr>
      <w:r>
        <w:rPr>
          <w:rFonts w:hint="eastAsia" w:asciiTheme="minorEastAsia" w:hAnsiTheme="minorEastAsia" w:eastAsiaTheme="minorEastAsia"/>
          <w:bCs w:val="0"/>
          <w:color w:val="000000"/>
          <w:sz w:val="24"/>
          <w:szCs w:val="24"/>
        </w:rPr>
        <w:t>5</w:t>
      </w:r>
      <w:r>
        <w:rPr>
          <w:rFonts w:asciiTheme="minorEastAsia" w:hAnsiTheme="minorEastAsia" w:eastAsiaTheme="minorEastAsia"/>
          <w:bCs w:val="0"/>
          <w:color w:val="000000"/>
          <w:sz w:val="24"/>
          <w:szCs w:val="24"/>
        </w:rPr>
        <w:t xml:space="preserve"> 基金销售机构</w:t>
      </w:r>
    </w:p>
    <w:p w14:paraId="53FDAFDD">
      <w:pPr>
        <w:spacing w:line="560" w:lineRule="exact"/>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5</w:t>
      </w:r>
      <w:r>
        <w:rPr>
          <w:rFonts w:asciiTheme="minorEastAsia" w:hAnsiTheme="minorEastAsia" w:eastAsiaTheme="minorEastAsia"/>
          <w:b/>
          <w:color w:val="000000"/>
          <w:sz w:val="24"/>
          <w:szCs w:val="24"/>
        </w:rPr>
        <w:t>.</w:t>
      </w:r>
      <w:r>
        <w:rPr>
          <w:rFonts w:hint="eastAsia" w:asciiTheme="minorEastAsia" w:hAnsiTheme="minorEastAsia" w:eastAsiaTheme="minorEastAsia"/>
          <w:b/>
          <w:color w:val="000000"/>
          <w:sz w:val="24"/>
          <w:szCs w:val="24"/>
        </w:rPr>
        <w:t>1</w:t>
      </w:r>
      <w:r>
        <w:rPr>
          <w:rFonts w:asciiTheme="minorEastAsia" w:hAnsiTheme="minorEastAsia" w:eastAsiaTheme="minorEastAsia"/>
          <w:b/>
          <w:color w:val="000000"/>
          <w:sz w:val="24"/>
          <w:szCs w:val="24"/>
        </w:rPr>
        <w:t xml:space="preserve"> 场内销售机构</w:t>
      </w:r>
    </w:p>
    <w:p w14:paraId="6B555FD7">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申购赎回代办券商：</w:t>
      </w:r>
    </w:p>
    <w:p w14:paraId="79C9DFB6">
      <w:pPr>
        <w:spacing w:line="360" w:lineRule="auto"/>
        <w:ind w:firstLine="480" w:firstLineChars="200"/>
        <w:rPr>
          <w:rFonts w:hint="eastAsia" w:asciiTheme="minorEastAsia" w:hAnsiTheme="minorEastAsia" w:eastAsiaTheme="minorEastAsia"/>
          <w:color w:val="000000"/>
          <w:sz w:val="24"/>
          <w:szCs w:val="24"/>
          <w:lang w:eastAsia="zh-CN"/>
        </w:rPr>
      </w:pPr>
      <w:r>
        <w:rPr>
          <w:rFonts w:hint="eastAsia" w:asciiTheme="minorEastAsia" w:hAnsiTheme="minorEastAsia" w:eastAsiaTheme="minorEastAsia"/>
          <w:color w:val="000000"/>
          <w:sz w:val="24"/>
          <w:szCs w:val="24"/>
        </w:rPr>
        <w:t>长城证券股份有限公司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财达证券股份有限公司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东北证券股份有限公司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东方财富证券股份有限公司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东方证券股份有限公司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东莞证券股份有限公司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东海证券股份有限公司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东吴证券股份有限公司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东兴证券股份有限公司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方正证券股份有限公司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广发证券股份有限公司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国海证券股份有限公司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国金证券股份有限公司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国盛证券股份有限公司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国泰海通证券股份有限公司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国投证券股份有限公司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国信证券股份有限公司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华安证券股份有限公司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华宝证券股份有限公司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华创证券有限责任公司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华福证券股份有限公司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华泰证券股份有限公司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华西证券股份有限公司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华鑫证券有限责任公司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江海证券有限公司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联储证券股份有限公司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平安证券股份有限公司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瑞银证券有限责任公司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山西证券股份有限公司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申万宏源西部证券有限公司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申万宏源证券有限公司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世纪证券有限责任公司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万和证券股份有限公司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万联证券股份有限公司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西部证券股份有限公司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西南证券股份有限公司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湘财证券股份有限公司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兴业证券股份有限公司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粤开证券股份有限公司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招商证券股份有限公司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浙商证券股份有限公司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中国国际金融股份有限公司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中国银河证券股份有限公司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中国中金财富证券有限公司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中泰证券股份有限公司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中信建投证券股份有限公司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中信证券（山东）有限责任公司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中信证券股份有限公司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中信证券华南股份有限公司</w:t>
      </w:r>
      <w:r>
        <w:rPr>
          <w:rFonts w:hint="eastAsia" w:asciiTheme="minorEastAsia" w:hAnsiTheme="minorEastAsia" w:eastAsiaTheme="minorEastAsia"/>
          <w:color w:val="000000"/>
          <w:sz w:val="24"/>
          <w:szCs w:val="24"/>
          <w:lang w:eastAsia="zh-CN"/>
        </w:rPr>
        <w:t>。</w:t>
      </w:r>
    </w:p>
    <w:p w14:paraId="3C879E1D">
      <w:pPr>
        <w:spacing w:line="360" w:lineRule="auto"/>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本基金管理人可根据情况变更或增减基金申购赎回代办券商，并予以公告。</w:t>
      </w:r>
    </w:p>
    <w:p w14:paraId="6D9FA1A9">
      <w:pPr>
        <w:pStyle w:val="2"/>
        <w:spacing w:line="560" w:lineRule="exact"/>
        <w:rPr>
          <w:rStyle w:val="13"/>
          <w:rFonts w:asciiTheme="minorEastAsia" w:hAnsiTheme="minorEastAsia" w:eastAsiaTheme="minorEastAsia"/>
          <w:color w:val="000000"/>
          <w:sz w:val="24"/>
          <w:szCs w:val="24"/>
        </w:rPr>
      </w:pPr>
      <w:bookmarkStart w:id="4" w:name="_Toc275961402"/>
      <w:r>
        <w:rPr>
          <w:rFonts w:hint="eastAsia" w:asciiTheme="minorEastAsia" w:hAnsiTheme="minorEastAsia" w:eastAsiaTheme="minorEastAsia"/>
          <w:bCs w:val="0"/>
          <w:color w:val="000000"/>
          <w:sz w:val="24"/>
          <w:szCs w:val="24"/>
        </w:rPr>
        <w:t>6</w:t>
      </w:r>
      <w:r>
        <w:rPr>
          <w:rFonts w:asciiTheme="minorEastAsia" w:hAnsiTheme="minorEastAsia" w:eastAsiaTheme="minorEastAsia"/>
          <w:bCs w:val="0"/>
          <w:color w:val="000000"/>
          <w:sz w:val="24"/>
          <w:szCs w:val="24"/>
        </w:rPr>
        <w:t xml:space="preserve"> 基金份额净值公告/基金收益公告的披露安排</w:t>
      </w:r>
      <w:bookmarkEnd w:id="4"/>
    </w:p>
    <w:p w14:paraId="73F243AA">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《基金合同》生效后，在基金份额上市交易或者开始办理基金份额申购或者赎回前，基金管理人应当至少每周在规定网站披露一次基金份额净值和基金份额累计净值。</w:t>
      </w:r>
    </w:p>
    <w:p w14:paraId="6F616229">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在基金份额上市交易或者开始办理基金份额申购或者赎回后，基金管理人应当在不晚于每个开放日的次日，通过规定网站、基金销售机构网站或者营业网点披露开放日的基金份额净值和基金份额累计净值。</w:t>
      </w:r>
    </w:p>
    <w:p w14:paraId="614ED54D">
      <w:pPr>
        <w:spacing w:line="360" w:lineRule="auto"/>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基金管理人应当在不晚于半年度和年度最后一日的次日，在规定网站披露半年度和年度最后一日的基金份额净值和基金份额累计净值。</w:t>
      </w:r>
    </w:p>
    <w:p w14:paraId="4188D9EC">
      <w:pPr>
        <w:pStyle w:val="2"/>
        <w:spacing w:line="560" w:lineRule="exact"/>
        <w:rPr>
          <w:rFonts w:asciiTheme="minorEastAsia" w:hAnsiTheme="minorEastAsia" w:eastAsiaTheme="minorEastAsia"/>
          <w:bCs w:val="0"/>
          <w:color w:val="000000"/>
          <w:sz w:val="24"/>
          <w:szCs w:val="24"/>
        </w:rPr>
      </w:pPr>
      <w:bookmarkStart w:id="5" w:name="_Toc275961403"/>
      <w:r>
        <w:rPr>
          <w:rFonts w:hint="eastAsia" w:asciiTheme="minorEastAsia" w:hAnsiTheme="minorEastAsia" w:eastAsiaTheme="minorEastAsia"/>
          <w:bCs w:val="0"/>
          <w:color w:val="000000"/>
          <w:sz w:val="24"/>
          <w:szCs w:val="24"/>
        </w:rPr>
        <w:t>7</w:t>
      </w:r>
      <w:r>
        <w:rPr>
          <w:rFonts w:asciiTheme="minorEastAsia" w:hAnsiTheme="minorEastAsia" w:eastAsiaTheme="minorEastAsia"/>
          <w:bCs w:val="0"/>
          <w:color w:val="000000"/>
          <w:sz w:val="24"/>
          <w:szCs w:val="24"/>
        </w:rPr>
        <w:t xml:space="preserve"> 其他需要提示的事项</w:t>
      </w:r>
      <w:bookmarkEnd w:id="5"/>
    </w:p>
    <w:p w14:paraId="5CE7EB12">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（1）申购与赎回的原则</w:t>
      </w:r>
    </w:p>
    <w:p w14:paraId="5B1FA4A8">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1</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“份额申购、份额赎回”原则，即申购、赎回均以份额申请；</w:t>
      </w:r>
    </w:p>
    <w:p w14:paraId="6342EEBF">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2</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本基金的申购对价、赎回对价包括组合证券、现金替代、现金差额和/或其他对价；</w:t>
      </w:r>
    </w:p>
    <w:p w14:paraId="5FEFDBE6">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3</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申购、赎回申请提交后不得撤销；</w:t>
      </w:r>
    </w:p>
    <w:p w14:paraId="556D541A">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4</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申购、赎回应遵守业务规则及其他相关规定；</w:t>
      </w:r>
    </w:p>
    <w:p w14:paraId="7B7F4FFE">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5</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办理申购、赎回业务时，应当遵循基金份额持有人利益优先原则，确保投资者的合法权益不受损害并得到公平对待。</w:t>
      </w:r>
    </w:p>
    <w:p w14:paraId="2E3FA187">
      <w:pPr>
        <w:spacing w:line="360" w:lineRule="auto"/>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基金管理人可在不违反法律法规规定的情况下，对上述原则进行调整。基金管理人必须在新原则开始实施前依照《信息披露办法》的有关规定在规定媒介上公告。</w:t>
      </w:r>
    </w:p>
    <w:p w14:paraId="7068F6AF">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（2）申购与赎回的程序</w:t>
      </w:r>
    </w:p>
    <w:p w14:paraId="1C0B7A73">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1</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申购和赎回的申请方式</w:t>
      </w:r>
    </w:p>
    <w:p w14:paraId="7CAC5C57">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投资人必须根据申购、赎回代理券商或基金管理人规定的程序，在开放日的具体业务办理时间内提出申购或赎回的申请。</w:t>
      </w:r>
    </w:p>
    <w:p w14:paraId="76391FF2">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投资人交付申购对价，申购成立；登记机构确认申请时，申购生效。投资人在提交赎回申请时有足够的基金份额余额和现金，则赎回申请成立，登记机构确认赎回时，赎回生效。投资人在提交申购申请时须按申购赎回清单的规定备足申购对价，投资人在提交赎回申请时须持有足够的基金份额余额和现金，否则所提交的申购、赎回申请不成立。</w:t>
      </w:r>
    </w:p>
    <w:p w14:paraId="22809C49">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2</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申购和赎回申请的确认</w:t>
      </w:r>
    </w:p>
    <w:p w14:paraId="514BEB94">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基金投资人申购、赎回申请在受理当日进行确认。如投资人未能提供符合要求的申购对价，则申购申请不成立。如投资人持有的符合要求的基金份额不足或未能根据要求准备足额的现金，或本基金投资组合内不具备足额的符合要求的赎回对价，或投资人提交的赎回申请超过基金管理人设定的当日净赎回份额上限、当日累计赎回份额上限、单个账户当日净赎回份额上限或单个账户当日累计赎回份额上限，则赎回申请不成立。</w:t>
      </w:r>
    </w:p>
    <w:p w14:paraId="7CD22E2B">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申购、赎回代理券商对申购、赎回申请的受理并不代表该申请一定成功，而仅代表申购、赎回代理券商确实接收到该申请。申购、赎回的确认以登记机构的确认结果为准。对于申购、赎回申请的确认情况，投资人应及时查询并妥善行使合法权利。</w:t>
      </w:r>
    </w:p>
    <w:p w14:paraId="0EED5D29">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在目前规则下，基金投资人申购的基金份额当日可竞价卖出，次一交易日可赎回；投资人赎回获得的股票当日可竞价卖出，次一交易日可以用于申购ETF份额。基金投资人申购的基金份额和赎回获得的股票次一交易日可通过大宗交易卖出。</w:t>
      </w:r>
    </w:p>
    <w:p w14:paraId="7B6CF8E2">
      <w:pPr>
        <w:spacing w:line="360" w:lineRule="auto"/>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3）申购和赎回的清算交收与登记</w:t>
      </w:r>
    </w:p>
    <w:p w14:paraId="71AC1DD2">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本基金的申购和赎回的清算交收与登记规则详见招募说明书规定。</w:t>
      </w:r>
      <w:r>
        <w:rPr>
          <w:rFonts w:hint="eastAsia" w:asciiTheme="minorEastAsia" w:hAnsiTheme="minorEastAsia" w:eastAsiaTheme="minorEastAsia"/>
          <w:color w:val="000000"/>
          <w:sz w:val="24"/>
          <w:szCs w:val="24"/>
        </w:rPr>
        <w:t>本基金获批后，若深圳证券交易所和中国证券登记结算有限责任公司针对跨市场交易型开放式指数证券投资基金推出新的清算交收与登记模式并引入新的申购、赎回方式，在履行适当程序后，本基金管理人将根据新的业务规则新增或调整申购和赎回申请的确认方式，届时将发布公告予以披露并对本基金的招募说明书予以更新，无需召开基金份额持有人大会审议。</w:t>
      </w:r>
    </w:p>
    <w:p w14:paraId="35D8BF01">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（3）投资者欲了解本基金的详细情况，请致电博时一线通95105568（免长途话费）或登录本公司网站</w:t>
      </w:r>
      <w:r>
        <w:rPr>
          <w:rFonts w:hint="eastAsia" w:asciiTheme="minorEastAsia" w:hAnsiTheme="minorEastAsia" w:eastAsiaTheme="minorEastAsia"/>
          <w:color w:val="000000"/>
          <w:sz w:val="24"/>
          <w:szCs w:val="24"/>
        </w:rPr>
        <w:t>https://www.bosera.com</w:t>
      </w:r>
      <w:r>
        <w:rPr>
          <w:rFonts w:asciiTheme="minorEastAsia" w:hAnsiTheme="minorEastAsia" w:eastAsiaTheme="minorEastAsia"/>
          <w:color w:val="000000"/>
          <w:sz w:val="24"/>
          <w:szCs w:val="24"/>
        </w:rPr>
        <w:t>查阅本基金基金合同及招募说明书。</w:t>
      </w:r>
    </w:p>
    <w:p w14:paraId="11D14CDF">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（4）本基金将自</w:t>
      </w:r>
      <w:r>
        <w:rPr>
          <w:rFonts w:hint="eastAsia" w:asciiTheme="minorEastAsia" w:hAnsiTheme="minorEastAsia" w:eastAsiaTheme="minorEastAsia"/>
          <w:color w:val="000000"/>
          <w:sz w:val="24"/>
          <w:szCs w:val="24"/>
          <w:lang w:eastAsia="zh-CN"/>
        </w:rPr>
        <w:t>2026年6月1日</w:t>
      </w:r>
      <w:r>
        <w:rPr>
          <w:rFonts w:asciiTheme="minorEastAsia" w:hAnsiTheme="minorEastAsia" w:eastAsiaTheme="minorEastAsia"/>
          <w:color w:val="000000"/>
          <w:sz w:val="24"/>
          <w:szCs w:val="24"/>
          <w:highlight w:val="none"/>
        </w:rPr>
        <w:t>起在深圳证券交易所上市交易，投资者可通过本公司网站查阅本公司于</w:t>
      </w:r>
      <w:r>
        <w:rPr>
          <w:rFonts w:hint="eastAsia" w:asciiTheme="minorEastAsia" w:hAnsiTheme="minorEastAsia" w:eastAsiaTheme="minorEastAsia"/>
          <w:color w:val="000000"/>
          <w:sz w:val="24"/>
          <w:szCs w:val="24"/>
          <w:highlight w:val="none"/>
          <w:lang w:eastAsia="zh-CN"/>
        </w:rPr>
        <w:t>2026年5月27日</w:t>
      </w:r>
      <w:r>
        <w:rPr>
          <w:rFonts w:asciiTheme="minorEastAsia" w:hAnsiTheme="minorEastAsia" w:eastAsiaTheme="minorEastAsia"/>
          <w:color w:val="000000"/>
          <w:sz w:val="24"/>
          <w:szCs w:val="24"/>
          <w:highlight w:val="none"/>
        </w:rPr>
        <w:t>发</w:t>
      </w:r>
      <w:r>
        <w:rPr>
          <w:rFonts w:asciiTheme="minorEastAsia" w:hAnsiTheme="minorEastAsia" w:eastAsiaTheme="minorEastAsia"/>
          <w:color w:val="000000"/>
          <w:sz w:val="24"/>
          <w:szCs w:val="24"/>
        </w:rPr>
        <w:t>布的《</w:t>
      </w:r>
      <w:r>
        <w:rPr>
          <w:rFonts w:hint="eastAsia" w:asciiTheme="minorEastAsia" w:hAnsiTheme="minorEastAsia" w:eastAsiaTheme="minorEastAsia"/>
          <w:color w:val="000000"/>
          <w:sz w:val="24"/>
          <w:szCs w:val="24"/>
          <w:lang w:eastAsia="zh-CN"/>
        </w:rPr>
        <w:t>博时国证粮食产业交易型开放式指数证券投资基金</w:t>
      </w:r>
      <w:r>
        <w:rPr>
          <w:rFonts w:asciiTheme="minorEastAsia" w:hAnsiTheme="minorEastAsia" w:eastAsiaTheme="minorEastAsia"/>
          <w:color w:val="000000"/>
          <w:sz w:val="24"/>
          <w:szCs w:val="24"/>
        </w:rPr>
        <w:t>上市交易公告书》了解相关信息。</w:t>
      </w:r>
    </w:p>
    <w:p w14:paraId="61164E29">
      <w:pPr>
        <w:spacing w:line="360" w:lineRule="auto"/>
        <w:ind w:firstLine="480" w:firstLineChars="200"/>
        <w:rPr>
          <w:rFonts w:asciiTheme="minorEastAsia" w:hAnsiTheme="minorEastAsia" w:eastAsiaTheme="minorEastAsia"/>
          <w:color w:val="000000"/>
          <w:sz w:val="24"/>
          <w:szCs w:val="24"/>
        </w:rPr>
      </w:pPr>
    </w:p>
    <w:p w14:paraId="28512707">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风险提示：基金管理人承诺以恪尽职守、诚实信用、谨慎勤勉的原则管理和运用基金资产，但不保证本基金一定盈利，也不保证最低收益。当投资人赎回时，所得会高于或低于投资人先前所支付的金额。本基金的过往业绩及其净值高低并不预示其未来业绩表现。基金管理人所管理的其他基金的业绩并不构成对本基金业绩表现的保证。基金管理人提醒投资人基金投资的“买者自负”原则，在做出投资决策后，基金运营状况与基金净值变化引致的投资风险，由投资人自行负担。</w:t>
      </w:r>
    </w:p>
    <w:p w14:paraId="4397F7C0">
      <w:pPr>
        <w:spacing w:line="360" w:lineRule="auto"/>
        <w:ind w:firstLine="480" w:firstLineChars="200"/>
        <w:rPr>
          <w:rFonts w:asciiTheme="minorEastAsia" w:hAnsiTheme="minorEastAsia" w:eastAsiaTheme="minorEastAsia"/>
          <w:color w:val="000000"/>
          <w:sz w:val="24"/>
          <w:szCs w:val="24"/>
        </w:rPr>
      </w:pPr>
    </w:p>
    <w:p w14:paraId="2E356049">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特此公告。</w:t>
      </w:r>
    </w:p>
    <w:p w14:paraId="1AA7B3AB">
      <w:pPr>
        <w:spacing w:line="360" w:lineRule="auto"/>
        <w:ind w:firstLine="480" w:firstLineChars="200"/>
        <w:rPr>
          <w:rFonts w:asciiTheme="minorEastAsia" w:hAnsiTheme="minorEastAsia" w:eastAsiaTheme="minorEastAsia"/>
          <w:color w:val="000000"/>
          <w:sz w:val="24"/>
          <w:szCs w:val="24"/>
        </w:rPr>
      </w:pPr>
    </w:p>
    <w:p w14:paraId="39CDE8C6">
      <w:pPr>
        <w:spacing w:line="360" w:lineRule="auto"/>
        <w:jc w:val="right"/>
        <w:rPr>
          <w:rFonts w:asciiTheme="minorEastAsia" w:hAnsiTheme="minorEastAsia" w:eastAsiaTheme="minorEastAsia"/>
          <w:color w:val="000000"/>
          <w:sz w:val="24"/>
          <w:szCs w:val="24"/>
          <w:highlight w:val="none"/>
        </w:rPr>
      </w:pPr>
      <w:r>
        <w:rPr>
          <w:rFonts w:asciiTheme="minorEastAsia" w:hAnsiTheme="minorEastAsia" w:eastAsiaTheme="minorEastAsia"/>
          <w:color w:val="000000"/>
          <w:sz w:val="24"/>
          <w:szCs w:val="24"/>
        </w:rPr>
        <w:t>博</w:t>
      </w:r>
      <w:r>
        <w:rPr>
          <w:rFonts w:asciiTheme="minorEastAsia" w:hAnsiTheme="minorEastAsia" w:eastAsiaTheme="minorEastAsia"/>
          <w:color w:val="000000"/>
          <w:sz w:val="24"/>
          <w:szCs w:val="24"/>
          <w:highlight w:val="none"/>
        </w:rPr>
        <w:t>时基金管理有限公司</w:t>
      </w:r>
    </w:p>
    <w:p w14:paraId="06BB4C3A">
      <w:pPr>
        <w:spacing w:line="360" w:lineRule="auto"/>
        <w:jc w:val="right"/>
        <w:rPr>
          <w:rFonts w:hint="eastAsia" w:asciiTheme="minorEastAsia" w:hAnsiTheme="minorEastAsia" w:eastAsiaTheme="minorEastAsia"/>
          <w:color w:val="000000"/>
          <w:sz w:val="24"/>
          <w:szCs w:val="24"/>
          <w:highlight w:val="none"/>
          <w:lang w:eastAsia="zh-CN"/>
        </w:rPr>
      </w:pPr>
      <w:r>
        <w:rPr>
          <w:rFonts w:hint="eastAsia" w:asciiTheme="minorEastAsia" w:hAnsiTheme="minorEastAsia" w:eastAsiaTheme="minorEastAsia"/>
          <w:color w:val="000000"/>
          <w:sz w:val="24"/>
          <w:szCs w:val="24"/>
          <w:highlight w:val="none"/>
          <w:lang w:eastAsia="zh-CN"/>
        </w:rPr>
        <w:t>2026年5月27日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简体">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2A9C"/>
    <w:rsid w:val="00010464"/>
    <w:rsid w:val="00011C60"/>
    <w:rsid w:val="00022693"/>
    <w:rsid w:val="00032098"/>
    <w:rsid w:val="00041353"/>
    <w:rsid w:val="00071294"/>
    <w:rsid w:val="00075A96"/>
    <w:rsid w:val="000A3A8C"/>
    <w:rsid w:val="000B693A"/>
    <w:rsid w:val="000F2BA6"/>
    <w:rsid w:val="00113281"/>
    <w:rsid w:val="00122706"/>
    <w:rsid w:val="0017629D"/>
    <w:rsid w:val="0019121A"/>
    <w:rsid w:val="001A4FEC"/>
    <w:rsid w:val="001B589C"/>
    <w:rsid w:val="001D24D4"/>
    <w:rsid w:val="001E12CF"/>
    <w:rsid w:val="001F380C"/>
    <w:rsid w:val="00205AF1"/>
    <w:rsid w:val="00215C39"/>
    <w:rsid w:val="00224357"/>
    <w:rsid w:val="002356CC"/>
    <w:rsid w:val="002509E8"/>
    <w:rsid w:val="002520E1"/>
    <w:rsid w:val="00267A58"/>
    <w:rsid w:val="0029245D"/>
    <w:rsid w:val="002B6AB6"/>
    <w:rsid w:val="002C6F5F"/>
    <w:rsid w:val="002D4E4E"/>
    <w:rsid w:val="002E376A"/>
    <w:rsid w:val="00305E28"/>
    <w:rsid w:val="00321CE4"/>
    <w:rsid w:val="00337F2E"/>
    <w:rsid w:val="00347C5C"/>
    <w:rsid w:val="00376C12"/>
    <w:rsid w:val="003902C4"/>
    <w:rsid w:val="003D4B88"/>
    <w:rsid w:val="00412DE1"/>
    <w:rsid w:val="00415A69"/>
    <w:rsid w:val="004420A0"/>
    <w:rsid w:val="004557FA"/>
    <w:rsid w:val="0045717D"/>
    <w:rsid w:val="00462584"/>
    <w:rsid w:val="004662BA"/>
    <w:rsid w:val="004966BA"/>
    <w:rsid w:val="004C0682"/>
    <w:rsid w:val="004D290A"/>
    <w:rsid w:val="004D6B0A"/>
    <w:rsid w:val="004E2F24"/>
    <w:rsid w:val="004E493E"/>
    <w:rsid w:val="004F517A"/>
    <w:rsid w:val="0050074D"/>
    <w:rsid w:val="00501F30"/>
    <w:rsid w:val="00503919"/>
    <w:rsid w:val="005231A0"/>
    <w:rsid w:val="00543DB7"/>
    <w:rsid w:val="0054597D"/>
    <w:rsid w:val="00570D54"/>
    <w:rsid w:val="005879F4"/>
    <w:rsid w:val="00591340"/>
    <w:rsid w:val="00592D79"/>
    <w:rsid w:val="0059628C"/>
    <w:rsid w:val="005A0BA2"/>
    <w:rsid w:val="005B4979"/>
    <w:rsid w:val="005C2730"/>
    <w:rsid w:val="005C7221"/>
    <w:rsid w:val="005D68AD"/>
    <w:rsid w:val="005E21DB"/>
    <w:rsid w:val="005E7139"/>
    <w:rsid w:val="005F10BB"/>
    <w:rsid w:val="005F6FE2"/>
    <w:rsid w:val="00622A72"/>
    <w:rsid w:val="006279F3"/>
    <w:rsid w:val="00674C14"/>
    <w:rsid w:val="006B6F63"/>
    <w:rsid w:val="006C4DEA"/>
    <w:rsid w:val="006F2E2E"/>
    <w:rsid w:val="006F64CB"/>
    <w:rsid w:val="0071564C"/>
    <w:rsid w:val="007276E0"/>
    <w:rsid w:val="00730DEB"/>
    <w:rsid w:val="0074415C"/>
    <w:rsid w:val="00752A9C"/>
    <w:rsid w:val="007759B5"/>
    <w:rsid w:val="007D0009"/>
    <w:rsid w:val="007D10CA"/>
    <w:rsid w:val="007E5C6A"/>
    <w:rsid w:val="007F2C6D"/>
    <w:rsid w:val="00803786"/>
    <w:rsid w:val="0082483B"/>
    <w:rsid w:val="0084744B"/>
    <w:rsid w:val="0088405F"/>
    <w:rsid w:val="00885086"/>
    <w:rsid w:val="00895CA3"/>
    <w:rsid w:val="008E1998"/>
    <w:rsid w:val="008E273C"/>
    <w:rsid w:val="00913B2A"/>
    <w:rsid w:val="00923E00"/>
    <w:rsid w:val="00956B0F"/>
    <w:rsid w:val="009826E1"/>
    <w:rsid w:val="00994773"/>
    <w:rsid w:val="009C627C"/>
    <w:rsid w:val="009D195A"/>
    <w:rsid w:val="009D7194"/>
    <w:rsid w:val="00A0551E"/>
    <w:rsid w:val="00A257D6"/>
    <w:rsid w:val="00A25D90"/>
    <w:rsid w:val="00A62667"/>
    <w:rsid w:val="00A62BEE"/>
    <w:rsid w:val="00A74A10"/>
    <w:rsid w:val="00A97CEA"/>
    <w:rsid w:val="00AA05EF"/>
    <w:rsid w:val="00AC5EB0"/>
    <w:rsid w:val="00AC6E8D"/>
    <w:rsid w:val="00AD513A"/>
    <w:rsid w:val="00B31FAB"/>
    <w:rsid w:val="00B65A51"/>
    <w:rsid w:val="00B70220"/>
    <w:rsid w:val="00B90CAE"/>
    <w:rsid w:val="00B91E8A"/>
    <w:rsid w:val="00B94893"/>
    <w:rsid w:val="00B955E4"/>
    <w:rsid w:val="00C11C49"/>
    <w:rsid w:val="00C65765"/>
    <w:rsid w:val="00C733C1"/>
    <w:rsid w:val="00CF4036"/>
    <w:rsid w:val="00D036D1"/>
    <w:rsid w:val="00D33A12"/>
    <w:rsid w:val="00D57B65"/>
    <w:rsid w:val="00D76587"/>
    <w:rsid w:val="00D836DB"/>
    <w:rsid w:val="00D9373C"/>
    <w:rsid w:val="00DA79B5"/>
    <w:rsid w:val="00DB16CB"/>
    <w:rsid w:val="00DC6552"/>
    <w:rsid w:val="00DD5329"/>
    <w:rsid w:val="00DD777B"/>
    <w:rsid w:val="00E038BD"/>
    <w:rsid w:val="00E50FC6"/>
    <w:rsid w:val="00E57E24"/>
    <w:rsid w:val="00E62B8E"/>
    <w:rsid w:val="00E77012"/>
    <w:rsid w:val="00E97374"/>
    <w:rsid w:val="00EB0C3F"/>
    <w:rsid w:val="00EC031E"/>
    <w:rsid w:val="00EC2196"/>
    <w:rsid w:val="00EE4694"/>
    <w:rsid w:val="00EE5969"/>
    <w:rsid w:val="00EF147F"/>
    <w:rsid w:val="00F1586E"/>
    <w:rsid w:val="00FB14E7"/>
    <w:rsid w:val="00FB565D"/>
    <w:rsid w:val="00FC2989"/>
    <w:rsid w:val="00FC3720"/>
    <w:rsid w:val="00FF7430"/>
    <w:rsid w:val="00FF7AA4"/>
    <w:rsid w:val="02713539"/>
    <w:rsid w:val="02A074A6"/>
    <w:rsid w:val="05656043"/>
    <w:rsid w:val="0CBB296F"/>
    <w:rsid w:val="1C3040B1"/>
    <w:rsid w:val="1D543A45"/>
    <w:rsid w:val="1ED20F29"/>
    <w:rsid w:val="1FA4037A"/>
    <w:rsid w:val="225C3C9D"/>
    <w:rsid w:val="233258F9"/>
    <w:rsid w:val="23590A74"/>
    <w:rsid w:val="2EEE2811"/>
    <w:rsid w:val="33697F88"/>
    <w:rsid w:val="3610013D"/>
    <w:rsid w:val="3A2E2404"/>
    <w:rsid w:val="3AD324A2"/>
    <w:rsid w:val="3B64607D"/>
    <w:rsid w:val="3C206FC3"/>
    <w:rsid w:val="41213B46"/>
    <w:rsid w:val="41851F89"/>
    <w:rsid w:val="419053BC"/>
    <w:rsid w:val="424C6431"/>
    <w:rsid w:val="479422A0"/>
    <w:rsid w:val="49A4503C"/>
    <w:rsid w:val="49F97E07"/>
    <w:rsid w:val="4B15344A"/>
    <w:rsid w:val="4B300453"/>
    <w:rsid w:val="52872E7C"/>
    <w:rsid w:val="52C16515"/>
    <w:rsid w:val="5CE977B9"/>
    <w:rsid w:val="5DE765F3"/>
    <w:rsid w:val="5FAF7CE6"/>
    <w:rsid w:val="6183733B"/>
    <w:rsid w:val="68D27231"/>
    <w:rsid w:val="6AF04982"/>
    <w:rsid w:val="6B9943E7"/>
    <w:rsid w:val="6BB61FE5"/>
    <w:rsid w:val="6F990156"/>
    <w:rsid w:val="713E51E1"/>
    <w:rsid w:val="71E568EB"/>
    <w:rsid w:val="793B1C09"/>
    <w:rsid w:val="7CCF7B43"/>
    <w:rsid w:val="7D20704E"/>
    <w:rsid w:val="7FAF33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方正仿宋简体" w:cs="Times New Roman"/>
      <w:kern w:val="2"/>
      <w:sz w:val="32"/>
      <w:szCs w:val="20"/>
      <w:lang w:val="en-US" w:eastAsia="zh-CN" w:bidi="ar-SA"/>
    </w:rPr>
  </w:style>
  <w:style w:type="paragraph" w:styleId="2">
    <w:name w:val="heading 2"/>
    <w:basedOn w:val="1"/>
    <w:next w:val="1"/>
    <w:link w:val="14"/>
    <w:qFormat/>
    <w:uiPriority w:val="0"/>
    <w:pPr>
      <w:keepNext/>
      <w:keepLines/>
      <w:spacing w:before="260" w:after="260" w:line="416" w:lineRule="auto"/>
      <w:outlineLvl w:val="1"/>
    </w:pPr>
    <w:rPr>
      <w:rFonts w:ascii="Arial" w:hAnsi="Arial" w:eastAsia="黑体"/>
      <w:b/>
      <w:bCs/>
      <w:szCs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9"/>
    <w:semiHidden/>
    <w:unhideWhenUsed/>
    <w:qFormat/>
    <w:uiPriority w:val="99"/>
    <w:pPr>
      <w:jc w:val="left"/>
    </w:pPr>
  </w:style>
  <w:style w:type="paragraph" w:styleId="4">
    <w:name w:val="Balloon Text"/>
    <w:basedOn w:val="1"/>
    <w:link w:val="16"/>
    <w:semiHidden/>
    <w:unhideWhenUsed/>
    <w:qFormat/>
    <w:uiPriority w:val="99"/>
    <w:rPr>
      <w:sz w:val="18"/>
      <w:szCs w:val="18"/>
    </w:rPr>
  </w:style>
  <w:style w:type="paragraph" w:styleId="5">
    <w:name w:val="footer"/>
    <w:basedOn w:val="1"/>
    <w:link w:val="18"/>
    <w:unhideWhenUsed/>
    <w:qFormat/>
    <w:uiPriority w:val="99"/>
    <w:pPr>
      <w:tabs>
        <w:tab w:val="center" w:pos="4153"/>
        <w:tab w:val="right" w:pos="8306"/>
      </w:tabs>
      <w:snapToGrid w:val="0"/>
      <w:jc w:val="left"/>
    </w:pPr>
    <w:rPr>
      <w:sz w:val="18"/>
      <w:szCs w:val="18"/>
    </w:rPr>
  </w:style>
  <w:style w:type="paragraph" w:styleId="6">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footnote text"/>
    <w:basedOn w:val="1"/>
    <w:link w:val="15"/>
    <w:qFormat/>
    <w:uiPriority w:val="0"/>
    <w:pPr>
      <w:snapToGrid w:val="0"/>
      <w:jc w:val="left"/>
    </w:pPr>
    <w:rPr>
      <w:rFonts w:eastAsia="宋体"/>
      <w:sz w:val="18"/>
    </w:rPr>
  </w:style>
  <w:style w:type="paragraph" w:styleId="8">
    <w:name w:val="annotation subject"/>
    <w:basedOn w:val="3"/>
    <w:next w:val="3"/>
    <w:link w:val="20"/>
    <w:semiHidden/>
    <w:unhideWhenUsed/>
    <w:qFormat/>
    <w:uiPriority w:val="99"/>
    <w:rPr>
      <w:b/>
      <w:bCs/>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annotation reference"/>
    <w:basedOn w:val="11"/>
    <w:semiHidden/>
    <w:unhideWhenUsed/>
    <w:qFormat/>
    <w:uiPriority w:val="99"/>
    <w:rPr>
      <w:sz w:val="21"/>
      <w:szCs w:val="21"/>
    </w:rPr>
  </w:style>
  <w:style w:type="character" w:styleId="13">
    <w:name w:val="footnote reference"/>
    <w:basedOn w:val="11"/>
    <w:qFormat/>
    <w:uiPriority w:val="0"/>
    <w:rPr>
      <w:vertAlign w:val="superscript"/>
    </w:rPr>
  </w:style>
  <w:style w:type="character" w:customStyle="1" w:styleId="14">
    <w:name w:val="标题 2 字符"/>
    <w:basedOn w:val="11"/>
    <w:link w:val="2"/>
    <w:qFormat/>
    <w:uiPriority w:val="0"/>
    <w:rPr>
      <w:rFonts w:ascii="Arial" w:hAnsi="Arial" w:eastAsia="黑体" w:cs="Times New Roman"/>
      <w:b/>
      <w:bCs/>
      <w:sz w:val="32"/>
      <w:szCs w:val="32"/>
    </w:rPr>
  </w:style>
  <w:style w:type="character" w:customStyle="1" w:styleId="15">
    <w:name w:val="脚注文本 字符"/>
    <w:basedOn w:val="11"/>
    <w:link w:val="7"/>
    <w:qFormat/>
    <w:uiPriority w:val="0"/>
    <w:rPr>
      <w:rFonts w:ascii="Times New Roman" w:hAnsi="Times New Roman" w:eastAsia="宋体" w:cs="Times New Roman"/>
      <w:sz w:val="18"/>
      <w:szCs w:val="20"/>
    </w:rPr>
  </w:style>
  <w:style w:type="character" w:customStyle="1" w:styleId="16">
    <w:name w:val="批注框文本 字符"/>
    <w:basedOn w:val="11"/>
    <w:link w:val="4"/>
    <w:semiHidden/>
    <w:qFormat/>
    <w:uiPriority w:val="99"/>
    <w:rPr>
      <w:rFonts w:ascii="Times New Roman" w:hAnsi="Times New Roman" w:eastAsia="方正仿宋简体" w:cs="Times New Roman"/>
      <w:sz w:val="18"/>
      <w:szCs w:val="18"/>
    </w:rPr>
  </w:style>
  <w:style w:type="character" w:customStyle="1" w:styleId="17">
    <w:name w:val="页眉 字符"/>
    <w:basedOn w:val="11"/>
    <w:link w:val="6"/>
    <w:qFormat/>
    <w:uiPriority w:val="99"/>
    <w:rPr>
      <w:rFonts w:ascii="Times New Roman" w:hAnsi="Times New Roman" w:eastAsia="方正仿宋简体" w:cs="Times New Roman"/>
      <w:sz w:val="18"/>
      <w:szCs w:val="18"/>
    </w:rPr>
  </w:style>
  <w:style w:type="character" w:customStyle="1" w:styleId="18">
    <w:name w:val="页脚 字符"/>
    <w:basedOn w:val="11"/>
    <w:link w:val="5"/>
    <w:qFormat/>
    <w:uiPriority w:val="99"/>
    <w:rPr>
      <w:rFonts w:ascii="Times New Roman" w:hAnsi="Times New Roman" w:eastAsia="方正仿宋简体" w:cs="Times New Roman"/>
      <w:sz w:val="18"/>
      <w:szCs w:val="18"/>
    </w:rPr>
  </w:style>
  <w:style w:type="character" w:customStyle="1" w:styleId="19">
    <w:name w:val="批注文字 字符"/>
    <w:basedOn w:val="11"/>
    <w:link w:val="3"/>
    <w:semiHidden/>
    <w:qFormat/>
    <w:uiPriority w:val="99"/>
    <w:rPr>
      <w:rFonts w:ascii="Times New Roman" w:hAnsi="Times New Roman" w:eastAsia="方正仿宋简体" w:cs="Times New Roman"/>
      <w:sz w:val="32"/>
      <w:szCs w:val="20"/>
    </w:rPr>
  </w:style>
  <w:style w:type="character" w:customStyle="1" w:styleId="20">
    <w:name w:val="批注主题 字符"/>
    <w:basedOn w:val="19"/>
    <w:link w:val="8"/>
    <w:semiHidden/>
    <w:qFormat/>
    <w:uiPriority w:val="99"/>
    <w:rPr>
      <w:rFonts w:ascii="Times New Roman" w:hAnsi="Times New Roman" w:eastAsia="方正仿宋简体" w:cs="Times New Roman"/>
      <w:b/>
      <w:bCs/>
      <w:sz w:val="32"/>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3163FC-1D8B-4051-BFB0-AB7C8986D489}">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6</Pages>
  <Words>647</Words>
  <Characters>3694</Characters>
  <Lines>30</Lines>
  <Paragraphs>8</Paragraphs>
  <TotalTime>5</TotalTime>
  <ScaleCrop>false</ScaleCrop>
  <LinksUpToDate>false</LinksUpToDate>
  <CharactersWithSpaces>4333</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2013-07-19T01:40:00Z</dcterms:created>
  <dc:creator>User</dc:creator>
  <cp:lastModifiedBy>liuf</cp:lastModifiedBy>
  <dcterms:modified xsi:type="dcterms:W3CDTF">2026-05-22T01:59:03Z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724C386F9B3C4C6D9A4BD87824FAB766_13</vt:lpwstr>
  </property>
</Properties>
</file>