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A48F15">
      <w:pPr>
        <w:spacing w:line="360" w:lineRule="auto"/>
        <w:jc w:val="center"/>
        <w:rPr>
          <w:rFonts w:hint="eastAsia" w:ascii="宋体" w:hAnsi="宋体" w:eastAsia="宋体"/>
          <w:b/>
          <w:sz w:val="30"/>
        </w:rPr>
      </w:pPr>
      <w:r>
        <w:rPr>
          <w:rFonts w:hint="eastAsia" w:ascii="宋体" w:hAnsi="宋体" w:eastAsia="宋体"/>
          <w:b/>
          <w:sz w:val="30"/>
        </w:rPr>
        <w:t>博时恒指港股通交易型开放式指数证券投资基金基金合同生效公告</w:t>
      </w:r>
    </w:p>
    <w:p w14:paraId="3B5130FF">
      <w:pPr>
        <w:spacing w:line="360" w:lineRule="auto"/>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w:t>
      </w:r>
      <w:bookmarkStart w:id="0" w:name="_GoBack"/>
      <w:bookmarkEnd w:id="0"/>
      <w:r>
        <w:rPr>
          <w:rFonts w:ascii="宋体" w:hAnsi="宋体" w:eastAsia="宋体"/>
          <w:b/>
          <w:sz w:val="24"/>
        </w:rPr>
        <w:t>年5月21日</w:t>
      </w:r>
    </w:p>
    <w:p w14:paraId="5585C6D2">
      <w:pPr>
        <w:spacing w:line="360" w:lineRule="auto"/>
        <w:jc w:val="center"/>
        <w:rPr>
          <w:rFonts w:ascii="宋体" w:hAnsi="宋体" w:eastAsia="宋体"/>
          <w:b/>
          <w:sz w:val="24"/>
        </w:rPr>
      </w:pPr>
    </w:p>
    <w:p w14:paraId="0C39E589">
      <w:pPr>
        <w:rPr>
          <w:rFonts w:ascii="宋体" w:hAnsi="宋体" w:eastAsia="宋体"/>
          <w:b/>
        </w:rPr>
      </w:pPr>
      <w:r>
        <w:rPr>
          <w:rFonts w:ascii="宋体" w:hAnsi="宋体" w:eastAsia="宋体"/>
          <w:b/>
        </w:rPr>
        <w:t>1、公告基本信息</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00"/>
        <w:gridCol w:w="5300"/>
      </w:tblGrid>
      <w:tr w14:paraId="42CDC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313605E8">
            <w:pPr>
              <w:rPr>
                <w:rFonts w:ascii="宋体" w:hAnsi="宋体" w:eastAsia="宋体"/>
              </w:rPr>
            </w:pPr>
            <w:r>
              <w:rPr>
                <w:rFonts w:hint="eastAsia" w:ascii="宋体" w:hAnsi="宋体" w:eastAsia="宋体"/>
              </w:rPr>
              <w:t>基金名称</w:t>
            </w:r>
          </w:p>
        </w:tc>
        <w:tc>
          <w:tcPr>
            <w:tcW w:w="5300" w:type="dxa"/>
            <w:vAlign w:val="center"/>
          </w:tcPr>
          <w:p w14:paraId="19BEA372">
            <w:pPr>
              <w:rPr>
                <w:rFonts w:ascii="宋体" w:hAnsi="宋体" w:eastAsia="宋体"/>
              </w:rPr>
            </w:pPr>
            <w:r>
              <w:rPr>
                <w:rFonts w:hint="eastAsia" w:ascii="宋体" w:hAnsi="宋体" w:eastAsia="宋体"/>
              </w:rPr>
              <w:t>博时恒指港股通交易型开放式指数证券投资基金</w:t>
            </w:r>
          </w:p>
        </w:tc>
      </w:tr>
      <w:tr w14:paraId="2BA84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0F9D82C2">
            <w:pPr>
              <w:rPr>
                <w:rFonts w:ascii="宋体" w:hAnsi="宋体" w:eastAsia="宋体"/>
              </w:rPr>
            </w:pPr>
            <w:r>
              <w:rPr>
                <w:rFonts w:hint="eastAsia" w:ascii="宋体" w:hAnsi="宋体" w:eastAsia="宋体"/>
              </w:rPr>
              <w:t>基金简称</w:t>
            </w:r>
          </w:p>
        </w:tc>
        <w:tc>
          <w:tcPr>
            <w:tcW w:w="5300" w:type="dxa"/>
            <w:vAlign w:val="center"/>
          </w:tcPr>
          <w:p w14:paraId="1420F6DD">
            <w:pPr>
              <w:rPr>
                <w:rFonts w:ascii="宋体" w:hAnsi="宋体" w:eastAsia="宋体"/>
              </w:rPr>
            </w:pPr>
            <w:r>
              <w:rPr>
                <w:rFonts w:hint="eastAsia" w:ascii="宋体" w:hAnsi="宋体" w:eastAsia="宋体"/>
              </w:rPr>
              <w:t>博时恒指港股通</w:t>
            </w:r>
            <w:r>
              <w:rPr>
                <w:rFonts w:ascii="宋体" w:hAnsi="宋体" w:eastAsia="宋体"/>
              </w:rPr>
              <w:t>ETF</w:t>
            </w:r>
          </w:p>
        </w:tc>
      </w:tr>
      <w:tr w14:paraId="120A2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0116718">
            <w:pPr>
              <w:rPr>
                <w:rFonts w:ascii="宋体" w:hAnsi="宋体" w:eastAsia="宋体"/>
              </w:rPr>
            </w:pPr>
            <w:r>
              <w:rPr>
                <w:rFonts w:hint="eastAsia" w:ascii="宋体" w:hAnsi="宋体" w:eastAsia="宋体"/>
              </w:rPr>
              <w:t>基金主代码</w:t>
            </w:r>
          </w:p>
        </w:tc>
        <w:tc>
          <w:tcPr>
            <w:tcW w:w="5300" w:type="dxa"/>
            <w:vAlign w:val="center"/>
          </w:tcPr>
          <w:p w14:paraId="6CAD94BF">
            <w:pPr>
              <w:rPr>
                <w:rFonts w:ascii="宋体" w:hAnsi="宋体" w:eastAsia="宋体"/>
              </w:rPr>
            </w:pPr>
            <w:r>
              <w:rPr>
                <w:rFonts w:ascii="宋体" w:hAnsi="宋体" w:eastAsia="宋体"/>
              </w:rPr>
              <w:t>526070</w:t>
            </w:r>
          </w:p>
        </w:tc>
      </w:tr>
      <w:tr w14:paraId="66D51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7A9789B8">
            <w:pPr>
              <w:rPr>
                <w:rFonts w:ascii="宋体" w:hAnsi="宋体" w:eastAsia="宋体"/>
              </w:rPr>
            </w:pPr>
            <w:r>
              <w:rPr>
                <w:rFonts w:hint="eastAsia" w:ascii="宋体" w:hAnsi="宋体" w:eastAsia="宋体"/>
              </w:rPr>
              <w:t>基金运作方式</w:t>
            </w:r>
          </w:p>
        </w:tc>
        <w:tc>
          <w:tcPr>
            <w:tcW w:w="5300" w:type="dxa"/>
            <w:vAlign w:val="center"/>
          </w:tcPr>
          <w:p w14:paraId="06806FA8">
            <w:pPr>
              <w:rPr>
                <w:rFonts w:ascii="宋体" w:hAnsi="宋体" w:eastAsia="宋体"/>
              </w:rPr>
            </w:pPr>
            <w:r>
              <w:rPr>
                <w:rFonts w:hint="eastAsia" w:ascii="宋体" w:hAnsi="宋体" w:eastAsia="宋体"/>
              </w:rPr>
              <w:t>交易型开放式</w:t>
            </w:r>
          </w:p>
        </w:tc>
      </w:tr>
      <w:tr w14:paraId="61928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7AA71974">
            <w:pPr>
              <w:rPr>
                <w:rFonts w:ascii="宋体" w:hAnsi="宋体" w:eastAsia="宋体"/>
              </w:rPr>
            </w:pPr>
            <w:r>
              <w:rPr>
                <w:rFonts w:hint="eastAsia" w:ascii="宋体" w:hAnsi="宋体" w:eastAsia="宋体"/>
              </w:rPr>
              <w:t>基金合同生效日</w:t>
            </w:r>
          </w:p>
        </w:tc>
        <w:tc>
          <w:tcPr>
            <w:tcW w:w="5300" w:type="dxa"/>
            <w:vAlign w:val="center"/>
          </w:tcPr>
          <w:p w14:paraId="4E8ECBAC">
            <w:pPr>
              <w:rPr>
                <w:rFonts w:ascii="宋体" w:hAnsi="宋体" w:eastAsia="宋体"/>
              </w:rPr>
            </w:pPr>
            <w:r>
              <w:rPr>
                <w:rFonts w:ascii="宋体" w:hAnsi="宋体" w:eastAsia="宋体"/>
              </w:rPr>
              <w:t>2026年5月20日</w:t>
            </w:r>
          </w:p>
        </w:tc>
      </w:tr>
      <w:tr w14:paraId="7D612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BE73A88">
            <w:pPr>
              <w:rPr>
                <w:rFonts w:ascii="宋体" w:hAnsi="宋体" w:eastAsia="宋体"/>
              </w:rPr>
            </w:pPr>
            <w:r>
              <w:rPr>
                <w:rFonts w:hint="eastAsia" w:ascii="宋体" w:hAnsi="宋体" w:eastAsia="宋体"/>
              </w:rPr>
              <w:t>基金管理人名称</w:t>
            </w:r>
          </w:p>
        </w:tc>
        <w:tc>
          <w:tcPr>
            <w:tcW w:w="5300" w:type="dxa"/>
            <w:vAlign w:val="center"/>
          </w:tcPr>
          <w:p w14:paraId="7F81BEEF">
            <w:pPr>
              <w:rPr>
                <w:rFonts w:ascii="宋体" w:hAnsi="宋体" w:eastAsia="宋体"/>
              </w:rPr>
            </w:pPr>
            <w:r>
              <w:rPr>
                <w:rFonts w:hint="eastAsia" w:ascii="宋体" w:hAnsi="宋体" w:eastAsia="宋体"/>
              </w:rPr>
              <w:t>博时基金管理有限公司</w:t>
            </w:r>
          </w:p>
        </w:tc>
      </w:tr>
      <w:tr w14:paraId="4FEFC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DD4EBF3">
            <w:pPr>
              <w:rPr>
                <w:rFonts w:ascii="宋体" w:hAnsi="宋体" w:eastAsia="宋体"/>
              </w:rPr>
            </w:pPr>
            <w:r>
              <w:rPr>
                <w:rFonts w:hint="eastAsia" w:ascii="宋体" w:hAnsi="宋体" w:eastAsia="宋体"/>
              </w:rPr>
              <w:t>基金托管人名称</w:t>
            </w:r>
          </w:p>
        </w:tc>
        <w:tc>
          <w:tcPr>
            <w:tcW w:w="5300" w:type="dxa"/>
            <w:vAlign w:val="center"/>
          </w:tcPr>
          <w:p w14:paraId="5BFBB1A5">
            <w:pPr>
              <w:rPr>
                <w:rFonts w:ascii="宋体" w:hAnsi="宋体" w:eastAsia="宋体"/>
              </w:rPr>
            </w:pPr>
            <w:r>
              <w:rPr>
                <w:rFonts w:hint="eastAsia" w:ascii="宋体" w:hAnsi="宋体" w:eastAsia="宋体"/>
              </w:rPr>
              <w:t>中国农业银行股份有限公司</w:t>
            </w:r>
          </w:p>
        </w:tc>
      </w:tr>
      <w:tr w14:paraId="4D445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85FA532">
            <w:pPr>
              <w:rPr>
                <w:rFonts w:ascii="宋体" w:hAnsi="宋体" w:eastAsia="宋体"/>
              </w:rPr>
            </w:pPr>
            <w:r>
              <w:rPr>
                <w:rFonts w:hint="eastAsia" w:ascii="宋体" w:hAnsi="宋体" w:eastAsia="宋体"/>
              </w:rPr>
              <w:t>公告依据</w:t>
            </w:r>
          </w:p>
        </w:tc>
        <w:tc>
          <w:tcPr>
            <w:tcW w:w="5300" w:type="dxa"/>
            <w:vAlign w:val="center"/>
          </w:tcPr>
          <w:p w14:paraId="2924D8C9">
            <w:pPr>
              <w:rPr>
                <w:rFonts w:ascii="宋体" w:hAnsi="宋体" w:eastAsia="宋体"/>
              </w:rPr>
            </w:pPr>
            <w:r>
              <w:rPr>
                <w:rFonts w:hint="eastAsia" w:ascii="宋体" w:hAnsi="宋体" w:eastAsia="宋体"/>
              </w:rPr>
              <w:t>《博时恒指港股通交易型开放式指数证券投资基金基金合同》、《博时恒指港股通交易型开放式指数证券投资基金招募说明书》等</w:t>
            </w:r>
          </w:p>
        </w:tc>
      </w:tr>
    </w:tbl>
    <w:p w14:paraId="7D1CFCBC">
      <w:pPr>
        <w:rPr>
          <w:rFonts w:ascii="宋体" w:hAnsi="宋体" w:eastAsia="宋体"/>
          <w:b/>
        </w:rPr>
      </w:pPr>
    </w:p>
    <w:p w14:paraId="40180D16">
      <w:pPr>
        <w:rPr>
          <w:rFonts w:ascii="宋体" w:hAnsi="宋体" w:eastAsia="宋体"/>
          <w:b/>
        </w:rPr>
      </w:pPr>
      <w:r>
        <w:rPr>
          <w:rFonts w:ascii="宋体" w:hAnsi="宋体" w:eastAsia="宋体"/>
          <w:b/>
        </w:rPr>
        <w:t>2、基金募集情况</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0"/>
        <w:gridCol w:w="1600"/>
        <w:gridCol w:w="5200"/>
      </w:tblGrid>
      <w:tr w14:paraId="7EABF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56B7CB79">
            <w:pPr>
              <w:rPr>
                <w:rFonts w:ascii="宋体" w:hAnsi="宋体" w:eastAsia="宋体"/>
              </w:rPr>
            </w:pPr>
            <w:r>
              <w:rPr>
                <w:rFonts w:hint="eastAsia" w:ascii="宋体" w:hAnsi="宋体" w:eastAsia="宋体"/>
              </w:rPr>
              <w:t>基金募集申请获中国证监会核准的文号</w:t>
            </w:r>
          </w:p>
        </w:tc>
        <w:tc>
          <w:tcPr>
            <w:tcW w:w="5200" w:type="dxa"/>
            <w:vAlign w:val="center"/>
          </w:tcPr>
          <w:p w14:paraId="70783A7F">
            <w:pPr>
              <w:rPr>
                <w:rFonts w:ascii="宋体" w:hAnsi="宋体" w:eastAsia="宋体"/>
              </w:rPr>
            </w:pPr>
            <w:r>
              <w:rPr>
                <w:rFonts w:hint="eastAsia" w:ascii="宋体" w:hAnsi="宋体" w:eastAsia="宋体"/>
              </w:rPr>
              <w:t>证监许可</w:t>
            </w:r>
            <w:r>
              <w:rPr>
                <w:rFonts w:ascii="宋体" w:hAnsi="宋体" w:eastAsia="宋体"/>
              </w:rPr>
              <w:t>[2026]563号</w:t>
            </w:r>
          </w:p>
        </w:tc>
      </w:tr>
      <w:tr w14:paraId="59204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63BA8292">
            <w:pPr>
              <w:rPr>
                <w:rFonts w:ascii="宋体" w:hAnsi="宋体" w:eastAsia="宋体"/>
              </w:rPr>
            </w:pPr>
            <w:r>
              <w:rPr>
                <w:rFonts w:hint="eastAsia" w:ascii="宋体" w:hAnsi="宋体" w:eastAsia="宋体"/>
              </w:rPr>
              <w:t>基金募集期间</w:t>
            </w:r>
          </w:p>
        </w:tc>
        <w:tc>
          <w:tcPr>
            <w:tcW w:w="5200" w:type="dxa"/>
            <w:vAlign w:val="center"/>
          </w:tcPr>
          <w:p w14:paraId="73F04491">
            <w:pPr>
              <w:rPr>
                <w:rFonts w:ascii="宋体" w:hAnsi="宋体" w:eastAsia="宋体"/>
              </w:rPr>
            </w:pPr>
            <w:r>
              <w:rPr>
                <w:rFonts w:hint="eastAsia" w:ascii="宋体" w:hAnsi="宋体" w:eastAsia="宋体"/>
              </w:rPr>
              <w:t>自</w:t>
            </w:r>
            <w:r>
              <w:rPr>
                <w:rFonts w:ascii="宋体" w:hAnsi="宋体" w:eastAsia="宋体"/>
              </w:rPr>
              <w:t>2026年5月6日至2026年5月15日止</w:t>
            </w:r>
          </w:p>
        </w:tc>
      </w:tr>
      <w:tr w14:paraId="577C5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354ADE16">
            <w:pPr>
              <w:rPr>
                <w:rFonts w:ascii="宋体" w:hAnsi="宋体" w:eastAsia="宋体"/>
              </w:rPr>
            </w:pPr>
            <w:r>
              <w:rPr>
                <w:rFonts w:hint="eastAsia" w:ascii="宋体" w:hAnsi="宋体" w:eastAsia="宋体"/>
              </w:rPr>
              <w:t>验资机构名称</w:t>
            </w:r>
          </w:p>
        </w:tc>
        <w:tc>
          <w:tcPr>
            <w:tcW w:w="5200" w:type="dxa"/>
            <w:vAlign w:val="center"/>
          </w:tcPr>
          <w:p w14:paraId="25FE1AC4">
            <w:pPr>
              <w:rPr>
                <w:rFonts w:ascii="宋体" w:hAnsi="宋体" w:eastAsia="宋体"/>
              </w:rPr>
            </w:pPr>
            <w:r>
              <w:rPr>
                <w:rFonts w:hint="eastAsia" w:ascii="宋体" w:hAnsi="宋体" w:eastAsia="宋体"/>
              </w:rPr>
              <w:t>安永华明会计师事务所（特殊普通合伙）</w:t>
            </w:r>
          </w:p>
        </w:tc>
      </w:tr>
      <w:tr w14:paraId="34A5B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4DFB7890">
            <w:pPr>
              <w:rPr>
                <w:rFonts w:ascii="宋体" w:hAnsi="宋体" w:eastAsia="宋体"/>
              </w:rPr>
            </w:pPr>
            <w:r>
              <w:rPr>
                <w:rFonts w:hint="eastAsia" w:ascii="宋体" w:hAnsi="宋体" w:eastAsia="宋体"/>
              </w:rPr>
              <w:t>募集资金划入基金托管专户的日期</w:t>
            </w:r>
          </w:p>
        </w:tc>
        <w:tc>
          <w:tcPr>
            <w:tcW w:w="5200" w:type="dxa"/>
            <w:vAlign w:val="center"/>
          </w:tcPr>
          <w:p w14:paraId="4396A182">
            <w:pPr>
              <w:rPr>
                <w:rFonts w:ascii="宋体" w:hAnsi="宋体" w:eastAsia="宋体"/>
              </w:rPr>
            </w:pPr>
            <w:r>
              <w:rPr>
                <w:rFonts w:ascii="宋体" w:hAnsi="宋体" w:eastAsia="宋体"/>
              </w:rPr>
              <w:t>2026年5月20日</w:t>
            </w:r>
          </w:p>
        </w:tc>
      </w:tr>
      <w:tr w14:paraId="1732C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4BFB3BD6">
            <w:pPr>
              <w:rPr>
                <w:rFonts w:ascii="宋体" w:hAnsi="宋体" w:eastAsia="宋体"/>
              </w:rPr>
            </w:pPr>
            <w:r>
              <w:rPr>
                <w:rFonts w:hint="eastAsia" w:ascii="宋体" w:hAnsi="宋体" w:eastAsia="宋体"/>
              </w:rPr>
              <w:t>募集有效认购总户数（单位：户）</w:t>
            </w:r>
          </w:p>
        </w:tc>
        <w:tc>
          <w:tcPr>
            <w:tcW w:w="5200" w:type="dxa"/>
            <w:vAlign w:val="center"/>
          </w:tcPr>
          <w:p w14:paraId="4D8196BD">
            <w:pPr>
              <w:rPr>
                <w:rFonts w:ascii="宋体" w:hAnsi="宋体" w:eastAsia="宋体"/>
              </w:rPr>
            </w:pPr>
            <w:r>
              <w:rPr>
                <w:rFonts w:ascii="宋体" w:hAnsi="宋体" w:eastAsia="宋体"/>
              </w:rPr>
              <w:t>2,366</w:t>
            </w:r>
          </w:p>
        </w:tc>
      </w:tr>
      <w:tr w14:paraId="4E3F4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7225A507">
            <w:pPr>
              <w:rPr>
                <w:rFonts w:ascii="宋体" w:hAnsi="宋体" w:eastAsia="宋体"/>
              </w:rPr>
            </w:pPr>
            <w:r>
              <w:rPr>
                <w:rFonts w:hint="eastAsia" w:ascii="宋体" w:hAnsi="宋体" w:eastAsia="宋体"/>
              </w:rPr>
              <w:t>募集期间净认购金额（单位：元）</w:t>
            </w:r>
          </w:p>
        </w:tc>
        <w:tc>
          <w:tcPr>
            <w:tcW w:w="5200" w:type="dxa"/>
            <w:vAlign w:val="center"/>
          </w:tcPr>
          <w:p w14:paraId="47596CF0">
            <w:pPr>
              <w:rPr>
                <w:rFonts w:ascii="宋体" w:hAnsi="宋体" w:eastAsia="宋体"/>
              </w:rPr>
            </w:pPr>
            <w:r>
              <w:rPr>
                <w:rFonts w:ascii="宋体" w:hAnsi="宋体" w:eastAsia="宋体"/>
              </w:rPr>
              <w:t>235,377,000.00</w:t>
            </w:r>
          </w:p>
        </w:tc>
      </w:tr>
      <w:tr w14:paraId="68AB7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18DA0189">
            <w:pPr>
              <w:rPr>
                <w:rFonts w:ascii="宋体" w:hAnsi="宋体" w:eastAsia="宋体"/>
              </w:rPr>
            </w:pPr>
            <w:r>
              <w:rPr>
                <w:rFonts w:hint="eastAsia" w:ascii="宋体" w:hAnsi="宋体" w:eastAsia="宋体"/>
              </w:rPr>
              <w:t>认购资金在募集期间产生的利息（单位：元）</w:t>
            </w:r>
          </w:p>
        </w:tc>
        <w:tc>
          <w:tcPr>
            <w:tcW w:w="5200" w:type="dxa"/>
            <w:vAlign w:val="center"/>
          </w:tcPr>
          <w:p w14:paraId="50262A02">
            <w:pPr>
              <w:rPr>
                <w:rFonts w:ascii="宋体" w:hAnsi="宋体" w:eastAsia="宋体"/>
              </w:rPr>
            </w:pPr>
            <w:r>
              <w:rPr>
                <w:rFonts w:ascii="宋体" w:hAnsi="宋体" w:eastAsia="宋体"/>
              </w:rPr>
              <w:t>17,943.97</w:t>
            </w:r>
          </w:p>
        </w:tc>
      </w:tr>
      <w:tr w14:paraId="388D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4E1EC068">
            <w:pPr>
              <w:rPr>
                <w:rFonts w:ascii="宋体" w:hAnsi="宋体" w:eastAsia="宋体"/>
              </w:rPr>
            </w:pPr>
            <w:r>
              <w:rPr>
                <w:rFonts w:hint="eastAsia" w:ascii="宋体" w:hAnsi="宋体" w:eastAsia="宋体"/>
              </w:rPr>
              <w:t>募集份额（单位：份）</w:t>
            </w:r>
          </w:p>
        </w:tc>
        <w:tc>
          <w:tcPr>
            <w:tcW w:w="1600" w:type="dxa"/>
            <w:vAlign w:val="center"/>
          </w:tcPr>
          <w:p w14:paraId="7CC864A8">
            <w:pPr>
              <w:rPr>
                <w:rFonts w:ascii="宋体" w:hAnsi="宋体" w:eastAsia="宋体"/>
              </w:rPr>
            </w:pPr>
            <w:r>
              <w:rPr>
                <w:rFonts w:hint="eastAsia" w:ascii="宋体" w:hAnsi="宋体" w:eastAsia="宋体"/>
              </w:rPr>
              <w:t>有效认购份额</w:t>
            </w:r>
          </w:p>
        </w:tc>
        <w:tc>
          <w:tcPr>
            <w:tcW w:w="5200" w:type="dxa"/>
            <w:vAlign w:val="center"/>
          </w:tcPr>
          <w:p w14:paraId="196810B6">
            <w:pPr>
              <w:rPr>
                <w:rFonts w:ascii="宋体" w:hAnsi="宋体" w:eastAsia="宋体"/>
              </w:rPr>
            </w:pPr>
            <w:r>
              <w:rPr>
                <w:rFonts w:ascii="宋体" w:hAnsi="宋体" w:eastAsia="宋体"/>
              </w:rPr>
              <w:t>235,377,000.00</w:t>
            </w:r>
          </w:p>
        </w:tc>
      </w:tr>
      <w:tr w14:paraId="5362B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1D0180CA">
            <w:pPr>
              <w:rPr>
                <w:rFonts w:ascii="宋体" w:hAnsi="宋体" w:eastAsia="宋体"/>
              </w:rPr>
            </w:pPr>
          </w:p>
        </w:tc>
        <w:tc>
          <w:tcPr>
            <w:tcW w:w="1600" w:type="dxa"/>
            <w:vAlign w:val="center"/>
          </w:tcPr>
          <w:p w14:paraId="49785FC5">
            <w:pPr>
              <w:rPr>
                <w:rFonts w:ascii="宋体" w:hAnsi="宋体" w:eastAsia="宋体"/>
              </w:rPr>
            </w:pPr>
            <w:r>
              <w:rPr>
                <w:rFonts w:hint="eastAsia" w:ascii="宋体" w:hAnsi="宋体" w:eastAsia="宋体"/>
              </w:rPr>
              <w:t>利息结转的份额</w:t>
            </w:r>
          </w:p>
        </w:tc>
        <w:tc>
          <w:tcPr>
            <w:tcW w:w="5200" w:type="dxa"/>
            <w:vAlign w:val="center"/>
          </w:tcPr>
          <w:p w14:paraId="2D0FF451">
            <w:pPr>
              <w:rPr>
                <w:rFonts w:hint="default" w:ascii="宋体" w:hAnsi="宋体" w:eastAsia="宋体"/>
                <w:lang w:val="en-US" w:eastAsia="zh-CN"/>
              </w:rPr>
            </w:pPr>
            <w:r>
              <w:rPr>
                <w:rFonts w:hint="eastAsia" w:ascii="宋体" w:hAnsi="宋体" w:eastAsia="宋体"/>
                <w:lang w:val="en-US" w:eastAsia="zh-CN"/>
              </w:rPr>
              <w:t>0.00</w:t>
            </w:r>
          </w:p>
        </w:tc>
      </w:tr>
      <w:tr w14:paraId="6A8B6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1209C8EF">
            <w:pPr>
              <w:rPr>
                <w:rFonts w:ascii="宋体" w:hAnsi="宋体" w:eastAsia="宋体"/>
              </w:rPr>
            </w:pPr>
          </w:p>
        </w:tc>
        <w:tc>
          <w:tcPr>
            <w:tcW w:w="1600" w:type="dxa"/>
            <w:vAlign w:val="center"/>
          </w:tcPr>
          <w:p w14:paraId="33D645CE">
            <w:pPr>
              <w:rPr>
                <w:rFonts w:ascii="宋体" w:hAnsi="宋体" w:eastAsia="宋体"/>
              </w:rPr>
            </w:pPr>
            <w:r>
              <w:rPr>
                <w:rFonts w:hint="eastAsia" w:ascii="宋体" w:hAnsi="宋体" w:eastAsia="宋体"/>
              </w:rPr>
              <w:t>合计</w:t>
            </w:r>
          </w:p>
        </w:tc>
        <w:tc>
          <w:tcPr>
            <w:tcW w:w="5200" w:type="dxa"/>
            <w:vAlign w:val="center"/>
          </w:tcPr>
          <w:p w14:paraId="0A96E67C">
            <w:pPr>
              <w:rPr>
                <w:rFonts w:ascii="宋体" w:hAnsi="宋体" w:eastAsia="宋体"/>
              </w:rPr>
            </w:pPr>
            <w:r>
              <w:rPr>
                <w:rFonts w:ascii="宋体" w:hAnsi="宋体" w:eastAsia="宋体"/>
              </w:rPr>
              <w:t>235,377,000.00</w:t>
            </w:r>
          </w:p>
        </w:tc>
      </w:tr>
      <w:tr w14:paraId="182FE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5B28AF48">
            <w:pPr>
              <w:rPr>
                <w:rFonts w:ascii="宋体" w:hAnsi="宋体" w:eastAsia="宋体"/>
              </w:rPr>
            </w:pPr>
            <w:r>
              <w:rPr>
                <w:rFonts w:hint="eastAsia" w:ascii="宋体" w:hAnsi="宋体" w:eastAsia="宋体"/>
              </w:rPr>
              <w:t>其中：募集期间基金管理人运用固有资金认购本基金情况</w:t>
            </w:r>
          </w:p>
        </w:tc>
        <w:tc>
          <w:tcPr>
            <w:tcW w:w="1600" w:type="dxa"/>
            <w:vAlign w:val="center"/>
          </w:tcPr>
          <w:p w14:paraId="330FAA1A">
            <w:pPr>
              <w:rPr>
                <w:rFonts w:ascii="宋体" w:hAnsi="宋体" w:eastAsia="宋体"/>
              </w:rPr>
            </w:pPr>
            <w:r>
              <w:rPr>
                <w:rFonts w:hint="eastAsia" w:ascii="宋体" w:hAnsi="宋体" w:eastAsia="宋体"/>
              </w:rPr>
              <w:t>认购的基金份额（单位：份）</w:t>
            </w:r>
          </w:p>
        </w:tc>
        <w:tc>
          <w:tcPr>
            <w:tcW w:w="5200" w:type="dxa"/>
            <w:vAlign w:val="center"/>
          </w:tcPr>
          <w:p w14:paraId="47C53482">
            <w:pPr>
              <w:rPr>
                <w:rFonts w:ascii="宋体" w:hAnsi="宋体" w:eastAsia="宋体"/>
              </w:rPr>
            </w:pPr>
            <w:r>
              <w:rPr>
                <w:rFonts w:ascii="宋体" w:hAnsi="宋体" w:eastAsia="宋体"/>
              </w:rPr>
              <w:t>0.00</w:t>
            </w:r>
          </w:p>
        </w:tc>
      </w:tr>
      <w:tr w14:paraId="33780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002A6C25">
            <w:pPr>
              <w:rPr>
                <w:rFonts w:ascii="宋体" w:hAnsi="宋体" w:eastAsia="宋体"/>
              </w:rPr>
            </w:pPr>
          </w:p>
        </w:tc>
        <w:tc>
          <w:tcPr>
            <w:tcW w:w="1600" w:type="dxa"/>
            <w:vAlign w:val="center"/>
          </w:tcPr>
          <w:p w14:paraId="7865B68F">
            <w:pPr>
              <w:rPr>
                <w:rFonts w:ascii="宋体" w:hAnsi="宋体" w:eastAsia="宋体"/>
              </w:rPr>
            </w:pPr>
            <w:r>
              <w:rPr>
                <w:rFonts w:hint="eastAsia" w:ascii="宋体" w:hAnsi="宋体" w:eastAsia="宋体"/>
              </w:rPr>
              <w:t>占基金总份额比例</w:t>
            </w:r>
          </w:p>
        </w:tc>
        <w:tc>
          <w:tcPr>
            <w:tcW w:w="5200" w:type="dxa"/>
            <w:vAlign w:val="center"/>
          </w:tcPr>
          <w:p w14:paraId="01796A75">
            <w:pPr>
              <w:rPr>
                <w:rFonts w:ascii="宋体" w:hAnsi="宋体" w:eastAsia="宋体"/>
              </w:rPr>
            </w:pPr>
            <w:r>
              <w:rPr>
                <w:rFonts w:ascii="宋体" w:hAnsi="宋体" w:eastAsia="宋体"/>
              </w:rPr>
              <w:t>0.0000%</w:t>
            </w:r>
          </w:p>
        </w:tc>
      </w:tr>
      <w:tr w14:paraId="2E9A9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1A10C168">
            <w:pPr>
              <w:rPr>
                <w:rFonts w:ascii="宋体" w:hAnsi="宋体" w:eastAsia="宋体"/>
              </w:rPr>
            </w:pPr>
          </w:p>
        </w:tc>
        <w:tc>
          <w:tcPr>
            <w:tcW w:w="1600" w:type="dxa"/>
            <w:vAlign w:val="center"/>
          </w:tcPr>
          <w:p w14:paraId="1AE39A1B">
            <w:pPr>
              <w:rPr>
                <w:rFonts w:ascii="宋体" w:hAnsi="宋体" w:eastAsia="宋体"/>
              </w:rPr>
            </w:pPr>
            <w:r>
              <w:rPr>
                <w:rFonts w:hint="eastAsia" w:ascii="宋体" w:hAnsi="宋体" w:eastAsia="宋体"/>
              </w:rPr>
              <w:t>其他需要说明的事项</w:t>
            </w:r>
          </w:p>
        </w:tc>
        <w:tc>
          <w:tcPr>
            <w:tcW w:w="5200" w:type="dxa"/>
            <w:vAlign w:val="center"/>
          </w:tcPr>
          <w:p w14:paraId="7ABC40FF">
            <w:pPr>
              <w:rPr>
                <w:rFonts w:ascii="宋体" w:hAnsi="宋体" w:eastAsia="宋体"/>
              </w:rPr>
            </w:pPr>
            <w:r>
              <w:rPr>
                <w:rFonts w:hint="eastAsia" w:ascii="宋体" w:hAnsi="宋体" w:eastAsia="宋体"/>
              </w:rPr>
              <w:t>无</w:t>
            </w:r>
          </w:p>
        </w:tc>
      </w:tr>
      <w:tr w14:paraId="67245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0E0F6861">
            <w:pPr>
              <w:rPr>
                <w:rFonts w:ascii="宋体" w:hAnsi="宋体" w:eastAsia="宋体"/>
              </w:rPr>
            </w:pPr>
            <w:r>
              <w:rPr>
                <w:rFonts w:hint="eastAsia" w:ascii="宋体" w:hAnsi="宋体" w:eastAsia="宋体"/>
              </w:rPr>
              <w:t>其中：募集期间基金管理人的从业人员认购本基金情况</w:t>
            </w:r>
          </w:p>
        </w:tc>
        <w:tc>
          <w:tcPr>
            <w:tcW w:w="1600" w:type="dxa"/>
            <w:vAlign w:val="center"/>
          </w:tcPr>
          <w:p w14:paraId="4835EE22">
            <w:pPr>
              <w:rPr>
                <w:rFonts w:ascii="宋体" w:hAnsi="宋体" w:eastAsia="宋体"/>
              </w:rPr>
            </w:pPr>
            <w:r>
              <w:rPr>
                <w:rFonts w:hint="eastAsia" w:ascii="宋体" w:hAnsi="宋体" w:eastAsia="宋体"/>
              </w:rPr>
              <w:t>认购的基金份额（单位：份）</w:t>
            </w:r>
          </w:p>
        </w:tc>
        <w:tc>
          <w:tcPr>
            <w:tcW w:w="5200" w:type="dxa"/>
            <w:vAlign w:val="center"/>
          </w:tcPr>
          <w:p w14:paraId="501FD1E9">
            <w:pPr>
              <w:rPr>
                <w:rFonts w:ascii="宋体" w:hAnsi="宋体" w:eastAsia="宋体"/>
              </w:rPr>
            </w:pPr>
            <w:r>
              <w:rPr>
                <w:rFonts w:hint="eastAsia" w:ascii="宋体" w:hAnsi="宋体" w:eastAsia="宋体"/>
                <w:lang w:val="en-US" w:eastAsia="zh-CN"/>
              </w:rPr>
              <w:t>1,000</w:t>
            </w:r>
            <w:r>
              <w:rPr>
                <w:rFonts w:ascii="宋体" w:hAnsi="宋体" w:eastAsia="宋体"/>
              </w:rPr>
              <w:t>.00</w:t>
            </w:r>
          </w:p>
        </w:tc>
      </w:tr>
      <w:tr w14:paraId="7A03B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67088CD8">
            <w:pPr>
              <w:rPr>
                <w:rFonts w:ascii="宋体" w:hAnsi="宋体" w:eastAsia="宋体"/>
              </w:rPr>
            </w:pPr>
          </w:p>
        </w:tc>
        <w:tc>
          <w:tcPr>
            <w:tcW w:w="1600" w:type="dxa"/>
            <w:vAlign w:val="center"/>
          </w:tcPr>
          <w:p w14:paraId="3F6A4467">
            <w:pPr>
              <w:rPr>
                <w:rFonts w:ascii="宋体" w:hAnsi="宋体" w:eastAsia="宋体"/>
              </w:rPr>
            </w:pPr>
            <w:r>
              <w:rPr>
                <w:rFonts w:hint="eastAsia" w:ascii="宋体" w:hAnsi="宋体" w:eastAsia="宋体"/>
              </w:rPr>
              <w:t>占基金总份额比例</w:t>
            </w:r>
          </w:p>
        </w:tc>
        <w:tc>
          <w:tcPr>
            <w:tcW w:w="5200" w:type="dxa"/>
            <w:vAlign w:val="center"/>
          </w:tcPr>
          <w:p w14:paraId="5420BBE7">
            <w:pPr>
              <w:rPr>
                <w:rFonts w:ascii="宋体" w:hAnsi="宋体" w:eastAsia="宋体"/>
              </w:rPr>
            </w:pPr>
            <w:r>
              <w:rPr>
                <w:rFonts w:ascii="宋体" w:hAnsi="宋体" w:eastAsia="宋体"/>
              </w:rPr>
              <w:t>0.000</w:t>
            </w:r>
            <w:r>
              <w:rPr>
                <w:rFonts w:hint="eastAsia" w:ascii="宋体" w:hAnsi="宋体" w:eastAsia="宋体"/>
                <w:lang w:val="en-US" w:eastAsia="zh-CN"/>
              </w:rPr>
              <w:t>4</w:t>
            </w:r>
            <w:r>
              <w:rPr>
                <w:rFonts w:ascii="宋体" w:hAnsi="宋体" w:eastAsia="宋体"/>
              </w:rPr>
              <w:t>%</w:t>
            </w:r>
          </w:p>
        </w:tc>
      </w:tr>
      <w:tr w14:paraId="2C785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5DEA3D82">
            <w:pPr>
              <w:rPr>
                <w:rFonts w:ascii="宋体" w:hAnsi="宋体" w:eastAsia="宋体"/>
              </w:rPr>
            </w:pPr>
            <w:r>
              <w:rPr>
                <w:rFonts w:hint="eastAsia" w:ascii="宋体" w:hAnsi="宋体" w:eastAsia="宋体"/>
              </w:rPr>
              <w:t>募集期限届满基金是否符合法律法规规定的办理基金备案手续的条件</w:t>
            </w:r>
          </w:p>
        </w:tc>
        <w:tc>
          <w:tcPr>
            <w:tcW w:w="5200" w:type="dxa"/>
            <w:vAlign w:val="center"/>
          </w:tcPr>
          <w:p w14:paraId="3D54100F">
            <w:pPr>
              <w:rPr>
                <w:rFonts w:ascii="宋体" w:hAnsi="宋体" w:eastAsia="宋体"/>
              </w:rPr>
            </w:pPr>
            <w:r>
              <w:rPr>
                <w:rFonts w:hint="eastAsia" w:ascii="宋体" w:hAnsi="宋体" w:eastAsia="宋体"/>
              </w:rPr>
              <w:t>是</w:t>
            </w:r>
          </w:p>
        </w:tc>
      </w:tr>
      <w:tr w14:paraId="1B4A9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5A9B0F7D">
            <w:pPr>
              <w:rPr>
                <w:rFonts w:ascii="宋体" w:hAnsi="宋体" w:eastAsia="宋体"/>
              </w:rPr>
            </w:pPr>
            <w:r>
              <w:rPr>
                <w:rFonts w:hint="eastAsia" w:ascii="宋体" w:hAnsi="宋体" w:eastAsia="宋体"/>
              </w:rPr>
              <w:t>向中国证监会办理基金备案手续获得书面确认的日期</w:t>
            </w:r>
          </w:p>
        </w:tc>
        <w:tc>
          <w:tcPr>
            <w:tcW w:w="5200" w:type="dxa"/>
            <w:vAlign w:val="center"/>
          </w:tcPr>
          <w:p w14:paraId="58EDD918">
            <w:pPr>
              <w:rPr>
                <w:rFonts w:ascii="宋体" w:hAnsi="宋体" w:eastAsia="宋体"/>
              </w:rPr>
            </w:pPr>
            <w:r>
              <w:rPr>
                <w:rFonts w:ascii="宋体" w:hAnsi="宋体" w:eastAsia="宋体"/>
              </w:rPr>
              <w:t>2026年5月20日</w:t>
            </w:r>
          </w:p>
        </w:tc>
      </w:tr>
    </w:tbl>
    <w:p w14:paraId="35CF0AF1">
      <w:pPr>
        <w:pStyle w:val="2"/>
        <w:spacing w:before="0" w:beforeAutospacing="0" w:after="0" w:afterAutospacing="0" w:line="360" w:lineRule="auto"/>
        <w:ind w:firstLine="420"/>
        <w:rPr>
          <w:sz w:val="21"/>
          <w:szCs w:val="21"/>
        </w:rPr>
      </w:pPr>
      <w:r>
        <w:rPr>
          <w:rFonts w:hint="eastAsia"/>
          <w:sz w:val="21"/>
        </w:rPr>
        <w:t>注：</w:t>
      </w:r>
      <w:r>
        <w:rPr>
          <w:rFonts w:hint="eastAsia"/>
          <w:sz w:val="21"/>
          <w:szCs w:val="21"/>
        </w:rPr>
        <w:t xml:space="preserve">（1）本基金募集期间的信息披露费、会计师费、律师费以及其他费用，不从基金财产中列支； </w:t>
      </w:r>
    </w:p>
    <w:p w14:paraId="05526AE7">
      <w:pPr>
        <w:pStyle w:val="2"/>
        <w:spacing w:before="0" w:beforeAutospacing="0" w:after="0" w:afterAutospacing="0" w:line="360" w:lineRule="auto"/>
        <w:ind w:firstLine="420"/>
        <w:rPr>
          <w:rFonts w:hint="eastAsia"/>
          <w:sz w:val="21"/>
          <w:szCs w:val="21"/>
        </w:rPr>
      </w:pPr>
      <w:r>
        <w:rPr>
          <w:rFonts w:hint="eastAsia"/>
          <w:sz w:val="21"/>
          <w:szCs w:val="21"/>
        </w:rPr>
        <w:t xml:space="preserve">（2）本公司高级管理人员、基金投资和研究部门负责人未持有本基金； </w:t>
      </w:r>
    </w:p>
    <w:p w14:paraId="53A8733D">
      <w:pPr>
        <w:pStyle w:val="2"/>
        <w:spacing w:before="0" w:beforeAutospacing="0" w:after="0" w:afterAutospacing="0" w:line="360" w:lineRule="auto"/>
        <w:ind w:firstLine="420"/>
        <w:rPr>
          <w:rFonts w:hint="eastAsia"/>
          <w:sz w:val="21"/>
          <w:szCs w:val="21"/>
        </w:rPr>
      </w:pPr>
      <w:r>
        <w:rPr>
          <w:rFonts w:hint="eastAsia"/>
          <w:sz w:val="21"/>
          <w:szCs w:val="21"/>
        </w:rPr>
        <w:t xml:space="preserve">（3）本基金的基金经理未持有本基金。 </w:t>
      </w:r>
    </w:p>
    <w:p w14:paraId="16BD3D8E">
      <w:pPr>
        <w:keepNext w:val="0"/>
        <w:keepLines w:val="0"/>
        <w:pageBreakBefore w:val="0"/>
        <w:widowControl w:val="0"/>
        <w:kinsoku/>
        <w:wordWrap/>
        <w:overflowPunct/>
        <w:topLinePunct w:val="0"/>
        <w:autoSpaceDE/>
        <w:autoSpaceDN/>
        <w:bidi w:val="0"/>
        <w:adjustRightInd/>
        <w:snapToGrid/>
        <w:spacing w:before="313" w:beforeLines="100"/>
        <w:textAlignment w:val="auto"/>
        <w:rPr>
          <w:rFonts w:ascii="宋体" w:hAnsi="宋体" w:eastAsia="宋体"/>
          <w:b/>
        </w:rPr>
      </w:pPr>
      <w:r>
        <w:rPr>
          <w:rFonts w:ascii="宋体" w:hAnsi="宋体" w:eastAsia="宋体"/>
          <w:b/>
        </w:rPr>
        <w:t>3、其他需要提示的事项</w:t>
      </w:r>
    </w:p>
    <w:p w14:paraId="6DF9B33C">
      <w:pPr>
        <w:pStyle w:val="2"/>
        <w:spacing w:before="0" w:beforeAutospacing="0" w:after="0" w:afterAutospacing="0" w:line="360" w:lineRule="auto"/>
        <w:ind w:firstLine="420"/>
        <w:rPr>
          <w:sz w:val="21"/>
          <w:szCs w:val="21"/>
        </w:rPr>
      </w:pPr>
      <w:r>
        <w:rPr>
          <w:rFonts w:hint="eastAsia"/>
          <w:sz w:val="21"/>
          <w:szCs w:val="21"/>
        </w:rPr>
        <w:t xml:space="preserve">（1）开放日及开放时间 </w:t>
      </w:r>
    </w:p>
    <w:p w14:paraId="7D207F9F">
      <w:pPr>
        <w:pStyle w:val="2"/>
        <w:spacing w:before="0" w:beforeAutospacing="0" w:after="0" w:afterAutospacing="0" w:line="360" w:lineRule="auto"/>
        <w:ind w:firstLine="420"/>
        <w:rPr>
          <w:rFonts w:hint="eastAsia"/>
          <w:sz w:val="21"/>
          <w:szCs w:val="21"/>
        </w:rPr>
      </w:pPr>
      <w:r>
        <w:rPr>
          <w:rFonts w:hint="eastAsia"/>
          <w:sz w:val="21"/>
          <w:szCs w:val="21"/>
        </w:rPr>
        <w:t xml:space="preserve">投资人在开放日办理基金份额的申购和赎回，具体办理时间为港股通、上海证券交易所同时正常开放交易的工作日，但基金管理人根据法律法规、中国证监会的要求或基金合同的规定公告暂停申购、赎回时除外。 </w:t>
      </w:r>
    </w:p>
    <w:p w14:paraId="40812792">
      <w:pPr>
        <w:pStyle w:val="2"/>
        <w:spacing w:before="0" w:beforeAutospacing="0" w:after="0" w:afterAutospacing="0" w:line="360" w:lineRule="auto"/>
        <w:ind w:firstLine="420"/>
        <w:rPr>
          <w:rFonts w:hint="eastAsia"/>
          <w:sz w:val="21"/>
          <w:szCs w:val="21"/>
        </w:rPr>
      </w:pPr>
      <w:r>
        <w:rPr>
          <w:rFonts w:hint="eastAsia"/>
          <w:sz w:val="21"/>
          <w:szCs w:val="21"/>
        </w:rPr>
        <w:t xml:space="preserve">基金合同生效后，若出现新的证券/期货交易市场、证券/期货交易所交易时间变更、港股通交易规则变更或其他特殊情况，基金管理人将视情况对前述开放日及开放时间进行相应的调整，但应在实施日前依照《信息披露办法》的有关规定在规定媒介上公告。 </w:t>
      </w:r>
    </w:p>
    <w:p w14:paraId="6402B485">
      <w:pPr>
        <w:pStyle w:val="2"/>
        <w:spacing w:before="0" w:beforeAutospacing="0" w:after="0" w:afterAutospacing="0" w:line="360" w:lineRule="auto"/>
        <w:ind w:firstLine="420"/>
        <w:rPr>
          <w:rFonts w:hint="eastAsia"/>
          <w:sz w:val="21"/>
          <w:szCs w:val="21"/>
        </w:rPr>
      </w:pPr>
      <w:r>
        <w:rPr>
          <w:rFonts w:hint="eastAsia"/>
          <w:sz w:val="21"/>
          <w:szCs w:val="21"/>
        </w:rPr>
        <w:t xml:space="preserve">（2）申购、赎回开始日及业务办理时间 </w:t>
      </w:r>
    </w:p>
    <w:p w14:paraId="4E5B1C9B">
      <w:pPr>
        <w:pStyle w:val="2"/>
        <w:spacing w:before="0" w:beforeAutospacing="0" w:after="0" w:afterAutospacing="0" w:line="360" w:lineRule="auto"/>
        <w:ind w:firstLine="420"/>
        <w:rPr>
          <w:rFonts w:hint="eastAsia"/>
          <w:sz w:val="21"/>
          <w:szCs w:val="21"/>
        </w:rPr>
      </w:pPr>
      <w:r>
        <w:rPr>
          <w:rFonts w:hint="eastAsia"/>
          <w:sz w:val="21"/>
          <w:szCs w:val="21"/>
        </w:rPr>
        <w:t xml:space="preserve">基金管理人可根据实际情况依法决定本基金开始办理申购的具体日期，具体业务办理时间在申购开始公告中规定。 </w:t>
      </w:r>
    </w:p>
    <w:p w14:paraId="36C0DCAD">
      <w:pPr>
        <w:pStyle w:val="2"/>
        <w:spacing w:before="0" w:beforeAutospacing="0" w:after="0" w:afterAutospacing="0" w:line="360" w:lineRule="auto"/>
        <w:ind w:firstLine="420"/>
        <w:rPr>
          <w:rFonts w:hint="eastAsia"/>
          <w:sz w:val="21"/>
          <w:szCs w:val="21"/>
        </w:rPr>
      </w:pPr>
      <w:r>
        <w:rPr>
          <w:rFonts w:hint="eastAsia"/>
          <w:sz w:val="21"/>
          <w:szCs w:val="21"/>
        </w:rPr>
        <w:t xml:space="preserve">基金管理人自基金合同生效之日起不超过3个月开始办理赎回，具体业务办理时间在赎回开始公告中规定。 </w:t>
      </w:r>
    </w:p>
    <w:p w14:paraId="32AFDD14">
      <w:pPr>
        <w:pStyle w:val="2"/>
        <w:spacing w:before="0" w:beforeAutospacing="0" w:after="0" w:afterAutospacing="0" w:line="360" w:lineRule="auto"/>
        <w:ind w:firstLine="420"/>
        <w:rPr>
          <w:rFonts w:hint="eastAsia"/>
          <w:sz w:val="21"/>
          <w:szCs w:val="21"/>
        </w:rPr>
      </w:pPr>
      <w:r>
        <w:rPr>
          <w:rFonts w:hint="eastAsia"/>
          <w:sz w:val="21"/>
          <w:szCs w:val="21"/>
        </w:rPr>
        <w:t xml:space="preserve">在确定申购开始与赎回开始时间后，基金管理人应在申购、赎回开放日前依照《信息披露办法》的有关规定在规定媒介上公告申购与赎回的开始时间。 </w:t>
      </w:r>
    </w:p>
    <w:p w14:paraId="324AEC89">
      <w:pPr>
        <w:pStyle w:val="2"/>
        <w:spacing w:before="0" w:beforeAutospacing="0" w:after="0" w:afterAutospacing="0" w:line="360" w:lineRule="auto"/>
        <w:ind w:firstLine="420"/>
        <w:rPr>
          <w:rFonts w:hint="eastAsia"/>
          <w:sz w:val="21"/>
          <w:szCs w:val="21"/>
        </w:rPr>
      </w:pPr>
      <w:r>
        <w:rPr>
          <w:rFonts w:hint="eastAsia"/>
          <w:sz w:val="21"/>
          <w:szCs w:val="21"/>
        </w:rPr>
        <w:t xml:space="preserve"> </w:t>
      </w:r>
    </w:p>
    <w:p w14:paraId="0C02C72E">
      <w:pPr>
        <w:pStyle w:val="2"/>
        <w:spacing w:before="0" w:beforeAutospacing="0" w:after="0" w:afterAutospacing="0" w:line="360" w:lineRule="auto"/>
        <w:ind w:firstLine="420"/>
        <w:rPr>
          <w:rFonts w:hint="eastAsia"/>
          <w:sz w:val="21"/>
          <w:szCs w:val="21"/>
        </w:rPr>
      </w:pPr>
      <w:r>
        <w:rPr>
          <w:rFonts w:hint="eastAsia"/>
          <w:sz w:val="21"/>
          <w:szCs w:val="21"/>
        </w:rPr>
        <w:t xml:space="preserve">风险提示：基金管理人承诺以诚实信用、勤勉尽责的原则管理和运用基金财产，但不保证基金一定盈利，也不保证最低收益。基金的过往业绩不代表其未来表现，敬请投资者注意投资风险。 </w:t>
      </w:r>
    </w:p>
    <w:p w14:paraId="6AD65132">
      <w:pPr>
        <w:pStyle w:val="2"/>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257D5E94">
      <w:pPr>
        <w:pStyle w:val="2"/>
        <w:spacing w:before="0" w:beforeAutospacing="0" w:after="0" w:afterAutospacing="0" w:line="360" w:lineRule="auto"/>
        <w:rPr>
          <w:sz w:val="21"/>
          <w:szCs w:val="21"/>
        </w:rPr>
      </w:pPr>
    </w:p>
    <w:p w14:paraId="518076D7">
      <w:pPr>
        <w:pStyle w:val="2"/>
        <w:spacing w:before="0" w:beforeAutospacing="0" w:after="0" w:afterAutospacing="0" w:line="360" w:lineRule="auto"/>
        <w:ind w:firstLine="420"/>
        <w:rPr>
          <w:sz w:val="21"/>
          <w:szCs w:val="21"/>
        </w:rPr>
      </w:pPr>
    </w:p>
    <w:p w14:paraId="0B914ED7">
      <w:pPr>
        <w:pStyle w:val="2"/>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50D8D818">
      <w:pPr>
        <w:pStyle w:val="2"/>
        <w:spacing w:before="0" w:beforeAutospacing="0" w:after="0" w:afterAutospacing="0" w:line="360" w:lineRule="auto"/>
        <w:ind w:firstLine="420"/>
        <w:jc w:val="right"/>
        <w:rPr>
          <w:sz w:val="21"/>
          <w:szCs w:val="21"/>
        </w:rPr>
      </w:pPr>
      <w:r>
        <w:rPr>
          <w:sz w:val="21"/>
          <w:szCs w:val="21"/>
        </w:rPr>
        <w:t>2026年5月21日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041"/>
    <w:rsid w:val="00222041"/>
    <w:rsid w:val="00760C8B"/>
    <w:rsid w:val="32EE0EDD"/>
    <w:rsid w:val="4EFF328B"/>
    <w:rsid w:val="63CB3F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3</Pages>
  <Words>227</Words>
  <Characters>1296</Characters>
  <Lines>10</Lines>
  <Paragraphs>3</Paragraphs>
  <TotalTime>8</TotalTime>
  <ScaleCrop>false</ScaleCrop>
  <LinksUpToDate>false</LinksUpToDate>
  <CharactersWithSpaces>1520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2026-05-19T17:13:00Z</dcterms:created>
  <dc:creator>BSKMadminDev</dc:creator>
  <cp:lastModifiedBy>zhouhy</cp:lastModifiedBy>
  <dcterms:modified xsi:type="dcterms:W3CDTF">2026-05-20T11:15:38Z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EB1CCD61A665431CBE48C02962950684_12</vt:lpwstr>
  </property>
</Properties>
</file>