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1B922C0"/>
    <w:p w14:paraId="1A03F6E9">
      <w:pPr>
        <w:jc w:val="center"/>
        <w:rPr>
          <w:rFonts w:hint="eastAsia" w:ascii="宋体" w:hAnsi="宋体" w:eastAsia="宋体"/>
          <w:b/>
          <w:sz w:val="30"/>
        </w:rPr>
      </w:pPr>
      <w:r>
        <w:rPr>
          <w:rFonts w:hint="eastAsia" w:ascii="宋体" w:hAnsi="宋体" w:eastAsia="宋体"/>
          <w:b/>
          <w:sz w:val="30"/>
        </w:rPr>
        <w:t>博时科创板三年定期开放混合型证券投资基金开放申购、赎回业务公告</w:t>
      </w:r>
    </w:p>
    <w:p w14:paraId="30835153">
      <w:pPr>
        <w:jc w:val="center"/>
        <w:rPr>
          <w:rFonts w:ascii="宋体" w:hAnsi="宋体" w:eastAsia="宋体"/>
          <w:b/>
          <w:sz w:val="24"/>
        </w:rPr>
      </w:pPr>
      <w:r>
        <w:rPr>
          <w:rFonts w:hint="eastAsia" w:ascii="宋体" w:hAnsi="宋体" w:eastAsia="宋体"/>
          <w:b/>
          <w:sz w:val="24"/>
        </w:rPr>
        <w:t>公告送出时间：</w:t>
      </w:r>
      <w:r>
        <w:rPr>
          <w:rFonts w:ascii="宋体" w:hAnsi="宋体" w:eastAsia="宋体"/>
          <w:b/>
          <w:sz w:val="24"/>
        </w:rPr>
        <w:t>2026年8月1日</w:t>
      </w:r>
    </w:p>
    <w:p w14:paraId="75B657A0">
      <w:pPr>
        <w:jc w:val="center"/>
        <w:rPr>
          <w:rFonts w:ascii="宋体" w:hAnsi="宋体" w:eastAsia="宋体"/>
          <w:b/>
          <w:sz w:val="24"/>
        </w:rPr>
      </w:pPr>
    </w:p>
    <w:p w14:paraId="278DE77F">
      <w:pPr>
        <w:pStyle w:val="2"/>
        <w:rPr>
          <w:rFonts w:ascii="宋体" w:hAnsi="宋体" w:eastAsia="宋体"/>
          <w:sz w:val="24"/>
        </w:rPr>
      </w:pPr>
      <w:r>
        <w:rPr>
          <w:rFonts w:ascii="宋体" w:hAnsi="宋体" w:eastAsia="宋体"/>
          <w:sz w:val="24"/>
        </w:rPr>
        <w:t>1、公告基本信息</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00"/>
        <w:gridCol w:w="5500"/>
      </w:tblGrid>
      <w:tr w14:paraId="25639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78A64CC6">
            <w:pPr>
              <w:rPr>
                <w:rFonts w:ascii="宋体" w:hAnsi="宋体" w:eastAsia="宋体"/>
                <w:sz w:val="24"/>
              </w:rPr>
            </w:pPr>
            <w:r>
              <w:rPr>
                <w:rFonts w:hint="eastAsia" w:ascii="宋体" w:hAnsi="宋体" w:eastAsia="宋体"/>
                <w:sz w:val="24"/>
              </w:rPr>
              <w:t>基金名称</w:t>
            </w:r>
          </w:p>
        </w:tc>
        <w:tc>
          <w:tcPr>
            <w:tcW w:w="5500" w:type="dxa"/>
            <w:vAlign w:val="center"/>
          </w:tcPr>
          <w:p w14:paraId="4446B530">
            <w:pPr>
              <w:rPr>
                <w:rFonts w:ascii="宋体" w:hAnsi="宋体" w:eastAsia="宋体"/>
                <w:sz w:val="24"/>
              </w:rPr>
            </w:pPr>
            <w:r>
              <w:rPr>
                <w:rFonts w:hint="eastAsia" w:ascii="宋体" w:hAnsi="宋体" w:eastAsia="宋体"/>
                <w:sz w:val="24"/>
              </w:rPr>
              <w:t>博时科创板三年定期开放混合型证券投资基金</w:t>
            </w:r>
          </w:p>
        </w:tc>
      </w:tr>
      <w:tr w14:paraId="6592B3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857B09A">
            <w:pPr>
              <w:rPr>
                <w:rFonts w:ascii="宋体" w:hAnsi="宋体" w:eastAsia="宋体"/>
                <w:sz w:val="24"/>
              </w:rPr>
            </w:pPr>
            <w:r>
              <w:rPr>
                <w:rFonts w:hint="eastAsia" w:ascii="宋体" w:hAnsi="宋体" w:eastAsia="宋体"/>
                <w:sz w:val="24"/>
              </w:rPr>
              <w:t>基金简称</w:t>
            </w:r>
          </w:p>
        </w:tc>
        <w:tc>
          <w:tcPr>
            <w:tcW w:w="5500" w:type="dxa"/>
            <w:vAlign w:val="center"/>
          </w:tcPr>
          <w:p w14:paraId="52878A56">
            <w:pPr>
              <w:rPr>
                <w:rFonts w:ascii="宋体" w:hAnsi="宋体" w:eastAsia="宋体"/>
                <w:sz w:val="24"/>
              </w:rPr>
            </w:pPr>
            <w:r>
              <w:rPr>
                <w:rFonts w:hint="eastAsia" w:ascii="宋体" w:hAnsi="宋体" w:eastAsia="宋体"/>
                <w:sz w:val="24"/>
              </w:rPr>
              <w:t>博时科创板三年定开混合</w:t>
            </w:r>
          </w:p>
        </w:tc>
      </w:tr>
      <w:tr w14:paraId="703B6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07717285">
            <w:pPr>
              <w:rPr>
                <w:rFonts w:ascii="宋体" w:hAnsi="宋体" w:eastAsia="宋体"/>
                <w:sz w:val="24"/>
              </w:rPr>
            </w:pPr>
            <w:r>
              <w:rPr>
                <w:rFonts w:hint="eastAsia" w:ascii="宋体" w:hAnsi="宋体" w:eastAsia="宋体"/>
                <w:sz w:val="24"/>
              </w:rPr>
              <w:t>基金主代码</w:t>
            </w:r>
          </w:p>
        </w:tc>
        <w:tc>
          <w:tcPr>
            <w:tcW w:w="5500" w:type="dxa"/>
            <w:vAlign w:val="center"/>
          </w:tcPr>
          <w:p w14:paraId="3DF8E28D">
            <w:pPr>
              <w:rPr>
                <w:rFonts w:ascii="宋体" w:hAnsi="宋体" w:eastAsia="宋体"/>
                <w:sz w:val="24"/>
              </w:rPr>
            </w:pPr>
            <w:r>
              <w:rPr>
                <w:rFonts w:ascii="宋体" w:hAnsi="宋体" w:eastAsia="宋体"/>
                <w:sz w:val="24"/>
              </w:rPr>
              <w:t>506005</w:t>
            </w:r>
          </w:p>
        </w:tc>
      </w:tr>
      <w:tr w14:paraId="291DE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3672FA0">
            <w:pPr>
              <w:rPr>
                <w:rFonts w:ascii="宋体" w:hAnsi="宋体" w:eastAsia="宋体"/>
                <w:sz w:val="24"/>
              </w:rPr>
            </w:pPr>
            <w:r>
              <w:rPr>
                <w:rFonts w:hint="eastAsia" w:ascii="宋体" w:hAnsi="宋体" w:eastAsia="宋体"/>
                <w:sz w:val="24"/>
              </w:rPr>
              <w:t>基金运作方式</w:t>
            </w:r>
          </w:p>
        </w:tc>
        <w:tc>
          <w:tcPr>
            <w:tcW w:w="5500" w:type="dxa"/>
            <w:vAlign w:val="center"/>
          </w:tcPr>
          <w:p w14:paraId="2FF5457F">
            <w:pPr>
              <w:rPr>
                <w:rFonts w:ascii="宋体" w:hAnsi="宋体" w:eastAsia="宋体"/>
                <w:sz w:val="24"/>
              </w:rPr>
            </w:pPr>
            <w:r>
              <w:rPr>
                <w:rFonts w:hint="eastAsia" w:ascii="宋体" w:hAnsi="宋体" w:eastAsia="宋体"/>
                <w:sz w:val="24"/>
              </w:rPr>
              <w:t>契约型基金。本基金以定期开放的方式运作。</w:t>
            </w:r>
          </w:p>
        </w:tc>
      </w:tr>
      <w:tr w14:paraId="53760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34CA790">
            <w:pPr>
              <w:rPr>
                <w:rFonts w:ascii="宋体" w:hAnsi="宋体" w:eastAsia="宋体"/>
                <w:sz w:val="24"/>
              </w:rPr>
            </w:pPr>
            <w:r>
              <w:rPr>
                <w:rFonts w:hint="eastAsia" w:ascii="宋体" w:hAnsi="宋体" w:eastAsia="宋体"/>
                <w:sz w:val="24"/>
              </w:rPr>
              <w:t>基金合同生效日</w:t>
            </w:r>
          </w:p>
        </w:tc>
        <w:tc>
          <w:tcPr>
            <w:tcW w:w="5500" w:type="dxa"/>
            <w:vAlign w:val="center"/>
          </w:tcPr>
          <w:p w14:paraId="58159B50">
            <w:pPr>
              <w:rPr>
                <w:rFonts w:ascii="宋体" w:hAnsi="宋体" w:eastAsia="宋体"/>
                <w:sz w:val="24"/>
              </w:rPr>
            </w:pPr>
            <w:r>
              <w:rPr>
                <w:rFonts w:ascii="宋体" w:hAnsi="宋体" w:eastAsia="宋体"/>
                <w:sz w:val="24"/>
              </w:rPr>
              <w:t>2020年7月29日</w:t>
            </w:r>
          </w:p>
        </w:tc>
      </w:tr>
      <w:tr w14:paraId="0540E8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768D8B8">
            <w:pPr>
              <w:rPr>
                <w:rFonts w:ascii="宋体" w:hAnsi="宋体" w:eastAsia="宋体"/>
                <w:sz w:val="24"/>
              </w:rPr>
            </w:pPr>
            <w:r>
              <w:rPr>
                <w:rFonts w:hint="eastAsia" w:ascii="宋体" w:hAnsi="宋体" w:eastAsia="宋体"/>
                <w:sz w:val="24"/>
              </w:rPr>
              <w:t>基金管理人名称</w:t>
            </w:r>
          </w:p>
        </w:tc>
        <w:tc>
          <w:tcPr>
            <w:tcW w:w="5500" w:type="dxa"/>
            <w:vAlign w:val="center"/>
          </w:tcPr>
          <w:p w14:paraId="1E312145">
            <w:pPr>
              <w:rPr>
                <w:rFonts w:ascii="宋体" w:hAnsi="宋体" w:eastAsia="宋体"/>
                <w:sz w:val="24"/>
              </w:rPr>
            </w:pPr>
            <w:r>
              <w:rPr>
                <w:rFonts w:hint="eastAsia" w:ascii="宋体" w:hAnsi="宋体" w:eastAsia="宋体"/>
                <w:sz w:val="24"/>
              </w:rPr>
              <w:t>博时基金管理有限公司</w:t>
            </w:r>
          </w:p>
        </w:tc>
      </w:tr>
      <w:tr w14:paraId="37B010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16C47793">
            <w:pPr>
              <w:rPr>
                <w:rFonts w:ascii="宋体" w:hAnsi="宋体" w:eastAsia="宋体"/>
                <w:sz w:val="24"/>
              </w:rPr>
            </w:pPr>
            <w:r>
              <w:rPr>
                <w:rFonts w:hint="eastAsia" w:ascii="宋体" w:hAnsi="宋体" w:eastAsia="宋体"/>
                <w:sz w:val="24"/>
              </w:rPr>
              <w:t>基金托管人名称</w:t>
            </w:r>
          </w:p>
        </w:tc>
        <w:tc>
          <w:tcPr>
            <w:tcW w:w="5500" w:type="dxa"/>
            <w:vAlign w:val="center"/>
          </w:tcPr>
          <w:p w14:paraId="77E83920">
            <w:pPr>
              <w:rPr>
                <w:rFonts w:ascii="宋体" w:hAnsi="宋体" w:eastAsia="宋体"/>
                <w:sz w:val="24"/>
              </w:rPr>
            </w:pPr>
            <w:r>
              <w:rPr>
                <w:rFonts w:hint="eastAsia" w:ascii="宋体" w:hAnsi="宋体" w:eastAsia="宋体"/>
                <w:sz w:val="24"/>
              </w:rPr>
              <w:t>中国工商银行股份有限公司</w:t>
            </w:r>
          </w:p>
        </w:tc>
      </w:tr>
      <w:tr w14:paraId="6EA2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4BF5257">
            <w:pPr>
              <w:rPr>
                <w:rFonts w:ascii="宋体" w:hAnsi="宋体" w:eastAsia="宋体"/>
                <w:sz w:val="24"/>
              </w:rPr>
            </w:pPr>
            <w:r>
              <w:rPr>
                <w:rFonts w:hint="eastAsia" w:ascii="宋体" w:hAnsi="宋体" w:eastAsia="宋体"/>
                <w:sz w:val="24"/>
              </w:rPr>
              <w:t>基金注册登记机构名称</w:t>
            </w:r>
          </w:p>
        </w:tc>
        <w:tc>
          <w:tcPr>
            <w:tcW w:w="5500" w:type="dxa"/>
            <w:vAlign w:val="center"/>
          </w:tcPr>
          <w:p w14:paraId="300BE7CF">
            <w:pPr>
              <w:rPr>
                <w:rFonts w:ascii="宋体" w:hAnsi="宋体" w:eastAsia="宋体"/>
                <w:sz w:val="24"/>
              </w:rPr>
            </w:pPr>
            <w:r>
              <w:rPr>
                <w:rFonts w:hint="eastAsia" w:ascii="宋体" w:hAnsi="宋体" w:eastAsia="宋体"/>
                <w:sz w:val="24"/>
              </w:rPr>
              <w:t>中国证券登记结算有限责任公司</w:t>
            </w:r>
          </w:p>
        </w:tc>
      </w:tr>
      <w:tr w14:paraId="4755B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5034F68C">
            <w:pPr>
              <w:rPr>
                <w:rFonts w:ascii="宋体" w:hAnsi="宋体" w:eastAsia="宋体"/>
                <w:sz w:val="24"/>
              </w:rPr>
            </w:pPr>
            <w:r>
              <w:rPr>
                <w:rFonts w:hint="eastAsia" w:ascii="宋体" w:hAnsi="宋体" w:eastAsia="宋体"/>
                <w:sz w:val="24"/>
              </w:rPr>
              <w:t>公告依据</w:t>
            </w:r>
          </w:p>
        </w:tc>
        <w:tc>
          <w:tcPr>
            <w:tcW w:w="5500" w:type="dxa"/>
            <w:vAlign w:val="center"/>
          </w:tcPr>
          <w:p w14:paraId="02C1AB37">
            <w:pPr>
              <w:rPr>
                <w:rFonts w:ascii="宋体" w:hAnsi="宋体" w:eastAsia="宋体"/>
                <w:sz w:val="24"/>
              </w:rPr>
            </w:pPr>
            <w:r>
              <w:rPr>
                <w:rFonts w:hint="eastAsia" w:ascii="宋体" w:hAnsi="宋体" w:eastAsia="宋体"/>
                <w:sz w:val="24"/>
              </w:rPr>
              <w:t>《中华人民共和国证券投资基金法》、《公开募集证券投资基金运作管理办法》等法律法规以及《博时科创板三年定期开放混合型证券投资基金基金合同》（以下简称“《基金合同》”）及《博时科创板三年定期开放混合型证券投资基金招募说明书》（以下简称“《招募说明书》”）</w:t>
            </w:r>
          </w:p>
        </w:tc>
      </w:tr>
      <w:tr w14:paraId="728C5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47F2BCF8">
            <w:pPr>
              <w:rPr>
                <w:rFonts w:ascii="宋体" w:hAnsi="宋体" w:eastAsia="宋体"/>
                <w:sz w:val="24"/>
              </w:rPr>
            </w:pPr>
            <w:r>
              <w:rPr>
                <w:rFonts w:hint="eastAsia" w:ascii="宋体" w:hAnsi="宋体" w:eastAsia="宋体"/>
                <w:sz w:val="24"/>
              </w:rPr>
              <w:t>申购起始日</w:t>
            </w:r>
          </w:p>
        </w:tc>
        <w:tc>
          <w:tcPr>
            <w:tcW w:w="5500" w:type="dxa"/>
            <w:vAlign w:val="center"/>
          </w:tcPr>
          <w:p w14:paraId="57E1D1C2">
            <w:pPr>
              <w:rPr>
                <w:rFonts w:ascii="宋体" w:hAnsi="宋体" w:eastAsia="宋体"/>
                <w:sz w:val="24"/>
              </w:rPr>
            </w:pPr>
            <w:r>
              <w:rPr>
                <w:rFonts w:ascii="宋体" w:hAnsi="宋体" w:eastAsia="宋体"/>
                <w:sz w:val="24"/>
              </w:rPr>
              <w:t>2026年8月10日</w:t>
            </w:r>
          </w:p>
        </w:tc>
      </w:tr>
      <w:tr w14:paraId="6989F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00" w:type="dxa"/>
            <w:vAlign w:val="center"/>
          </w:tcPr>
          <w:p w14:paraId="697B4362">
            <w:pPr>
              <w:rPr>
                <w:rFonts w:ascii="宋体" w:hAnsi="宋体" w:eastAsia="宋体"/>
                <w:sz w:val="24"/>
              </w:rPr>
            </w:pPr>
            <w:r>
              <w:rPr>
                <w:rFonts w:hint="eastAsia" w:ascii="宋体" w:hAnsi="宋体" w:eastAsia="宋体"/>
                <w:sz w:val="24"/>
              </w:rPr>
              <w:t>赎回起始日</w:t>
            </w:r>
          </w:p>
        </w:tc>
        <w:tc>
          <w:tcPr>
            <w:tcW w:w="5500" w:type="dxa"/>
            <w:vAlign w:val="center"/>
          </w:tcPr>
          <w:p w14:paraId="3DE62FF3">
            <w:pPr>
              <w:rPr>
                <w:rFonts w:ascii="宋体" w:hAnsi="宋体" w:eastAsia="宋体"/>
                <w:sz w:val="24"/>
              </w:rPr>
            </w:pPr>
            <w:r>
              <w:rPr>
                <w:rFonts w:ascii="宋体" w:hAnsi="宋体" w:eastAsia="宋体"/>
                <w:sz w:val="24"/>
              </w:rPr>
              <w:t>2026年8月10日</w:t>
            </w:r>
          </w:p>
        </w:tc>
      </w:tr>
    </w:tbl>
    <w:p w14:paraId="2BF1C686">
      <w:r>
        <w:rPr>
          <w:rFonts w:hint="eastAsia" w:ascii="宋体" w:hAnsi="宋体" w:eastAsia="宋体" w:cs="宋体"/>
          <w:kern w:val="0"/>
          <w:sz w:val="24"/>
          <w:szCs w:val="24"/>
          <w:lang w:val="en-US" w:eastAsia="zh-CN" w:bidi="ar-SA"/>
        </w:rPr>
        <w:t>注：本基金的场内扩位简称为“科创板博时”。</w:t>
      </w:r>
    </w:p>
    <w:p w14:paraId="03136FD7">
      <w:pPr>
        <w:pStyle w:val="2"/>
        <w:rPr>
          <w:rFonts w:hint="eastAsia" w:ascii="宋体" w:hAnsi="宋体" w:eastAsia="宋体"/>
          <w:sz w:val="24"/>
        </w:rPr>
      </w:pPr>
      <w:r>
        <w:rPr>
          <w:rFonts w:hint="eastAsia" w:ascii="宋体" w:hAnsi="宋体" w:eastAsia="宋体"/>
          <w:sz w:val="24"/>
        </w:rPr>
        <w:t>2、日常申购、赎回业务的办理时间</w:t>
      </w:r>
    </w:p>
    <w:p w14:paraId="69996183">
      <w:pPr>
        <w:pStyle w:val="5"/>
        <w:spacing w:before="0" w:beforeAutospacing="0" w:after="0" w:afterAutospacing="0" w:line="360" w:lineRule="auto"/>
        <w:ind w:firstLine="420"/>
      </w:pPr>
      <w:r>
        <w:rPr>
          <w:rFonts w:hint="eastAsia"/>
        </w:rPr>
        <w:t xml:space="preserve">（1）开放日及开放时间 </w:t>
      </w:r>
    </w:p>
    <w:p w14:paraId="58CCC2A9">
      <w:pPr>
        <w:pStyle w:val="5"/>
        <w:spacing w:before="0" w:beforeAutospacing="0" w:after="0" w:afterAutospacing="0" w:line="360" w:lineRule="auto"/>
        <w:ind w:firstLine="420"/>
        <w:rPr>
          <w:rFonts w:hint="eastAsia"/>
        </w:rPr>
      </w:pPr>
      <w:r>
        <w:rPr>
          <w:rFonts w:hint="eastAsia"/>
        </w:rPr>
        <w:t xml:space="preserve">本基金在开放期内，投资人在开放日办理基金份额的申购和赎回，具体办理时间为上海证券交易所、深圳证券交易所及相关期货交易所的正常交易日的交易时间（若本基金参与港股通交易且该工作日为非港股通交易日时，则基金管理人有权根据实际情况决定本基金暂停申购、赎回及转换业务并公告），但基金管理人根据法律法规、中国证监会的要求或本基金合同的规定公告暂停申购、赎回时除外。本基金在封闭期内不办理申购与赎回业务（红利再投资除外），本基金的基金份额可在本基金符合法律法规和上海证券交易所规定的上市条件的情况下上市交易。 </w:t>
      </w:r>
    </w:p>
    <w:p w14:paraId="24DA892D">
      <w:pPr>
        <w:pStyle w:val="5"/>
        <w:spacing w:before="0" w:beforeAutospacing="0" w:after="0" w:afterAutospacing="0" w:line="360" w:lineRule="auto"/>
        <w:ind w:firstLine="420"/>
        <w:rPr>
          <w:rFonts w:hint="eastAsia"/>
        </w:rPr>
      </w:pPr>
      <w:r>
        <w:rPr>
          <w:rFonts w:hint="eastAsia"/>
        </w:rPr>
        <w:t xml:space="preserve">基金合同生效后，若出现新的证券、期货交易市场、证券、期货交易所交易时间变更或其他特殊情况，基金管理人将视情况对前述开放日及开放时间进行相应的调整，但应在实施日前依照《公开募集证券投资基金信息披露管理办法》的有关规定在规定媒介上公告。 </w:t>
      </w:r>
    </w:p>
    <w:p w14:paraId="02F8235A">
      <w:pPr>
        <w:pStyle w:val="5"/>
        <w:spacing w:before="0" w:beforeAutospacing="0" w:after="0" w:afterAutospacing="0" w:line="360" w:lineRule="auto"/>
        <w:ind w:firstLine="420"/>
        <w:rPr>
          <w:rFonts w:hint="eastAsia"/>
        </w:rPr>
      </w:pPr>
      <w:r>
        <w:rPr>
          <w:rFonts w:hint="eastAsia"/>
        </w:rPr>
        <w:t xml:space="preserve">（2）开放期及业务办理时间 </w:t>
      </w:r>
    </w:p>
    <w:p w14:paraId="12544676">
      <w:pPr>
        <w:pStyle w:val="5"/>
        <w:spacing w:before="0" w:beforeAutospacing="0" w:after="0" w:afterAutospacing="0" w:line="360" w:lineRule="auto"/>
        <w:ind w:firstLine="420"/>
        <w:rPr>
          <w:rFonts w:hint="eastAsia"/>
        </w:rPr>
      </w:pPr>
      <w:r>
        <w:rPr>
          <w:rFonts w:hint="eastAsia"/>
        </w:rPr>
        <w:t xml:space="preserve">除法律法规或基金合同另有约定外，本基金自每个封闭期结束之后第一个工作日起（含该日）进入开放期，开放期的期限为自封闭期结束之日后第一个工作日起（含该日）5至20个工作日，具体期间由基金管理人在封闭期结束前公告说明，但在开放期内，基金管理人有权延长开放期时间并公告，但开放期最长不可超过20个工作日。 </w:t>
      </w:r>
    </w:p>
    <w:p w14:paraId="70E48F38">
      <w:pPr>
        <w:pStyle w:val="5"/>
        <w:spacing w:before="0" w:beforeAutospacing="0" w:after="0" w:afterAutospacing="0" w:line="360" w:lineRule="auto"/>
        <w:ind w:firstLine="420"/>
        <w:rPr>
          <w:rFonts w:hint="eastAsia"/>
        </w:rPr>
      </w:pPr>
      <w:r>
        <w:rPr>
          <w:rFonts w:hint="eastAsia"/>
        </w:rPr>
        <w:t>本基金当前封闭期为自2023年8月10日至2026年8月9日止。本基金本次办理申购、赎回业务的开放期为2026年8月10日至2026年8月14日，共5个工作日。202</w:t>
      </w:r>
      <w:r>
        <w:rPr>
          <w:rFonts w:hint="eastAsia"/>
          <w:lang w:val="en-US" w:eastAsia="zh-CN"/>
        </w:rPr>
        <w:t>6</w:t>
      </w:r>
      <w:r>
        <w:rPr>
          <w:rFonts w:hint="eastAsia"/>
        </w:rPr>
        <w:t>年8月1</w:t>
      </w:r>
      <w:r>
        <w:rPr>
          <w:rFonts w:hint="eastAsia"/>
          <w:lang w:val="en-US" w:eastAsia="zh-CN"/>
        </w:rPr>
        <w:t>5</w:t>
      </w:r>
      <w:r>
        <w:rPr>
          <w:rFonts w:hint="eastAsia"/>
        </w:rPr>
        <w:t xml:space="preserve">日（含该日）起3年期间，本基金将进入下一个封闭期，封闭期内本基金不办理申购、赎回业务。 </w:t>
      </w:r>
    </w:p>
    <w:p w14:paraId="40470A0A">
      <w:pPr>
        <w:pStyle w:val="5"/>
        <w:spacing w:before="0" w:beforeAutospacing="0" w:after="0" w:afterAutospacing="0" w:line="360" w:lineRule="auto"/>
        <w:ind w:firstLine="420"/>
        <w:rPr>
          <w:rFonts w:hint="eastAsia"/>
        </w:rPr>
      </w:pPr>
      <w:r>
        <w:rPr>
          <w:rFonts w:hint="eastAsia"/>
        </w:rPr>
        <w:t xml:space="preserve">如在开放期内发生不可抗力或其他情形致使基金无法按时开放或需依据基金合同暂停申购、赎回业务的，基金管理人有权合理调整申购、赎回业务的办理期间并予以公告，在不可抗力或其他情形影响因素消除之日下一个工作日起，继续计算该开放期时间。 </w:t>
      </w:r>
    </w:p>
    <w:p w14:paraId="61EF7024">
      <w:pPr>
        <w:pStyle w:val="5"/>
        <w:spacing w:before="0" w:beforeAutospacing="0" w:after="0" w:afterAutospacing="0" w:line="360" w:lineRule="auto"/>
        <w:ind w:firstLine="420"/>
        <w:rPr>
          <w:rFonts w:hint="eastAsia"/>
        </w:rPr>
      </w:pPr>
      <w:r>
        <w:rPr>
          <w:rFonts w:hint="eastAsia"/>
        </w:rPr>
        <w:t xml:space="preserve">基金管理人不得在基金合同约定之外的日期或者时间办理基金份额的申购、赎回。在开放期内，投资人在基金合同约定之外的日期和时间提出申购、赎回申请且登记机构确认接受的，其基金份额申购、赎回价格为下一开放日基金份额申购、赎回的价格；但若投资人在开放期最后一日业务办理时间结束之后提出申购、赎回申请的，视为无效申请。 </w:t>
      </w:r>
    </w:p>
    <w:p w14:paraId="27B363F7">
      <w:pPr>
        <w:pStyle w:val="2"/>
        <w:rPr>
          <w:rFonts w:ascii="宋体" w:hAnsi="宋体" w:eastAsia="宋体"/>
          <w:sz w:val="24"/>
        </w:rPr>
      </w:pPr>
      <w:r>
        <w:rPr>
          <w:rFonts w:ascii="宋体" w:hAnsi="宋体" w:eastAsia="宋体"/>
          <w:sz w:val="24"/>
        </w:rPr>
        <w:t>3、日常申购业务</w:t>
      </w:r>
    </w:p>
    <w:p w14:paraId="03D701C3">
      <w:pPr>
        <w:pStyle w:val="3"/>
        <w:rPr>
          <w:rFonts w:hint="eastAsia" w:ascii="宋体" w:hAnsi="宋体" w:eastAsia="宋体"/>
          <w:sz w:val="24"/>
        </w:rPr>
      </w:pPr>
      <w:r>
        <w:rPr>
          <w:rFonts w:hint="eastAsia" w:ascii="宋体" w:hAnsi="宋体" w:eastAsia="宋体"/>
          <w:sz w:val="24"/>
        </w:rPr>
        <w:t>3.1申购金额限制</w:t>
      </w:r>
    </w:p>
    <w:p w14:paraId="335E1973">
      <w:pPr>
        <w:pStyle w:val="5"/>
        <w:spacing w:before="0" w:beforeAutospacing="0" w:after="0" w:afterAutospacing="0" w:line="360" w:lineRule="auto"/>
        <w:ind w:firstLine="420"/>
        <w:rPr>
          <w:rFonts w:hint="eastAsia"/>
        </w:rPr>
      </w:pPr>
      <w:r>
        <w:rPr>
          <w:rFonts w:hint="eastAsia"/>
        </w:rPr>
        <w:t xml:space="preserve">本基金场外首次申购和追加申购的最低金额均为1元（含申购费，下同），基金销售机构另有规定的，以基金销售机构的规定为准。本基金场内申购单笔最低申购金额为1000元，超过1000元的须为1元的整数倍；基金销售机构另有规定的，以基金销售机构的规定为准；本基金直销机构最低申购金额及最低赎回份额由基金管理人制定和调整。基金管理人可根据市场情况，调整本基金基金份额的首次申购的最低金额。 </w:t>
      </w:r>
    </w:p>
    <w:p w14:paraId="4BBA814B">
      <w:pPr>
        <w:pStyle w:val="3"/>
        <w:rPr>
          <w:rFonts w:ascii="宋体" w:hAnsi="宋体" w:eastAsia="宋体"/>
          <w:sz w:val="24"/>
        </w:rPr>
      </w:pPr>
      <w:r>
        <w:rPr>
          <w:rFonts w:ascii="宋体" w:hAnsi="宋体" w:eastAsia="宋体"/>
          <w:sz w:val="24"/>
        </w:rPr>
        <w:t>3.2申购费率</w:t>
      </w:r>
    </w:p>
    <w:p w14:paraId="43B288DC">
      <w:pPr>
        <w:pStyle w:val="5"/>
        <w:spacing w:before="0" w:beforeAutospacing="0" w:after="0" w:afterAutospacing="0" w:line="360" w:lineRule="auto"/>
        <w:ind w:firstLine="420"/>
        <w:rPr>
          <w:rFonts w:hint="eastAsia"/>
        </w:rPr>
      </w:pPr>
      <w:r>
        <w:rPr>
          <w:rFonts w:hint="eastAsia"/>
        </w:rPr>
        <w:t xml:space="preserve">投资者可以多次申购本基金，申购费率按每笔申购申请单独计算。 </w:t>
      </w:r>
    </w:p>
    <w:p w14:paraId="5801DC8E">
      <w:pPr>
        <w:pStyle w:val="5"/>
        <w:spacing w:before="0" w:beforeAutospacing="0" w:after="0" w:afterAutospacing="0" w:line="360" w:lineRule="auto"/>
        <w:ind w:firstLine="420"/>
        <w:rPr>
          <w:rFonts w:hint="eastAsia"/>
        </w:rPr>
      </w:pPr>
      <w:r>
        <w:rPr>
          <w:rFonts w:hint="eastAsia"/>
        </w:rPr>
        <w:t xml:space="preserve">本基金采用前端收费模式收取基金申购费用。投资者的申购费用如下： </w:t>
      </w:r>
    </w:p>
    <w:p w14:paraId="43AD1DA5">
      <w:pPr>
        <w:pStyle w:val="5"/>
        <w:spacing w:before="0" w:beforeAutospacing="0" w:after="0" w:afterAutospacing="0" w:line="360" w:lineRule="auto"/>
        <w:ind w:firstLine="420"/>
        <w:rPr>
          <w:rFonts w:hint="eastAsia"/>
        </w:rPr>
      </w:pPr>
      <w:r>
        <w:rPr>
          <w:rFonts w:hint="eastAsia"/>
        </w:rPr>
        <w:t xml:space="preserve">本基金份额的场内/场外申购费率 </w:t>
      </w:r>
    </w:p>
    <w:tbl>
      <w:tblPr>
        <w:tblStyle w:val="7"/>
        <w:tblW w:w="4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2"/>
        <w:gridCol w:w="2516"/>
      </w:tblGrid>
      <w:tr w14:paraId="5B572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2F1C2FC5">
            <w:pPr>
              <w:pStyle w:val="5"/>
              <w:spacing w:before="0" w:beforeAutospacing="0" w:after="0" w:afterAutospacing="0" w:line="360" w:lineRule="auto"/>
              <w:ind w:firstLine="420"/>
              <w:rPr>
                <w:rFonts w:hint="eastAsia"/>
              </w:rPr>
            </w:pPr>
            <w:r>
              <w:rPr>
                <w:rFonts w:hint="eastAsia"/>
              </w:rPr>
              <w:t xml:space="preserve">金额（M） </w:t>
            </w:r>
          </w:p>
        </w:tc>
        <w:tc>
          <w:tcPr>
            <w:tcW w:w="0" w:type="auto"/>
            <w:shd w:val="clear" w:color="auto" w:fill="auto"/>
          </w:tcPr>
          <w:p w14:paraId="29F4F3B1">
            <w:pPr>
              <w:pStyle w:val="5"/>
              <w:spacing w:before="0" w:beforeAutospacing="0" w:after="0" w:afterAutospacing="0" w:line="360" w:lineRule="auto"/>
              <w:ind w:firstLine="420"/>
              <w:rPr>
                <w:rFonts w:hint="eastAsia"/>
              </w:rPr>
            </w:pPr>
            <w:r>
              <w:rPr>
                <w:rFonts w:hint="eastAsia"/>
              </w:rPr>
              <w:t xml:space="preserve">申购费率 </w:t>
            </w:r>
          </w:p>
        </w:tc>
      </w:tr>
      <w:tr w14:paraId="74C618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1714B291">
            <w:pPr>
              <w:pStyle w:val="5"/>
              <w:spacing w:before="0" w:beforeAutospacing="0" w:after="0" w:afterAutospacing="0" w:line="360" w:lineRule="auto"/>
              <w:ind w:firstLine="420"/>
              <w:rPr>
                <w:rFonts w:hint="eastAsia"/>
              </w:rPr>
            </w:pPr>
            <w:r>
              <w:rPr>
                <w:rFonts w:hint="eastAsia"/>
              </w:rPr>
              <w:t xml:space="preserve">M＜100万元 </w:t>
            </w:r>
          </w:p>
        </w:tc>
        <w:tc>
          <w:tcPr>
            <w:tcW w:w="0" w:type="auto"/>
            <w:shd w:val="clear" w:color="auto" w:fill="auto"/>
          </w:tcPr>
          <w:p w14:paraId="3804A491">
            <w:pPr>
              <w:pStyle w:val="5"/>
              <w:spacing w:before="0" w:beforeAutospacing="0" w:after="0" w:afterAutospacing="0" w:line="360" w:lineRule="auto"/>
              <w:ind w:firstLine="420"/>
              <w:rPr>
                <w:rFonts w:hint="eastAsia"/>
              </w:rPr>
            </w:pPr>
            <w:r>
              <w:rPr>
                <w:rFonts w:hint="eastAsia"/>
              </w:rPr>
              <w:t xml:space="preserve">1.50% </w:t>
            </w:r>
          </w:p>
        </w:tc>
      </w:tr>
      <w:tr w14:paraId="23CC3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3C5F7971">
            <w:pPr>
              <w:pStyle w:val="5"/>
              <w:spacing w:before="0" w:beforeAutospacing="0" w:after="0" w:afterAutospacing="0" w:line="360" w:lineRule="auto"/>
              <w:ind w:firstLine="420"/>
              <w:rPr>
                <w:rFonts w:hint="eastAsia"/>
              </w:rPr>
            </w:pPr>
            <w:r>
              <w:rPr>
                <w:rFonts w:hint="eastAsia"/>
              </w:rPr>
              <w:t xml:space="preserve">100万元≤M＜300万元 </w:t>
            </w:r>
          </w:p>
        </w:tc>
        <w:tc>
          <w:tcPr>
            <w:tcW w:w="0" w:type="auto"/>
            <w:shd w:val="clear" w:color="auto" w:fill="auto"/>
          </w:tcPr>
          <w:p w14:paraId="3DB25D49">
            <w:pPr>
              <w:pStyle w:val="5"/>
              <w:spacing w:before="0" w:beforeAutospacing="0" w:after="0" w:afterAutospacing="0" w:line="360" w:lineRule="auto"/>
              <w:ind w:firstLine="420"/>
              <w:rPr>
                <w:rFonts w:hint="eastAsia"/>
              </w:rPr>
            </w:pPr>
            <w:r>
              <w:rPr>
                <w:rFonts w:hint="eastAsia"/>
              </w:rPr>
              <w:t xml:space="preserve">1.00% </w:t>
            </w:r>
          </w:p>
        </w:tc>
      </w:tr>
      <w:tr w14:paraId="20203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6C6441C4">
            <w:pPr>
              <w:pStyle w:val="5"/>
              <w:spacing w:before="0" w:beforeAutospacing="0" w:after="0" w:afterAutospacing="0" w:line="360" w:lineRule="auto"/>
              <w:ind w:firstLine="420"/>
              <w:rPr>
                <w:rFonts w:hint="eastAsia"/>
              </w:rPr>
            </w:pPr>
            <w:r>
              <w:rPr>
                <w:rFonts w:hint="eastAsia"/>
              </w:rPr>
              <w:t xml:space="preserve">300万元≤M＜500万元 </w:t>
            </w:r>
          </w:p>
        </w:tc>
        <w:tc>
          <w:tcPr>
            <w:tcW w:w="0" w:type="auto"/>
            <w:shd w:val="clear" w:color="auto" w:fill="auto"/>
          </w:tcPr>
          <w:p w14:paraId="6FB1AEF3">
            <w:pPr>
              <w:pStyle w:val="5"/>
              <w:spacing w:before="0" w:beforeAutospacing="0" w:after="0" w:afterAutospacing="0" w:line="360" w:lineRule="auto"/>
              <w:ind w:firstLine="420"/>
              <w:rPr>
                <w:rFonts w:hint="eastAsia"/>
              </w:rPr>
            </w:pPr>
            <w:r>
              <w:rPr>
                <w:rFonts w:hint="eastAsia"/>
              </w:rPr>
              <w:t xml:space="preserve">0.60% </w:t>
            </w:r>
          </w:p>
        </w:tc>
      </w:tr>
      <w:tr w14:paraId="21046C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08FA8C47">
            <w:pPr>
              <w:pStyle w:val="5"/>
              <w:spacing w:before="0" w:beforeAutospacing="0" w:after="0" w:afterAutospacing="0" w:line="360" w:lineRule="auto"/>
              <w:ind w:firstLine="420"/>
              <w:rPr>
                <w:rFonts w:hint="eastAsia"/>
              </w:rPr>
            </w:pPr>
            <w:r>
              <w:rPr>
                <w:rFonts w:hint="eastAsia"/>
              </w:rPr>
              <w:t xml:space="preserve">M≥500万元 </w:t>
            </w:r>
          </w:p>
        </w:tc>
        <w:tc>
          <w:tcPr>
            <w:tcW w:w="0" w:type="auto"/>
            <w:shd w:val="clear" w:color="auto" w:fill="auto"/>
          </w:tcPr>
          <w:p w14:paraId="65B7AACE">
            <w:pPr>
              <w:pStyle w:val="5"/>
              <w:spacing w:before="0" w:beforeAutospacing="0" w:after="0" w:afterAutospacing="0" w:line="360" w:lineRule="auto"/>
              <w:ind w:firstLine="420"/>
              <w:rPr>
                <w:rFonts w:hint="eastAsia"/>
              </w:rPr>
            </w:pPr>
            <w:r>
              <w:rPr>
                <w:rFonts w:hint="eastAsia"/>
              </w:rPr>
              <w:t xml:space="preserve">1000元/笔 </w:t>
            </w:r>
          </w:p>
        </w:tc>
      </w:tr>
    </w:tbl>
    <w:p w14:paraId="6942497C">
      <w:pPr>
        <w:pStyle w:val="5"/>
        <w:spacing w:before="0" w:beforeAutospacing="0" w:after="0" w:afterAutospacing="0" w:line="360" w:lineRule="auto"/>
        <w:ind w:firstLine="420"/>
        <w:rPr>
          <w:rFonts w:hint="eastAsia"/>
        </w:rPr>
      </w:pPr>
      <w:r>
        <w:rPr>
          <w:rFonts w:hint="eastAsia"/>
        </w:rPr>
        <w:t xml:space="preserve">本基金的申购费用由投资人承担，主要用于本基金的市场推广、销售、登记等各项费用，不列入基金财产。 </w:t>
      </w:r>
    </w:p>
    <w:p w14:paraId="0FA09734">
      <w:pPr>
        <w:pStyle w:val="3"/>
        <w:rPr>
          <w:rFonts w:hint="eastAsia" w:ascii="宋体" w:hAnsi="宋体" w:eastAsia="宋体"/>
          <w:sz w:val="24"/>
        </w:rPr>
      </w:pPr>
      <w:r>
        <w:rPr>
          <w:rFonts w:hint="eastAsia" w:ascii="宋体" w:hAnsi="宋体" w:eastAsia="宋体"/>
          <w:sz w:val="24"/>
        </w:rPr>
        <w:t>3.3其他与申购相关的事项</w:t>
      </w:r>
    </w:p>
    <w:p w14:paraId="0755BF1F">
      <w:pPr>
        <w:pStyle w:val="5"/>
        <w:spacing w:before="0" w:beforeAutospacing="0" w:after="0" w:afterAutospacing="0" w:line="360" w:lineRule="auto"/>
        <w:ind w:firstLine="420"/>
      </w:pPr>
      <w:r>
        <w:rPr>
          <w:rFonts w:hint="eastAsia"/>
        </w:rPr>
        <w:t xml:space="preserve">1）基金管理人可在法律法规允许的情况下调整申购金额的数量限制，基金管理人必须在调整实施前依照《公开募集证券投资基金信息披露管理办法》的有关规定在规定媒介上公告。 </w:t>
      </w:r>
    </w:p>
    <w:p w14:paraId="7A24ED4D">
      <w:pPr>
        <w:pStyle w:val="5"/>
        <w:spacing w:before="0" w:beforeAutospacing="0" w:after="0" w:afterAutospacing="0" w:line="360" w:lineRule="auto"/>
        <w:ind w:firstLine="420"/>
        <w:rPr>
          <w:rFonts w:hint="eastAsia"/>
        </w:rPr>
      </w:pPr>
      <w:r>
        <w:rPr>
          <w:rFonts w:hint="eastAsia"/>
        </w:rPr>
        <w:t xml:space="preserve">2）基金管理人可以在基金合同约定的范围内调整申购费率或收费方式，并依照《公开募集证券投资基金信息披露管理办法》的有关规定在规定媒介上公告。 </w:t>
      </w:r>
    </w:p>
    <w:p w14:paraId="1D65E074">
      <w:pPr>
        <w:pStyle w:val="2"/>
        <w:rPr>
          <w:rFonts w:ascii="宋体" w:hAnsi="宋体" w:eastAsia="宋体"/>
          <w:sz w:val="24"/>
        </w:rPr>
      </w:pPr>
      <w:r>
        <w:rPr>
          <w:rFonts w:ascii="宋体" w:hAnsi="宋体" w:eastAsia="宋体"/>
          <w:sz w:val="24"/>
        </w:rPr>
        <w:t>4、日常赎回业务</w:t>
      </w:r>
    </w:p>
    <w:p w14:paraId="3EF5B1CE">
      <w:pPr>
        <w:pStyle w:val="3"/>
        <w:rPr>
          <w:rFonts w:hint="eastAsia" w:ascii="宋体" w:hAnsi="宋体" w:eastAsia="宋体"/>
          <w:sz w:val="24"/>
        </w:rPr>
      </w:pPr>
      <w:r>
        <w:rPr>
          <w:rFonts w:hint="eastAsia" w:ascii="宋体" w:hAnsi="宋体" w:eastAsia="宋体"/>
          <w:sz w:val="24"/>
        </w:rPr>
        <w:t>4.1赎回份额限制</w:t>
      </w:r>
    </w:p>
    <w:p w14:paraId="691CB774">
      <w:pPr>
        <w:pStyle w:val="5"/>
        <w:spacing w:before="0" w:beforeAutospacing="0" w:after="0" w:afterAutospacing="0" w:line="360" w:lineRule="auto"/>
        <w:ind w:firstLine="420"/>
        <w:rPr>
          <w:rFonts w:hint="eastAsia"/>
        </w:rPr>
      </w:pPr>
      <w:r>
        <w:rPr>
          <w:rFonts w:hint="eastAsia"/>
        </w:rPr>
        <w:t xml:space="preserve">本基金不对投资人每个交易账户的最低基金份额余额进行限制。 </w:t>
      </w:r>
    </w:p>
    <w:p w14:paraId="2980F7E5">
      <w:pPr>
        <w:pStyle w:val="3"/>
        <w:rPr>
          <w:rFonts w:ascii="宋体" w:hAnsi="宋体" w:eastAsia="宋体"/>
          <w:sz w:val="24"/>
        </w:rPr>
      </w:pPr>
      <w:r>
        <w:rPr>
          <w:rFonts w:ascii="宋体" w:hAnsi="宋体" w:eastAsia="宋体"/>
          <w:sz w:val="24"/>
        </w:rPr>
        <w:t>4.2赎回费率</w:t>
      </w:r>
    </w:p>
    <w:p w14:paraId="5AF2C32F">
      <w:pPr>
        <w:pStyle w:val="5"/>
        <w:spacing w:before="0" w:beforeAutospacing="0" w:after="0" w:afterAutospacing="0" w:line="360" w:lineRule="auto"/>
        <w:ind w:firstLine="420"/>
        <w:rPr>
          <w:rFonts w:hint="eastAsia"/>
        </w:rPr>
      </w:pPr>
      <w:r>
        <w:rPr>
          <w:rFonts w:hint="eastAsia"/>
        </w:rPr>
        <w:t xml:space="preserve">本基金的场外赎回费率 </w:t>
      </w:r>
    </w:p>
    <w:tbl>
      <w:tblPr>
        <w:tblStyle w:val="7"/>
        <w:tblW w:w="4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036"/>
        <w:gridCol w:w="2782"/>
      </w:tblGrid>
      <w:tr w14:paraId="4A074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0CB61632">
            <w:pPr>
              <w:pStyle w:val="5"/>
              <w:spacing w:before="0" w:beforeAutospacing="0" w:after="0" w:afterAutospacing="0" w:line="360" w:lineRule="auto"/>
              <w:ind w:firstLine="420"/>
              <w:rPr>
                <w:rFonts w:hint="eastAsia"/>
              </w:rPr>
            </w:pPr>
            <w:r>
              <w:rPr>
                <w:rFonts w:hint="eastAsia"/>
              </w:rPr>
              <w:t xml:space="preserve">持有期（Y） </w:t>
            </w:r>
          </w:p>
        </w:tc>
        <w:tc>
          <w:tcPr>
            <w:tcW w:w="0" w:type="auto"/>
            <w:shd w:val="clear" w:color="auto" w:fill="auto"/>
          </w:tcPr>
          <w:p w14:paraId="624C73A1">
            <w:pPr>
              <w:pStyle w:val="5"/>
              <w:spacing w:before="0" w:beforeAutospacing="0" w:after="0" w:afterAutospacing="0" w:line="360" w:lineRule="auto"/>
              <w:ind w:firstLine="420"/>
              <w:rPr>
                <w:rFonts w:hint="eastAsia"/>
              </w:rPr>
            </w:pPr>
            <w:r>
              <w:rPr>
                <w:rFonts w:hint="eastAsia"/>
              </w:rPr>
              <w:t xml:space="preserve">赎回费率 </w:t>
            </w:r>
          </w:p>
        </w:tc>
      </w:tr>
      <w:tr w14:paraId="7F9CD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2275B821">
            <w:pPr>
              <w:pStyle w:val="5"/>
              <w:spacing w:before="0" w:beforeAutospacing="0" w:after="0" w:afterAutospacing="0" w:line="360" w:lineRule="auto"/>
              <w:ind w:firstLine="420"/>
              <w:rPr>
                <w:rFonts w:hint="eastAsia"/>
              </w:rPr>
            </w:pPr>
            <w:r>
              <w:rPr>
                <w:rFonts w:hint="eastAsia"/>
              </w:rPr>
              <w:t xml:space="preserve">Y＜7日 </w:t>
            </w:r>
          </w:p>
        </w:tc>
        <w:tc>
          <w:tcPr>
            <w:tcW w:w="0" w:type="auto"/>
            <w:shd w:val="clear" w:color="auto" w:fill="auto"/>
          </w:tcPr>
          <w:p w14:paraId="0D51B032">
            <w:pPr>
              <w:pStyle w:val="5"/>
              <w:spacing w:before="0" w:beforeAutospacing="0" w:after="0" w:afterAutospacing="0" w:line="360" w:lineRule="auto"/>
              <w:ind w:firstLine="420"/>
              <w:rPr>
                <w:rFonts w:hint="eastAsia"/>
              </w:rPr>
            </w:pPr>
            <w:r>
              <w:rPr>
                <w:rFonts w:hint="eastAsia"/>
              </w:rPr>
              <w:t xml:space="preserve">1.50% </w:t>
            </w:r>
          </w:p>
        </w:tc>
      </w:tr>
      <w:tr w14:paraId="4D8D2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20E1AE38">
            <w:pPr>
              <w:pStyle w:val="5"/>
              <w:spacing w:before="0" w:beforeAutospacing="0" w:after="0" w:afterAutospacing="0" w:line="360" w:lineRule="auto"/>
              <w:ind w:firstLine="420"/>
              <w:rPr>
                <w:rFonts w:hint="eastAsia"/>
              </w:rPr>
            </w:pPr>
            <w:r>
              <w:rPr>
                <w:rFonts w:hint="eastAsia"/>
              </w:rPr>
              <w:t xml:space="preserve">7日≤Y＜30日 </w:t>
            </w:r>
          </w:p>
        </w:tc>
        <w:tc>
          <w:tcPr>
            <w:tcW w:w="0" w:type="auto"/>
            <w:shd w:val="clear" w:color="auto" w:fill="auto"/>
          </w:tcPr>
          <w:p w14:paraId="62B007FC">
            <w:pPr>
              <w:pStyle w:val="5"/>
              <w:spacing w:before="0" w:beforeAutospacing="0" w:after="0" w:afterAutospacing="0" w:line="360" w:lineRule="auto"/>
              <w:ind w:firstLine="420"/>
              <w:rPr>
                <w:rFonts w:hint="eastAsia"/>
              </w:rPr>
            </w:pPr>
            <w:r>
              <w:rPr>
                <w:rFonts w:hint="eastAsia"/>
              </w:rPr>
              <w:t xml:space="preserve">0.75% </w:t>
            </w:r>
          </w:p>
        </w:tc>
      </w:tr>
      <w:tr w14:paraId="0A3E0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6E954D70">
            <w:pPr>
              <w:pStyle w:val="5"/>
              <w:spacing w:before="0" w:beforeAutospacing="0" w:after="0" w:afterAutospacing="0" w:line="360" w:lineRule="auto"/>
              <w:ind w:firstLine="420"/>
              <w:rPr>
                <w:rFonts w:hint="eastAsia"/>
              </w:rPr>
            </w:pPr>
            <w:r>
              <w:rPr>
                <w:rFonts w:hint="eastAsia"/>
              </w:rPr>
              <w:t xml:space="preserve">30日≤Y＜60日 </w:t>
            </w:r>
          </w:p>
        </w:tc>
        <w:tc>
          <w:tcPr>
            <w:tcW w:w="0" w:type="auto"/>
            <w:shd w:val="clear" w:color="auto" w:fill="auto"/>
          </w:tcPr>
          <w:p w14:paraId="3FD99090">
            <w:pPr>
              <w:pStyle w:val="5"/>
              <w:spacing w:before="0" w:beforeAutospacing="0" w:after="0" w:afterAutospacing="0" w:line="360" w:lineRule="auto"/>
              <w:ind w:firstLine="420"/>
              <w:rPr>
                <w:rFonts w:hint="eastAsia"/>
              </w:rPr>
            </w:pPr>
            <w:r>
              <w:rPr>
                <w:rFonts w:hint="eastAsia"/>
              </w:rPr>
              <w:t xml:space="preserve">0.50% </w:t>
            </w:r>
          </w:p>
        </w:tc>
      </w:tr>
      <w:tr w14:paraId="1C6C5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shd w:val="clear" w:color="auto" w:fill="auto"/>
          </w:tcPr>
          <w:p w14:paraId="37595065">
            <w:pPr>
              <w:pStyle w:val="5"/>
              <w:spacing w:before="0" w:beforeAutospacing="0" w:after="0" w:afterAutospacing="0" w:line="360" w:lineRule="auto"/>
              <w:ind w:firstLine="420"/>
              <w:rPr>
                <w:rFonts w:hint="eastAsia"/>
              </w:rPr>
            </w:pPr>
            <w:r>
              <w:rPr>
                <w:rFonts w:hint="eastAsia"/>
              </w:rPr>
              <w:t xml:space="preserve">Y≥60日 </w:t>
            </w:r>
          </w:p>
        </w:tc>
        <w:tc>
          <w:tcPr>
            <w:tcW w:w="0" w:type="auto"/>
            <w:shd w:val="clear" w:color="auto" w:fill="auto"/>
          </w:tcPr>
          <w:p w14:paraId="7554E8F1">
            <w:pPr>
              <w:pStyle w:val="5"/>
              <w:spacing w:before="0" w:beforeAutospacing="0" w:after="0" w:afterAutospacing="0" w:line="360" w:lineRule="auto"/>
              <w:ind w:firstLine="420"/>
              <w:rPr>
                <w:rFonts w:hint="eastAsia"/>
              </w:rPr>
            </w:pPr>
            <w:r>
              <w:rPr>
                <w:rFonts w:hint="eastAsia"/>
              </w:rPr>
              <w:t xml:space="preserve">0% </w:t>
            </w:r>
          </w:p>
        </w:tc>
      </w:tr>
    </w:tbl>
    <w:p w14:paraId="1381F0FB">
      <w:pPr>
        <w:pStyle w:val="5"/>
        <w:spacing w:before="0" w:beforeAutospacing="0" w:after="0" w:afterAutospacing="0" w:line="360" w:lineRule="auto"/>
        <w:ind w:firstLine="420"/>
        <w:rPr>
          <w:rFonts w:hint="eastAsia"/>
        </w:rPr>
      </w:pPr>
      <w:r>
        <w:rPr>
          <w:rFonts w:hint="eastAsia"/>
        </w:rPr>
        <w:t xml:space="preserve">本基金场内赎回费率参照场外赎回费率执行。 </w:t>
      </w:r>
    </w:p>
    <w:p w14:paraId="533A5670">
      <w:pPr>
        <w:pStyle w:val="5"/>
        <w:spacing w:before="0" w:beforeAutospacing="0" w:after="0" w:afterAutospacing="0" w:line="360" w:lineRule="auto"/>
        <w:ind w:firstLine="420"/>
        <w:rPr>
          <w:rFonts w:hint="eastAsia"/>
        </w:rPr>
      </w:pPr>
      <w:r>
        <w:rPr>
          <w:rFonts w:hint="eastAsia"/>
        </w:rPr>
        <w:t xml:space="preserve">赎回费用由赎回基金份额的基金份额持有人承担。本基金的赎回费用在投资者赎回本基金份额时收取。在场内/场外赎回的份额，对持有期在30日以内的投资人收取的赎回费，全额计入基金资产；对持有期在30日至60日的投资人收取的赎回费，75%计入基金资产。上述未纳入基金财产的赎回费用于支付登记费和其他必要的手续费。 </w:t>
      </w:r>
    </w:p>
    <w:p w14:paraId="329EE1A6">
      <w:pPr>
        <w:pStyle w:val="5"/>
        <w:spacing w:before="0" w:beforeAutospacing="0" w:after="0" w:afterAutospacing="0" w:line="360" w:lineRule="auto"/>
        <w:ind w:firstLine="420"/>
        <w:rPr>
          <w:rFonts w:hint="eastAsia"/>
        </w:rPr>
      </w:pPr>
      <w:r>
        <w:rPr>
          <w:rFonts w:hint="eastAsia"/>
        </w:rPr>
        <w:t xml:space="preserve">对于每份申购份额，持有期指自该基金份额申购确认日至赎回确认日（不含该日）。 </w:t>
      </w:r>
    </w:p>
    <w:p w14:paraId="1E76015B">
      <w:pPr>
        <w:pStyle w:val="3"/>
        <w:rPr>
          <w:rFonts w:hint="eastAsia" w:ascii="宋体" w:hAnsi="宋体" w:eastAsia="宋体"/>
          <w:sz w:val="24"/>
        </w:rPr>
      </w:pPr>
      <w:r>
        <w:rPr>
          <w:rFonts w:hint="eastAsia" w:ascii="宋体" w:hAnsi="宋体" w:eastAsia="宋体"/>
          <w:sz w:val="24"/>
        </w:rPr>
        <w:t>4.3其他与赎回相关的事项</w:t>
      </w:r>
    </w:p>
    <w:p w14:paraId="0B4A8E55">
      <w:pPr>
        <w:pStyle w:val="5"/>
        <w:spacing w:before="0" w:beforeAutospacing="0" w:after="0" w:afterAutospacing="0" w:line="360" w:lineRule="auto"/>
        <w:ind w:firstLine="420"/>
      </w:pPr>
      <w:r>
        <w:rPr>
          <w:rFonts w:hint="eastAsia"/>
        </w:rPr>
        <w:t xml:space="preserve">1）基金管理人可在法律法规允许的情况下调整赎回份额的数量限制，基金管理人必须在调整实施前依照《公开募集证券投资基金信息披露管理办法》的有关规定在规定媒介上公告。 </w:t>
      </w:r>
    </w:p>
    <w:p w14:paraId="3B31DE64">
      <w:pPr>
        <w:pStyle w:val="5"/>
        <w:spacing w:before="0" w:beforeAutospacing="0" w:after="0" w:afterAutospacing="0" w:line="360" w:lineRule="auto"/>
        <w:ind w:firstLine="420"/>
        <w:rPr>
          <w:rFonts w:hint="eastAsia"/>
        </w:rPr>
      </w:pPr>
      <w:r>
        <w:rPr>
          <w:rFonts w:hint="eastAsia"/>
        </w:rPr>
        <w:t xml:space="preserve">2）基金管理人可以在基金合同约定的范围内调整赎回费率或收费方式，并依照《公开募集证券投资基金信息披露管理办法》的有关规定在规定媒介上公告。 </w:t>
      </w:r>
    </w:p>
    <w:p w14:paraId="5D957E55">
      <w:pPr>
        <w:pStyle w:val="2"/>
        <w:rPr>
          <w:rFonts w:ascii="宋体" w:hAnsi="宋体" w:eastAsia="宋体"/>
          <w:sz w:val="24"/>
        </w:rPr>
      </w:pPr>
      <w:r>
        <w:rPr>
          <w:rFonts w:ascii="宋体" w:hAnsi="宋体" w:eastAsia="宋体"/>
          <w:sz w:val="24"/>
        </w:rPr>
        <w:t>5、基金销售机构</w:t>
      </w:r>
    </w:p>
    <w:p w14:paraId="243A99E2">
      <w:pPr>
        <w:pStyle w:val="3"/>
        <w:rPr>
          <w:rFonts w:hint="eastAsia" w:ascii="宋体" w:hAnsi="宋体" w:eastAsia="宋体"/>
          <w:sz w:val="24"/>
        </w:rPr>
      </w:pPr>
      <w:r>
        <w:rPr>
          <w:rFonts w:hint="eastAsia" w:ascii="宋体" w:hAnsi="宋体" w:eastAsia="宋体"/>
          <w:sz w:val="24"/>
        </w:rPr>
        <w:t>5.1场外销售机构</w:t>
      </w:r>
    </w:p>
    <w:p w14:paraId="6F8448A9">
      <w:pPr>
        <w:pStyle w:val="4"/>
        <w:rPr>
          <w:rFonts w:hint="eastAsia" w:ascii="宋体" w:hAnsi="宋体" w:eastAsia="宋体"/>
          <w:sz w:val="24"/>
        </w:rPr>
      </w:pPr>
      <w:r>
        <w:rPr>
          <w:rFonts w:hint="eastAsia" w:ascii="宋体" w:hAnsi="宋体" w:eastAsia="宋体"/>
          <w:sz w:val="24"/>
        </w:rPr>
        <w:t>5.1.1直销机构</w:t>
      </w:r>
    </w:p>
    <w:p w14:paraId="1DF27210">
      <w:pPr>
        <w:pStyle w:val="5"/>
        <w:spacing w:before="0" w:beforeAutospacing="0" w:after="0" w:afterAutospacing="0" w:line="360" w:lineRule="auto"/>
        <w:ind w:firstLine="420"/>
      </w:pPr>
      <w:r>
        <w:rPr>
          <w:rFonts w:hint="eastAsia"/>
        </w:rPr>
        <w:t xml:space="preserve">博时基金管理有限公司直销机构（含直销中心及直销网上交易）。 </w:t>
      </w:r>
    </w:p>
    <w:p w14:paraId="554AF07A">
      <w:pPr>
        <w:pStyle w:val="5"/>
        <w:spacing w:before="0" w:beforeAutospacing="0" w:after="0" w:afterAutospacing="0" w:line="360" w:lineRule="auto"/>
        <w:ind w:firstLine="420"/>
        <w:rPr>
          <w:rFonts w:hint="eastAsia"/>
        </w:rPr>
      </w:pPr>
      <w:r>
        <w:rPr>
          <w:rFonts w:hint="eastAsia"/>
        </w:rPr>
        <w:t xml:space="preserve">投资者如需办理直销网上交易，可登录本公司网站https://www.bosera.com参阅《博时基金管理有限公司开放式基金业务规则》、《博时基金管理有限公司网上交易业务规则》等办理相关开户、申购和赎回等业务。 </w:t>
      </w:r>
    </w:p>
    <w:p w14:paraId="40416420">
      <w:pPr>
        <w:pStyle w:val="4"/>
        <w:rPr>
          <w:rFonts w:ascii="宋体" w:hAnsi="宋体" w:eastAsia="宋体"/>
          <w:sz w:val="24"/>
        </w:rPr>
      </w:pPr>
      <w:r>
        <w:rPr>
          <w:rFonts w:ascii="宋体" w:hAnsi="宋体" w:eastAsia="宋体"/>
          <w:sz w:val="24"/>
        </w:rPr>
        <w:t>5.1.2场外非直销机构</w:t>
      </w:r>
    </w:p>
    <w:p w14:paraId="076D8DD4">
      <w:pPr>
        <w:pStyle w:val="5"/>
        <w:spacing w:before="0" w:beforeAutospacing="0" w:after="0" w:afterAutospacing="0" w:line="360" w:lineRule="auto"/>
        <w:ind w:firstLine="420"/>
      </w:pPr>
      <w:r>
        <w:rPr>
          <w:rFonts w:hint="eastAsia"/>
        </w:rPr>
        <w:t xml:space="preserve">中国工商银行股份有限公司、中国银行股份有限公司、交通银行股份有限公司、中信银行股份有限公司、上海浦东发展银行股份有限公司、兴业银行股份有限公司、中国光大银行股份有限公司、中国民生银行股份有限公司、中国邮政储蓄银行股份有限公司、上海银行股份有限公司、广发银行股份有限公司、平安银行股份有限公司、宁波银行股份有限公司、浙江民泰商业银行股份有限公司、深圳市新兰德证券投资咨询有限公司、厦门市鑫鼎盛控股有限公司、腾安基金销售（深圳）有限公司、北京度小满基金销售有限公司、博时财富基金销售有限公司、诺亚正行基金销售有限公司、深圳众禄基金销售股份有限公司、上海天天基金销售有限公司、上海好买基金销售有限公司、蚂蚁（杭州）基金销售有限公司、上海长量基金销售有限公司、浙江同花顺基金销售有限公司、上海利得基金销售有限公司、宜信普泽（北京）基金销售有限公司、南京苏宁基金销售有限公司、华源证券股份有限公司（鑫理财）、北京汇成基金销售有限公司、海银基金销售有限公司、上海万得基金销售有限公司、上海基煜基金销售有限公司、上海陆金所基金销售有限公司、珠海盈米基金销售有限公司、京东肯特瑞基金销售有限公司、北京雪球基金销售有限公司、上海中欧财富基金销售有限公司、中信期货有限公司、苏豪弘业期货股份有限公司、国泰海通证券股份有限公司、中信建投证券股份有限公司、国信证券股份有限公司、招商证券股份有限公司、广发证券股份有限公司、中信证券股份有限公司、中国银河证券股份有限公司、申万宏源证券有限公司、兴业证券股份有限公司、长江证券股份有限公司、国投证券股份有限公司、万联证券股份有限公司、国元证券股份有限公司、渤海证券股份有限公司、华泰证券股份有限公司、山西证券股份有限公司、中信证券（山东）有限责任公司、东兴证券股份有限公司、东吴证券股份有限公司、信达证券股份有限公司、方正证券股份有限公司、长城证券股份有限公司、光大证券股份有限公司、中信证券华南股份有限公司、东北证券股份有限公司、南京证券股份有限公司、上海证券有限责任公司、大同证券有限责任公司、国联民生证券股份有限公司、平安证券股份有限公司、华安证券股份有限公司、财信证券股份有限公司、国都证券股份有限公司、东海证券股份有限公司、中银国际证券股份有限公司、金融街证券股份有限公司、国盛证券股份有限公司、华西证券股份有限公司、申万宏源西部证券有限公司、中泰证券股份有限公司、第一创业证券股份有限公司、金元证券股份有限公司、中航证券有限公司、德邦证券股份有限公司、西部证券股份有限公司、华福证券股份有限公司、华龙证券股份有限公司、财通证券股份有限公司、五矿证券有限公司、华鑫证券有限责任公司、中国中金财富证券有限公司、东方财富证券股份有限公司、粤开证券股份有限公司、江海证券有限公司、国金证券股份有限公司、华宝证券股份有限公司、长城国瑞证券有限公司、爱建证券有限责任公司、英大证券有限责任公司、财达证券股份有限公司、太平洋证券股份有限公司、开源证券股份有限公司、阳光人寿保险股份有限公司 </w:t>
      </w:r>
    </w:p>
    <w:p w14:paraId="3AD42B6A">
      <w:pPr>
        <w:pStyle w:val="5"/>
        <w:spacing w:before="0" w:beforeAutospacing="0" w:after="0" w:afterAutospacing="0" w:line="360" w:lineRule="auto"/>
        <w:ind w:firstLine="420"/>
        <w:rPr>
          <w:rFonts w:hint="eastAsia"/>
        </w:rPr>
      </w:pPr>
      <w:r>
        <w:rPr>
          <w:rFonts w:hint="eastAsia"/>
        </w:rPr>
        <w:t xml:space="preserve">除上述机构外，其他销售机构如以后开展上述业务，本公司可不再另行公告，以各销售机构为准。各代销机构可销售的基金份额类别、可办理的基金业务类型及其具体业务办理状况遵循其各自规定执行。 </w:t>
      </w:r>
    </w:p>
    <w:p w14:paraId="31098DEC">
      <w:pPr>
        <w:pStyle w:val="3"/>
        <w:rPr>
          <w:rFonts w:ascii="宋体" w:hAnsi="宋体" w:eastAsia="宋体"/>
          <w:sz w:val="24"/>
        </w:rPr>
      </w:pPr>
      <w:r>
        <w:rPr>
          <w:rFonts w:ascii="宋体" w:hAnsi="宋体" w:eastAsia="宋体"/>
          <w:sz w:val="24"/>
        </w:rPr>
        <w:t>5.2场内销售机构</w:t>
      </w:r>
    </w:p>
    <w:p w14:paraId="5BB43AB0">
      <w:pPr>
        <w:pStyle w:val="5"/>
        <w:spacing w:before="0" w:beforeAutospacing="0" w:after="0" w:afterAutospacing="0" w:line="360" w:lineRule="auto"/>
        <w:ind w:firstLine="420"/>
      </w:pPr>
      <w:r>
        <w:rPr>
          <w:rFonts w:hint="eastAsia"/>
        </w:rPr>
        <w:t>爱建证券有限责任公司、北京高华证券有限责任公司、北京证券有限责任公司、渤海证券股份有限公司、财达证券股份有限公司、财通证券股份有限公司、财信证券股份有限公司、长城国瑞证券有限公司、长城证券股份有限公司、长江证券承销保荐有限公司、长江证券股份有限公司、诚通证券股份有限公司、川财证券有限责任公司、大和证券（中国）有限责任公司、大通证券股份有限公司、大同证券有限责任公司、德邦证券股份有限公司、第一创业证券承销保荐有限责任公司、第一创业证券股份有限公司、东北证券股份有限公司、东方财富证券股份有限公司、东方证券股份有限公司、东莞证券股份有限公司、东海证券股份有限公司、东吴证券股份有限公司、东兴证券股份有限公司、东亚前海证券有限责任公司、法巴证券（中国）有限公司、方正证券承销保荐有限责任公司、方正证券股份有限公司、高盛（中国）证券有限责任公司、光大证券股份有限公司、广发证券股份有限公司、国都证券股份有限公司、国海证券股份有限公司、国金证券股份有限公司、国开证券股份有限公司、国联民生证券承销保荐有限公司、国联民生证券股份有限公司、国融证券股份有限公司、国盛证券股份有限公司、国泰海通证券股份有限公司、国投证券股份有限公司、国新证券股份有限公司、国信证券股份有限公司、国元证券股份有限公司、恒泰长财证券有限责任公司、红塔证券股份有限公司、华安证券股份有限公司、华宝证券股份有限公司、华创证券有限责任公司、华福证券股份有限公司、华金证券股份有限公司、华林证券股份有限公司、华龙证券股份有限公司、华泰联合证券有限责任公司、华泰证券股份有限公司、华西证券股份有限公司、华鑫证券有限责任公司、华兴证券有限公司、华源证券股份有限公司、汇丰前海证券有限责任公司、江海证券有限公司、金融街证券股份有限公司、金通证券有限责任公司、金圆统一证券有限公司、金元证券股份有限公司、开源证券股份有限公司、联储证券股份有限公司、麦高证券有限责任公司、民生证券股份有限公司、摩根大通证券（中国）有限公司、摩根士丹利证券（中国）有限公司、南京证券股份有限公司、平安证券股份有限公司、瑞银证券有限责任公司、山西证券股份有限公司、上海证券有限责任公司、申港证券股份有限公司、申万宏源西部证券有限公司、申万宏源证券承销保荐有限责任公司、申万宏源证券有限公司、世纪证券有限责任公司、首创证券股份有限公司、太平洋证券股份有限公司、天风证券股份有限公司、天府证券有限责任公司、天同证券有限责任公司、万和证券股份有限公司、万联证券股份有限公司、五矿证券有限公司、西部证券股份有限公司、西南证券股份有限公司、湘财证券股份有限公司、信达证券股份有限公司、兴业证券股份有限公司、星展证券（中国）有限公司、野村东方国际证券有限公司、银泰证券有限责任公司、英大证券有限责任公司、甬兴证券有限公司、粤开证券股份有限公司、渣打证券（中国）有限公司、招商证券股份有限公司、浙商证券股份有限公司、中德证券有限责任公司、中国国际金融股份有限公司、中国银河证券股份有限公司、中国证券金融股份有限公司、中国中金财富证券有限公司、中航证券有限公司、中山证券有限责任公司、中泰证券股份有限公司、中天国富证券有限公司、中天证券股份有限公司、中信建投证券股份有限公司、中信证券股份有限公司、中信证券华南股份有限公司、中信证券（山东）有限责任公司、中银国际证券股份有限公司、中邮证券有限责任公司、中原证券股份有限公司。（排名不分先后）</w:t>
      </w:r>
    </w:p>
    <w:p w14:paraId="136FC0D1">
      <w:pPr>
        <w:pStyle w:val="5"/>
        <w:spacing w:before="0" w:beforeAutospacing="0" w:after="0" w:afterAutospacing="0" w:line="360" w:lineRule="auto"/>
        <w:ind w:firstLine="420"/>
        <w:rPr>
          <w:rFonts w:hint="eastAsia"/>
        </w:rPr>
      </w:pPr>
      <w:r>
        <w:rPr>
          <w:rFonts w:hint="eastAsia"/>
        </w:rPr>
        <w:t xml:space="preserve">如果会员单位有所增加或减少，请以交易所的具体规定为准。 </w:t>
      </w:r>
      <w:bookmarkStart w:id="0" w:name="_GoBack"/>
      <w:bookmarkEnd w:id="0"/>
    </w:p>
    <w:p w14:paraId="72296C8A">
      <w:pPr>
        <w:pStyle w:val="2"/>
        <w:rPr>
          <w:rFonts w:ascii="宋体" w:hAnsi="宋体" w:eastAsia="宋体"/>
          <w:sz w:val="24"/>
        </w:rPr>
      </w:pPr>
      <w:r>
        <w:rPr>
          <w:rFonts w:ascii="宋体" w:hAnsi="宋体" w:eastAsia="宋体"/>
          <w:sz w:val="24"/>
        </w:rPr>
        <w:t xml:space="preserve">6、基金份额净值公告/基金收益公告的披露安排 </w:t>
      </w:r>
    </w:p>
    <w:p w14:paraId="4277D6C0">
      <w:pPr>
        <w:pStyle w:val="5"/>
        <w:spacing w:before="0" w:beforeAutospacing="0" w:after="0" w:afterAutospacing="0" w:line="360" w:lineRule="auto"/>
        <w:ind w:firstLine="420"/>
        <w:rPr>
          <w:rFonts w:hint="eastAsia"/>
        </w:rPr>
      </w:pPr>
      <w:r>
        <w:rPr>
          <w:rFonts w:hint="eastAsia"/>
        </w:rPr>
        <w:t xml:space="preserve">《基金合同》生效后，在开始办理基金上市交易前且在基金封闭期内，基金管理人应当至少每周在规定网站披露一次基金份额净值和基金份额累计净值。 </w:t>
      </w:r>
    </w:p>
    <w:p w14:paraId="7F00F6B7">
      <w:pPr>
        <w:pStyle w:val="5"/>
        <w:spacing w:before="0" w:beforeAutospacing="0" w:after="0" w:afterAutospacing="0" w:line="360" w:lineRule="auto"/>
        <w:ind w:firstLine="420"/>
        <w:rPr>
          <w:rFonts w:hint="eastAsia"/>
        </w:rPr>
      </w:pPr>
      <w:r>
        <w:rPr>
          <w:rFonts w:hint="eastAsia"/>
        </w:rPr>
        <w:t xml:space="preserve">基金上市交易后或在开放期内，基金管理人应当在不晚于每个开放日的次日，通过规定网站、基金销售机构网站或者营业网点披露开放日的基金份额净值和基金份额累计净值。 </w:t>
      </w:r>
    </w:p>
    <w:p w14:paraId="5EB2B0AB">
      <w:pPr>
        <w:pStyle w:val="5"/>
        <w:spacing w:before="0" w:beforeAutospacing="0" w:after="0" w:afterAutospacing="0" w:line="360" w:lineRule="auto"/>
        <w:ind w:firstLine="420"/>
        <w:rPr>
          <w:rFonts w:hint="eastAsia"/>
        </w:rPr>
      </w:pPr>
      <w:r>
        <w:rPr>
          <w:rFonts w:hint="eastAsia"/>
        </w:rPr>
        <w:t xml:space="preserve">基金管理人应当在不晚于半年度和年度最后一日的次日，在规定网站披露半年度和年度最后一日的基金份额净值和基金份额累计净值。 </w:t>
      </w:r>
    </w:p>
    <w:p w14:paraId="3130FF59">
      <w:pPr>
        <w:pStyle w:val="2"/>
        <w:rPr>
          <w:rFonts w:ascii="宋体" w:hAnsi="宋体" w:eastAsia="宋体"/>
          <w:sz w:val="24"/>
        </w:rPr>
      </w:pPr>
      <w:r>
        <w:rPr>
          <w:rFonts w:ascii="宋体" w:hAnsi="宋体" w:eastAsia="宋体"/>
          <w:sz w:val="24"/>
        </w:rPr>
        <w:t>7、其他需要提示的事项</w:t>
      </w:r>
    </w:p>
    <w:p w14:paraId="101A9425">
      <w:pPr>
        <w:pStyle w:val="5"/>
        <w:spacing w:before="0" w:beforeAutospacing="0" w:after="0" w:afterAutospacing="0" w:line="360" w:lineRule="auto"/>
        <w:ind w:firstLine="420"/>
      </w:pPr>
      <w:r>
        <w:rPr>
          <w:rFonts w:hint="eastAsia"/>
        </w:rPr>
        <w:t xml:space="preserve">（1）本公告仅对博时科创板三年定期开放混合型证券投资基金本次办理申购、赎回业务等相关事项予以说明。投资者欲了解本基金的详细情况，可于本基金管理人网站或相关销售机构查阅本基金相关法律文件及资料。本公告的解释权归本基金管理人所有。 </w:t>
      </w:r>
    </w:p>
    <w:p w14:paraId="3B5E0304">
      <w:pPr>
        <w:pStyle w:val="5"/>
        <w:spacing w:before="0" w:beforeAutospacing="0" w:after="0" w:afterAutospacing="0" w:line="360" w:lineRule="auto"/>
        <w:ind w:firstLine="420"/>
        <w:rPr>
          <w:rFonts w:hint="eastAsia"/>
        </w:rPr>
      </w:pPr>
      <w:r>
        <w:rPr>
          <w:rFonts w:hint="eastAsia"/>
        </w:rPr>
        <w:t xml:space="preserve">（2）2026年8月10日至2026年8月14日为本基金本次的开放期，即在开放期内接受办理本基金份额的申购、赎回业务，在开放期内，基金管理人可根据基金合同的相关规定调整开放日期，具体请见届时发布的相关公告。开放期最后一个工作日15：00以后暂停接受办理本基金的申购、赎回业务直至下一个开放期。届时将不再另行公告。 </w:t>
      </w:r>
    </w:p>
    <w:p w14:paraId="272A2373">
      <w:pPr>
        <w:pStyle w:val="5"/>
        <w:spacing w:before="0" w:beforeAutospacing="0" w:after="0" w:afterAutospacing="0" w:line="360" w:lineRule="auto"/>
        <w:ind w:firstLine="420"/>
        <w:rPr>
          <w:rFonts w:hint="eastAsia"/>
        </w:rPr>
      </w:pPr>
      <w:r>
        <w:rPr>
          <w:rFonts w:hint="eastAsia"/>
        </w:rPr>
        <w:t xml:space="preserve">（3）风险提示：本基金管理人承诺诚实信用地管理和运用基金财产，但不保证基金一定盈利，也不保证最低收益。基金的过往业绩并不代表其未来表现。投资有风险，敬请投资人认真阅读基金的相关法律文件，并选择适合自身风险承受能力的投资品种进行投资。 </w:t>
      </w:r>
    </w:p>
    <w:p w14:paraId="3D703ED8">
      <w:pPr>
        <w:pStyle w:val="5"/>
        <w:spacing w:before="0" w:beforeAutospacing="0" w:after="0" w:afterAutospacing="0" w:line="360" w:lineRule="auto"/>
        <w:ind w:firstLine="420"/>
        <w:rPr>
          <w:rFonts w:hint="eastAsia"/>
        </w:rPr>
      </w:pPr>
      <w:r>
        <w:rPr>
          <w:rFonts w:hint="eastAsia"/>
        </w:rPr>
        <w:t xml:space="preserve">特此公告。 </w:t>
      </w:r>
    </w:p>
    <w:p w14:paraId="0C03C343">
      <w:pPr>
        <w:pStyle w:val="5"/>
        <w:spacing w:before="0" w:beforeAutospacing="0" w:after="0" w:afterAutospacing="0" w:line="360" w:lineRule="auto"/>
        <w:ind w:firstLine="420"/>
      </w:pPr>
    </w:p>
    <w:p w14:paraId="76E77A6B">
      <w:pPr>
        <w:pStyle w:val="5"/>
        <w:spacing w:before="0" w:beforeAutospacing="0" w:after="0" w:afterAutospacing="0" w:line="360" w:lineRule="auto"/>
        <w:ind w:firstLine="420"/>
      </w:pPr>
    </w:p>
    <w:p w14:paraId="0E5DFB47">
      <w:pPr>
        <w:pStyle w:val="5"/>
        <w:spacing w:before="0" w:beforeAutospacing="0" w:after="0" w:afterAutospacing="0" w:line="360" w:lineRule="auto"/>
        <w:ind w:firstLine="420"/>
      </w:pPr>
    </w:p>
    <w:p w14:paraId="6CB48EA1">
      <w:pPr>
        <w:pStyle w:val="5"/>
        <w:spacing w:before="0" w:beforeAutospacing="0" w:after="0" w:afterAutospacing="0" w:line="360" w:lineRule="auto"/>
        <w:ind w:firstLine="420"/>
        <w:jc w:val="right"/>
        <w:rPr>
          <w:rFonts w:hint="eastAsia"/>
        </w:rPr>
      </w:pPr>
      <w:r>
        <w:rPr>
          <w:rFonts w:hint="eastAsia"/>
        </w:rPr>
        <w:t>博时基金管理有限公司</w:t>
      </w:r>
    </w:p>
    <w:p w14:paraId="2346AE3F">
      <w:pPr>
        <w:pStyle w:val="5"/>
        <w:spacing w:before="0" w:beforeAutospacing="0" w:after="0" w:afterAutospacing="0" w:line="360" w:lineRule="auto"/>
        <w:ind w:firstLine="420"/>
        <w:jc w:val="right"/>
      </w:pPr>
      <w:r>
        <w:t>2026年8月1日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D88"/>
    <w:rsid w:val="00723D88"/>
    <w:rsid w:val="00A10B9B"/>
    <w:rsid w:val="02C804B6"/>
    <w:rsid w:val="2CC43430"/>
    <w:rsid w:val="56AD44C1"/>
    <w:rsid w:val="5E627C0B"/>
    <w:rsid w:val="720576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9"/>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3">
    <w:name w:val="heading 3"/>
    <w:basedOn w:val="1"/>
    <w:next w:val="1"/>
    <w:link w:val="10"/>
    <w:unhideWhenUsed/>
    <w:qFormat/>
    <w:uiPriority w:val="9"/>
    <w:pPr>
      <w:keepNext/>
      <w:keepLines/>
      <w:spacing w:before="260" w:after="260" w:line="416" w:lineRule="auto"/>
      <w:outlineLvl w:val="2"/>
    </w:pPr>
    <w:rPr>
      <w:b/>
      <w:bCs/>
      <w:sz w:val="32"/>
      <w:szCs w:val="32"/>
    </w:rPr>
  </w:style>
  <w:style w:type="paragraph" w:styleId="4">
    <w:name w:val="heading 4"/>
    <w:basedOn w:val="1"/>
    <w:next w:val="1"/>
    <w:link w:val="11"/>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8">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5">
    <w:name w:val="Normal (Web)"/>
    <w:basedOn w:val="1"/>
    <w:unhideWhenUsed/>
    <w:uiPriority w:val="99"/>
    <w:pPr>
      <w:widowControl/>
      <w:spacing w:before="100" w:beforeAutospacing="1" w:after="100" w:afterAutospacing="1"/>
      <w:jc w:val="left"/>
    </w:pPr>
    <w:rPr>
      <w:rFonts w:ascii="宋体" w:hAnsi="宋体" w:eastAsia="宋体" w:cs="宋体"/>
      <w:kern w:val="0"/>
      <w:sz w:val="24"/>
      <w:szCs w:val="24"/>
    </w:rPr>
  </w:style>
  <w:style w:type="table" w:styleId="7">
    <w:name w:val="Table Grid"/>
    <w:basedOn w:val="6"/>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标题 2 Char"/>
    <w:basedOn w:val="8"/>
    <w:link w:val="2"/>
    <w:uiPriority w:val="9"/>
    <w:rPr>
      <w:rFonts w:asciiTheme="majorHAnsi" w:hAnsiTheme="majorHAnsi" w:eastAsiaTheme="majorEastAsia" w:cstheme="majorBidi"/>
      <w:b/>
      <w:bCs/>
      <w:sz w:val="32"/>
      <w:szCs w:val="32"/>
    </w:rPr>
  </w:style>
  <w:style w:type="character" w:customStyle="1" w:styleId="10">
    <w:name w:val="标题 3 Char"/>
    <w:basedOn w:val="8"/>
    <w:link w:val="3"/>
    <w:uiPriority w:val="9"/>
    <w:rPr>
      <w:b/>
      <w:bCs/>
      <w:sz w:val="32"/>
      <w:szCs w:val="32"/>
    </w:rPr>
  </w:style>
  <w:style w:type="character" w:customStyle="1" w:styleId="11">
    <w:name w:val="标题 4 Char"/>
    <w:basedOn w:val="8"/>
    <w:link w:val="4"/>
    <w:uiPriority w:val="9"/>
    <w:rPr>
      <w:rFonts w:asciiTheme="majorHAnsi" w:hAnsiTheme="majorHAnsi" w:eastAsiaTheme="majorEastAsia" w:cstheme="majorBidi"/>
      <w:b/>
      <w:bCs/>
      <w:sz w:val="28"/>
      <w:szCs w:val="2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9</Pages>
  <Words>695</Words>
  <Characters>3968</Characters>
  <Lines>33</Lines>
  <Paragraphs>9</Paragraphs>
  <TotalTime>6</TotalTime>
  <ScaleCrop>false</ScaleCrop>
  <LinksUpToDate>false</LinksUpToDate>
  <CharactersWithSpaces>4654</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2026-07-27T05:20:00Z</dcterms:created>
  <dc:creator>BSKMadminDev</dc:creator>
  <cp:lastModifiedBy>panan</cp:lastModifiedBy>
  <dcterms:modified xsi:type="dcterms:W3CDTF">2026-07-28T01:36:35Z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6C3153F5E1E04C85B9A00294FED00541_13</vt:lpwstr>
  </property>
</Properties>
</file>