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A381E">
      <w:pPr>
        <w:widowControl/>
        <w:jc w:val="left"/>
        <w:rPr>
          <w:rFonts w:ascii="宋体" w:hAnsi="宋体" w:eastAsia="宋体"/>
          <w:sz w:val="30"/>
        </w:rPr>
      </w:pPr>
    </w:p>
    <w:p w14:paraId="1520B2A7">
      <w:pPr>
        <w:widowControl/>
        <w:jc w:val="left"/>
        <w:rPr>
          <w:rFonts w:ascii="宋体" w:hAnsi="宋体" w:eastAsia="宋体"/>
          <w:sz w:val="30"/>
        </w:rPr>
      </w:pPr>
    </w:p>
    <w:p w14:paraId="6FAD3617">
      <w:pPr>
        <w:widowControl/>
        <w:jc w:val="left"/>
        <w:rPr>
          <w:rFonts w:ascii="宋体" w:hAnsi="宋体" w:eastAsia="宋体"/>
          <w:sz w:val="30"/>
        </w:rPr>
      </w:pPr>
      <w:bookmarkStart w:id="235" w:name="_GoBack"/>
      <w:bookmarkEnd w:id="235"/>
    </w:p>
    <w:p w14:paraId="0DD24334">
      <w:pPr>
        <w:widowControl/>
        <w:jc w:val="left"/>
        <w:rPr>
          <w:rFonts w:ascii="宋体" w:hAnsi="宋体" w:eastAsia="宋体"/>
          <w:sz w:val="30"/>
        </w:rPr>
      </w:pPr>
    </w:p>
    <w:p w14:paraId="4B259CCF">
      <w:pPr>
        <w:widowControl/>
        <w:spacing w:line="800" w:lineRule="exact"/>
        <w:jc w:val="center"/>
        <w:rPr>
          <w:rFonts w:ascii="宋体" w:hAnsi="宋体" w:eastAsia="宋体"/>
          <w:b/>
          <w:sz w:val="52"/>
        </w:rPr>
      </w:pPr>
      <w:r>
        <w:rPr>
          <w:rFonts w:hint="eastAsia" w:ascii="宋体" w:hAnsi="宋体" w:eastAsia="宋体"/>
          <w:b/>
          <w:sz w:val="52"/>
        </w:rPr>
        <w:t>博时裕泰纯债债券型证券投资基金</w:t>
      </w:r>
    </w:p>
    <w:p w14:paraId="33465287">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1FB949C9">
      <w:pPr>
        <w:widowControl/>
        <w:spacing w:line="800" w:lineRule="exact"/>
        <w:jc w:val="center"/>
        <w:rPr>
          <w:rFonts w:ascii="宋体" w:hAnsi="宋体" w:eastAsia="宋体"/>
          <w:b/>
          <w:sz w:val="52"/>
        </w:rPr>
      </w:pPr>
    </w:p>
    <w:p w14:paraId="01706E22">
      <w:pPr>
        <w:widowControl/>
        <w:spacing w:line="800" w:lineRule="exact"/>
        <w:jc w:val="center"/>
        <w:rPr>
          <w:rFonts w:ascii="宋体" w:hAnsi="宋体" w:eastAsia="宋体"/>
          <w:b/>
          <w:sz w:val="52"/>
        </w:rPr>
      </w:pPr>
    </w:p>
    <w:p w14:paraId="61573DC8">
      <w:pPr>
        <w:widowControl/>
        <w:spacing w:line="800" w:lineRule="exact"/>
        <w:jc w:val="center"/>
        <w:rPr>
          <w:rFonts w:ascii="宋体" w:hAnsi="宋体" w:eastAsia="宋体"/>
          <w:b/>
          <w:sz w:val="52"/>
        </w:rPr>
      </w:pPr>
    </w:p>
    <w:p w14:paraId="67CD1388">
      <w:pPr>
        <w:widowControl/>
        <w:spacing w:line="800" w:lineRule="exact"/>
        <w:jc w:val="center"/>
        <w:rPr>
          <w:rFonts w:ascii="宋体" w:hAnsi="宋体" w:eastAsia="宋体"/>
          <w:b/>
          <w:sz w:val="52"/>
        </w:rPr>
      </w:pPr>
    </w:p>
    <w:p w14:paraId="27174A79">
      <w:pPr>
        <w:widowControl/>
        <w:spacing w:line="800" w:lineRule="exact"/>
        <w:jc w:val="center"/>
        <w:rPr>
          <w:rFonts w:ascii="宋体" w:hAnsi="宋体" w:eastAsia="宋体"/>
          <w:b/>
          <w:sz w:val="52"/>
        </w:rPr>
      </w:pPr>
    </w:p>
    <w:p w14:paraId="60A0C9A2">
      <w:pPr>
        <w:widowControl/>
        <w:spacing w:line="800" w:lineRule="exact"/>
        <w:jc w:val="center"/>
        <w:rPr>
          <w:rFonts w:ascii="宋体" w:hAnsi="宋体" w:eastAsia="宋体"/>
          <w:b/>
          <w:sz w:val="52"/>
        </w:rPr>
      </w:pPr>
    </w:p>
    <w:p w14:paraId="3AD4663C">
      <w:pPr>
        <w:widowControl/>
        <w:spacing w:line="800" w:lineRule="exact"/>
        <w:jc w:val="center"/>
        <w:rPr>
          <w:rFonts w:ascii="宋体" w:hAnsi="宋体" w:eastAsia="宋体"/>
          <w:b/>
          <w:sz w:val="52"/>
        </w:rPr>
      </w:pPr>
    </w:p>
    <w:p w14:paraId="259C2B24">
      <w:pPr>
        <w:widowControl/>
        <w:spacing w:line="800" w:lineRule="exact"/>
        <w:jc w:val="center"/>
        <w:rPr>
          <w:rFonts w:ascii="宋体" w:hAnsi="宋体" w:eastAsia="宋体"/>
          <w:b/>
          <w:sz w:val="52"/>
        </w:rPr>
      </w:pPr>
    </w:p>
    <w:p w14:paraId="3D8527F2">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3D39B20">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平安银行股份有限公司</w:t>
      </w:r>
      <w:r>
        <w:rPr>
          <w:rFonts w:ascii="宋体" w:hAnsi="宋体" w:eastAsia="宋体"/>
          <w:b/>
          <w:sz w:val="30"/>
        </w:rPr>
        <w:br w:type="page"/>
      </w:r>
    </w:p>
    <w:p w14:paraId="147B279C">
      <w:pPr>
        <w:pStyle w:val="2"/>
        <w:jc w:val="center"/>
        <w:rPr>
          <w:rFonts w:ascii="宋体" w:hAnsi="宋体" w:eastAsia="宋体"/>
          <w:sz w:val="30"/>
        </w:rPr>
      </w:pPr>
      <w:bookmarkStart w:id="0" w:name="_Toc207943810"/>
      <w:r>
        <w:rPr>
          <w:rFonts w:hint="eastAsia" w:ascii="宋体" w:hAnsi="宋体" w:eastAsia="宋体"/>
          <w:sz w:val="30"/>
        </w:rPr>
        <w:t>【重要提示】</w:t>
      </w:r>
      <w:bookmarkEnd w:id="0"/>
    </w:p>
    <w:p w14:paraId="61A62D9F">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2015年11月2日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博时裕泰纯债债券型证券投资基金</w:t>
      </w:r>
      <w:bookmarkEnd w:id="2"/>
      <w:r>
        <w:rPr>
          <w:rFonts w:hint="eastAsia"/>
          <w:sz w:val="21"/>
          <w:szCs w:val="21"/>
        </w:rPr>
        <w:t>注册的批复》（证监许可</w:t>
      </w:r>
      <w:bookmarkStart w:id="3" w:name="field_2343_lotnumber_1"/>
      <w:r>
        <w:rPr>
          <w:sz w:val="21"/>
          <w:szCs w:val="21"/>
        </w:rPr>
        <w:t>[2015]2442</w:t>
      </w:r>
      <w:bookmarkEnd w:id="3"/>
      <w:r>
        <w:rPr>
          <w:rFonts w:hint="eastAsia"/>
          <w:sz w:val="21"/>
          <w:szCs w:val="21"/>
        </w:rPr>
        <w:t xml:space="preserve">号）进行募集。 </w:t>
      </w:r>
    </w:p>
    <w:p w14:paraId="428A2653">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753BC624">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2231D2C5">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0BFC0ED7">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063829CE">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1A82098A">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5、本基金为债券型基金，预期收益和预期风险高于货币市场基金，但低于混合型基金、股票型基金，属于较低预期风险/收益的产品。 </w:t>
      </w:r>
    </w:p>
    <w:p w14:paraId="52A17C8B">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5A40DA89">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6DA29EFB">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55095D3D">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2B11A9B1">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780D4C9A">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元。在市场波动因素影响下，本基金净值可能低于初始面值，本基金投资者有可能出现亏损。 </w:t>
      </w:r>
    </w:p>
    <w:p w14:paraId="327E8578">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76C7893A">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1BD094CF">
      <w:pPr>
        <w:pStyle w:val="7"/>
        <w:spacing w:before="0" w:beforeAutospacing="0" w:after="0" w:afterAutospacing="0" w:line="360" w:lineRule="auto"/>
        <w:ind w:firstLine="420"/>
        <w:rPr>
          <w:sz w:val="21"/>
          <w:szCs w:val="21"/>
        </w:rPr>
      </w:pPr>
      <w:r>
        <w:rPr>
          <w:rFonts w:hint="eastAsia"/>
          <w:sz w:val="21"/>
          <w:szCs w:val="21"/>
        </w:rPr>
        <w:t xml:space="preserve">12、基金管理人提醒投资人基金投资的“买者自负”原则，在投资人作出投资决策后，基金运营状况与基金净值变化引致的投资风险，由投资人自行负责。 </w:t>
      </w:r>
    </w:p>
    <w:p w14:paraId="39BBAE8C">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5" w:name="field_2343_infoendday_1"/>
      <w:r>
        <w:rPr>
          <w:sz w:val="21"/>
          <w:szCs w:val="21"/>
        </w:rPr>
        <w:t>202</w:t>
      </w:r>
      <w:r>
        <w:rPr>
          <w:rFonts w:hint="eastAsia"/>
          <w:sz w:val="21"/>
          <w:szCs w:val="21"/>
          <w:lang w:val="en-US" w:eastAsia="zh-CN"/>
        </w:rPr>
        <w:t>6</w:t>
      </w:r>
      <w:r>
        <w:rPr>
          <w:sz w:val="21"/>
          <w:szCs w:val="21"/>
        </w:rPr>
        <w:t>年8月</w:t>
      </w:r>
      <w:r>
        <w:rPr>
          <w:rFonts w:hint="eastAsia"/>
          <w:sz w:val="21"/>
          <w:szCs w:val="21"/>
          <w:lang w:val="en-US" w:eastAsia="zh-CN"/>
        </w:rPr>
        <w:t>10</w:t>
      </w:r>
      <w:r>
        <w:rPr>
          <w:sz w:val="21"/>
          <w:szCs w:val="21"/>
        </w:rPr>
        <w:t>日</w:t>
      </w:r>
      <w:bookmarkEnd w:id="5"/>
      <w:r>
        <w:rPr>
          <w:rFonts w:hint="eastAsia"/>
          <w:sz w:val="21"/>
          <w:szCs w:val="21"/>
        </w:rPr>
        <w:t>，有关财务数据和净值表现截止日为</w:t>
      </w:r>
      <w:bookmarkStart w:id="6" w:name="field_2343_financeendday_1"/>
      <w:r>
        <w:rPr>
          <w:sz w:val="21"/>
          <w:szCs w:val="21"/>
        </w:rPr>
        <w:t>2025年6月30日</w:t>
      </w:r>
      <w:bookmarkEnd w:id="6"/>
      <w:r>
        <w:rPr>
          <w:rFonts w:hint="eastAsia"/>
          <w:sz w:val="21"/>
          <w:szCs w:val="21"/>
        </w:rPr>
        <w:t xml:space="preserve">。（财务数据未经审计）  </w:t>
      </w:r>
      <w:r>
        <w:rPr>
          <w:sz w:val="30"/>
        </w:rPr>
        <w:br w:type="page"/>
      </w:r>
    </w:p>
    <w:p w14:paraId="53B76E48">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32182D1">
      <w:pPr>
        <w:pStyle w:val="6"/>
        <w:tabs>
          <w:tab w:val="right" w:leader="dot" w:pos="8290"/>
        </w:tabs>
        <w:spacing w:line="360" w:lineRule="auto"/>
        <w:rPr>
          <w:rFonts w:ascii="宋体" w:hAnsi="宋体" w:eastAsia="宋体"/>
        </w:rPr>
      </w:pPr>
      <w:r>
        <w:fldChar w:fldCharType="begin"/>
      </w:r>
      <w:r>
        <w:instrText xml:space="preserve"> HYPERLINK \l "_Toc207943810"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_Toc207943810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5B3CF0BE">
      <w:pPr>
        <w:pStyle w:val="6"/>
        <w:tabs>
          <w:tab w:val="right" w:leader="dot" w:pos="8290"/>
        </w:tabs>
        <w:spacing w:line="360" w:lineRule="auto"/>
        <w:rPr>
          <w:rFonts w:ascii="宋体" w:hAnsi="宋体" w:eastAsia="宋体"/>
        </w:rPr>
      </w:pPr>
      <w:r>
        <w:fldChar w:fldCharType="begin"/>
      </w:r>
      <w:r>
        <w:instrText xml:space="preserve"> HYPERLINK \l "_Toc207943811"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_Toc207943811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30A52BA1">
      <w:pPr>
        <w:pStyle w:val="6"/>
        <w:tabs>
          <w:tab w:val="right" w:leader="dot" w:pos="8290"/>
        </w:tabs>
        <w:spacing w:line="360" w:lineRule="auto"/>
        <w:rPr>
          <w:rFonts w:ascii="宋体" w:hAnsi="宋体" w:eastAsia="宋体"/>
        </w:rPr>
      </w:pPr>
      <w:r>
        <w:fldChar w:fldCharType="begin"/>
      </w:r>
      <w:r>
        <w:instrText xml:space="preserve"> HYPERLINK \l "_Toc207943812"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_Toc207943812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1C1CF43">
      <w:pPr>
        <w:pStyle w:val="6"/>
        <w:tabs>
          <w:tab w:val="right" w:leader="dot" w:pos="8290"/>
        </w:tabs>
        <w:spacing w:line="360" w:lineRule="auto"/>
        <w:rPr>
          <w:rFonts w:ascii="宋体" w:hAnsi="宋体" w:eastAsia="宋体"/>
        </w:rPr>
      </w:pPr>
      <w:r>
        <w:fldChar w:fldCharType="begin"/>
      </w:r>
      <w:r>
        <w:instrText xml:space="preserve"> HYPERLINK \l "_Toc207943813"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_Toc207943813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54242BFF">
      <w:pPr>
        <w:pStyle w:val="6"/>
        <w:tabs>
          <w:tab w:val="right" w:leader="dot" w:pos="8290"/>
        </w:tabs>
        <w:spacing w:line="360" w:lineRule="auto"/>
        <w:rPr>
          <w:rFonts w:ascii="宋体" w:hAnsi="宋体" w:eastAsia="宋体"/>
        </w:rPr>
      </w:pPr>
      <w:r>
        <w:fldChar w:fldCharType="begin"/>
      </w:r>
      <w:r>
        <w:instrText xml:space="preserve"> HYPERLINK \l "_Toc207943814"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_Toc207943814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0B12321F">
      <w:pPr>
        <w:pStyle w:val="6"/>
        <w:tabs>
          <w:tab w:val="right" w:leader="dot" w:pos="8290"/>
        </w:tabs>
        <w:spacing w:line="360" w:lineRule="auto"/>
        <w:rPr>
          <w:rFonts w:ascii="宋体" w:hAnsi="宋体" w:eastAsia="宋体"/>
        </w:rPr>
      </w:pPr>
      <w:r>
        <w:fldChar w:fldCharType="begin"/>
      </w:r>
      <w:r>
        <w:instrText xml:space="preserve"> HYPERLINK \l "_Toc207943815"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_Toc207943815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1FC3A63B">
      <w:pPr>
        <w:pStyle w:val="6"/>
        <w:tabs>
          <w:tab w:val="right" w:leader="dot" w:pos="8290"/>
        </w:tabs>
        <w:spacing w:line="360" w:lineRule="auto"/>
        <w:rPr>
          <w:rFonts w:ascii="宋体" w:hAnsi="宋体" w:eastAsia="宋体"/>
        </w:rPr>
      </w:pPr>
      <w:r>
        <w:fldChar w:fldCharType="begin"/>
      </w:r>
      <w:r>
        <w:instrText xml:space="preserve"> HYPERLINK \l "_Toc207943816"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_Toc207943816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52F9961D">
      <w:pPr>
        <w:pStyle w:val="6"/>
        <w:tabs>
          <w:tab w:val="right" w:leader="dot" w:pos="8290"/>
        </w:tabs>
        <w:spacing w:line="360" w:lineRule="auto"/>
        <w:rPr>
          <w:rFonts w:ascii="宋体" w:hAnsi="宋体" w:eastAsia="宋体"/>
        </w:rPr>
      </w:pPr>
      <w:r>
        <w:fldChar w:fldCharType="begin"/>
      </w:r>
      <w:r>
        <w:instrText xml:space="preserve"> HYPERLINK \l "_Toc207943817"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_Toc207943817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736660FC">
      <w:pPr>
        <w:pStyle w:val="6"/>
        <w:tabs>
          <w:tab w:val="right" w:leader="dot" w:pos="8290"/>
        </w:tabs>
        <w:spacing w:line="360" w:lineRule="auto"/>
        <w:rPr>
          <w:rFonts w:ascii="宋体" w:hAnsi="宋体" w:eastAsia="宋体"/>
        </w:rPr>
      </w:pPr>
      <w:r>
        <w:fldChar w:fldCharType="begin"/>
      </w:r>
      <w:r>
        <w:instrText xml:space="preserve"> HYPERLINK \l "_Toc207943818"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_Toc207943818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14:paraId="2D797FD8">
      <w:pPr>
        <w:pStyle w:val="6"/>
        <w:tabs>
          <w:tab w:val="right" w:leader="dot" w:pos="8290"/>
        </w:tabs>
        <w:spacing w:line="360" w:lineRule="auto"/>
        <w:rPr>
          <w:rFonts w:ascii="宋体" w:hAnsi="宋体" w:eastAsia="宋体"/>
        </w:rPr>
      </w:pPr>
      <w:r>
        <w:fldChar w:fldCharType="begin"/>
      </w:r>
      <w:r>
        <w:instrText xml:space="preserve"> HYPERLINK \l "_Toc207943819"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_Toc207943819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14:paraId="096CC0C2">
      <w:pPr>
        <w:pStyle w:val="6"/>
        <w:tabs>
          <w:tab w:val="right" w:leader="dot" w:pos="8290"/>
        </w:tabs>
        <w:spacing w:line="360" w:lineRule="auto"/>
        <w:rPr>
          <w:rFonts w:ascii="宋体" w:hAnsi="宋体" w:eastAsia="宋体"/>
        </w:rPr>
      </w:pPr>
      <w:r>
        <w:fldChar w:fldCharType="begin"/>
      </w:r>
      <w:r>
        <w:instrText xml:space="preserve"> HYPERLINK \l "_Toc207943820"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_Toc207943820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35B9B97B">
      <w:pPr>
        <w:pStyle w:val="6"/>
        <w:tabs>
          <w:tab w:val="right" w:leader="dot" w:pos="8290"/>
        </w:tabs>
        <w:spacing w:line="360" w:lineRule="auto"/>
        <w:rPr>
          <w:rFonts w:ascii="宋体" w:hAnsi="宋体" w:eastAsia="宋体"/>
        </w:rPr>
      </w:pPr>
      <w:r>
        <w:fldChar w:fldCharType="begin"/>
      </w:r>
      <w:r>
        <w:instrText xml:space="preserve"> HYPERLINK \l "_Toc207943821"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_Toc207943821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378EC3CB">
      <w:pPr>
        <w:pStyle w:val="6"/>
        <w:tabs>
          <w:tab w:val="right" w:leader="dot" w:pos="8290"/>
        </w:tabs>
        <w:spacing w:line="360" w:lineRule="auto"/>
        <w:rPr>
          <w:rFonts w:ascii="宋体" w:hAnsi="宋体" w:eastAsia="宋体"/>
        </w:rPr>
      </w:pPr>
      <w:r>
        <w:fldChar w:fldCharType="begin"/>
      </w:r>
      <w:r>
        <w:instrText xml:space="preserve"> HYPERLINK \l "_Toc207943822"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_Toc207943822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2BAD1833">
      <w:pPr>
        <w:pStyle w:val="6"/>
        <w:tabs>
          <w:tab w:val="right" w:leader="dot" w:pos="8290"/>
        </w:tabs>
        <w:spacing w:line="360" w:lineRule="auto"/>
        <w:rPr>
          <w:rFonts w:ascii="宋体" w:hAnsi="宋体" w:eastAsia="宋体"/>
        </w:rPr>
      </w:pPr>
      <w:r>
        <w:fldChar w:fldCharType="begin"/>
      </w:r>
      <w:r>
        <w:instrText xml:space="preserve"> HYPERLINK \l "_Toc207943823"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_Toc207943823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3D75B471">
      <w:pPr>
        <w:pStyle w:val="6"/>
        <w:tabs>
          <w:tab w:val="right" w:leader="dot" w:pos="8290"/>
        </w:tabs>
        <w:spacing w:line="360" w:lineRule="auto"/>
        <w:rPr>
          <w:rFonts w:ascii="宋体" w:hAnsi="宋体" w:eastAsia="宋体"/>
        </w:rPr>
      </w:pPr>
      <w:r>
        <w:fldChar w:fldCharType="begin"/>
      </w:r>
      <w:r>
        <w:instrText xml:space="preserve"> HYPERLINK \l "_Toc207943824"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_Toc207943824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172D7FAF">
      <w:pPr>
        <w:pStyle w:val="6"/>
        <w:tabs>
          <w:tab w:val="right" w:leader="dot" w:pos="8290"/>
        </w:tabs>
        <w:spacing w:line="360" w:lineRule="auto"/>
        <w:rPr>
          <w:rFonts w:ascii="宋体" w:hAnsi="宋体" w:eastAsia="宋体"/>
        </w:rPr>
      </w:pPr>
      <w:r>
        <w:fldChar w:fldCharType="begin"/>
      </w:r>
      <w:r>
        <w:instrText xml:space="preserve"> HYPERLINK \l "_Toc207943825"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_Toc207943825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617E08E8">
      <w:pPr>
        <w:pStyle w:val="6"/>
        <w:tabs>
          <w:tab w:val="right" w:leader="dot" w:pos="8290"/>
        </w:tabs>
        <w:spacing w:line="360" w:lineRule="auto"/>
        <w:rPr>
          <w:rFonts w:ascii="宋体" w:hAnsi="宋体" w:eastAsia="宋体"/>
        </w:rPr>
      </w:pPr>
      <w:r>
        <w:fldChar w:fldCharType="begin"/>
      </w:r>
      <w:r>
        <w:instrText xml:space="preserve"> HYPERLINK \l "_Toc207943826"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_Toc207943826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46BE12C5">
      <w:pPr>
        <w:pStyle w:val="6"/>
        <w:tabs>
          <w:tab w:val="right" w:leader="dot" w:pos="8290"/>
        </w:tabs>
        <w:spacing w:line="360" w:lineRule="auto"/>
        <w:rPr>
          <w:rFonts w:ascii="宋体" w:hAnsi="宋体" w:eastAsia="宋体"/>
        </w:rPr>
      </w:pPr>
      <w:r>
        <w:fldChar w:fldCharType="begin"/>
      </w:r>
      <w:r>
        <w:instrText xml:space="preserve"> HYPERLINK \l "_Toc207943827"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_Toc207943827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760A62D5">
      <w:pPr>
        <w:pStyle w:val="6"/>
        <w:tabs>
          <w:tab w:val="right" w:leader="dot" w:pos="8290"/>
        </w:tabs>
        <w:spacing w:line="360" w:lineRule="auto"/>
        <w:rPr>
          <w:rFonts w:ascii="宋体" w:hAnsi="宋体" w:eastAsia="宋体"/>
        </w:rPr>
      </w:pPr>
      <w:r>
        <w:fldChar w:fldCharType="begin"/>
      </w:r>
      <w:r>
        <w:instrText xml:space="preserve"> HYPERLINK \l "_Toc207943828"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_Toc207943828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6C9E673C">
      <w:pPr>
        <w:pStyle w:val="6"/>
        <w:tabs>
          <w:tab w:val="right" w:leader="dot" w:pos="8290"/>
        </w:tabs>
        <w:spacing w:line="360" w:lineRule="auto"/>
        <w:rPr>
          <w:rFonts w:ascii="宋体" w:hAnsi="宋体" w:eastAsia="宋体"/>
        </w:rPr>
      </w:pPr>
      <w:r>
        <w:fldChar w:fldCharType="begin"/>
      </w:r>
      <w:r>
        <w:instrText xml:space="preserve"> HYPERLINK \l "_Toc207943829"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_Toc207943829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6307CA9F">
      <w:pPr>
        <w:pStyle w:val="6"/>
        <w:tabs>
          <w:tab w:val="right" w:leader="dot" w:pos="8290"/>
        </w:tabs>
        <w:spacing w:line="360" w:lineRule="auto"/>
        <w:rPr>
          <w:rFonts w:ascii="宋体" w:hAnsi="宋体" w:eastAsia="宋体"/>
        </w:rPr>
      </w:pPr>
      <w:r>
        <w:fldChar w:fldCharType="begin"/>
      </w:r>
      <w:r>
        <w:instrText xml:space="preserve"> HYPERLINK \l "_Toc207943830"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_Toc207943830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23241A1E">
      <w:pPr>
        <w:pStyle w:val="6"/>
        <w:tabs>
          <w:tab w:val="right" w:leader="dot" w:pos="8290"/>
        </w:tabs>
        <w:spacing w:line="360" w:lineRule="auto"/>
        <w:rPr>
          <w:rFonts w:ascii="宋体" w:hAnsi="宋体" w:eastAsia="宋体"/>
        </w:rPr>
      </w:pPr>
      <w:r>
        <w:fldChar w:fldCharType="begin"/>
      </w:r>
      <w:r>
        <w:instrText xml:space="preserve"> HYPERLINK \l "_Toc207943831"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_Toc207943831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5043BA98">
      <w:pPr>
        <w:pStyle w:val="6"/>
        <w:tabs>
          <w:tab w:val="right" w:leader="dot" w:pos="8290"/>
        </w:tabs>
        <w:spacing w:line="360" w:lineRule="auto"/>
        <w:rPr>
          <w:rFonts w:ascii="宋体" w:hAnsi="宋体" w:eastAsia="宋体"/>
        </w:rPr>
      </w:pPr>
      <w:r>
        <w:fldChar w:fldCharType="begin"/>
      </w:r>
      <w:r>
        <w:instrText xml:space="preserve"> HYPERLINK \l "_Toc207943832"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_Toc207943832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14:paraId="3DE0A489">
      <w:pPr>
        <w:pStyle w:val="6"/>
        <w:tabs>
          <w:tab w:val="right" w:leader="dot" w:pos="8290"/>
        </w:tabs>
        <w:spacing w:line="360" w:lineRule="auto"/>
        <w:rPr>
          <w:rFonts w:ascii="宋体" w:hAnsi="宋体" w:eastAsia="宋体"/>
        </w:rPr>
      </w:pPr>
      <w:r>
        <w:fldChar w:fldCharType="begin"/>
      </w:r>
      <w:r>
        <w:instrText xml:space="preserve"> HYPERLINK \l "_Toc207943833"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_Toc207943833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1D51A753">
      <w:pPr>
        <w:pStyle w:val="6"/>
        <w:tabs>
          <w:tab w:val="right" w:leader="dot" w:pos="8290"/>
        </w:tabs>
        <w:spacing w:line="360" w:lineRule="auto"/>
        <w:rPr>
          <w:rFonts w:ascii="宋体" w:hAnsi="宋体" w:eastAsia="宋体"/>
        </w:rPr>
      </w:pPr>
      <w:r>
        <w:fldChar w:fldCharType="begin"/>
      </w:r>
      <w:r>
        <w:instrText xml:space="preserve"> HYPERLINK \l "_Toc207943834"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_Toc207943834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450F4C02">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357F8C8F">
      <w:pPr>
        <w:pStyle w:val="2"/>
        <w:jc w:val="center"/>
        <w:rPr>
          <w:rFonts w:ascii="宋体" w:hAnsi="宋体" w:eastAsia="宋体"/>
          <w:sz w:val="30"/>
        </w:rPr>
      </w:pPr>
      <w:bookmarkStart w:id="7" w:name="_Toc207943811"/>
      <w:bookmarkStart w:id="8" w:name="chapter_level1_3_2344"/>
      <w:r>
        <w:rPr>
          <w:rFonts w:hint="eastAsia" w:ascii="宋体" w:hAnsi="宋体" w:eastAsia="宋体"/>
          <w:sz w:val="30"/>
        </w:rPr>
        <w:t>第一部分  绪言</w:t>
      </w:r>
      <w:bookmarkEnd w:id="7"/>
      <w:bookmarkEnd w:id="8"/>
    </w:p>
    <w:p w14:paraId="6F45C09F">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博时裕泰纯债债券型证券投资基金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博时裕泰纯债债券型证券投资基金</w:t>
      </w:r>
      <w:bookmarkEnd w:id="11"/>
      <w:r>
        <w:rPr>
          <w:rFonts w:hint="eastAsia"/>
          <w:sz w:val="21"/>
          <w:szCs w:val="21"/>
        </w:rPr>
        <w:t xml:space="preserve">基金合同》（以下简称“基金合同”）编写。  </w:t>
      </w:r>
    </w:p>
    <w:p w14:paraId="73076BB9">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博时裕泰纯债债券型证券投资基金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14:paraId="2961943B">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7CC7EF5">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博时裕泰纯债债券型证券投资基金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28B54F44">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14:paraId="36CEE3C9">
      <w:pPr>
        <w:widowControl/>
        <w:jc w:val="left"/>
        <w:rPr>
          <w:rFonts w:ascii="宋体" w:hAnsi="宋体" w:eastAsia="宋体"/>
        </w:rPr>
      </w:pPr>
      <w:r>
        <w:rPr>
          <w:rFonts w:ascii="宋体" w:hAnsi="宋体" w:eastAsia="宋体"/>
        </w:rPr>
        <w:br w:type="page"/>
      </w:r>
    </w:p>
    <w:p w14:paraId="472831A7">
      <w:pPr>
        <w:pStyle w:val="2"/>
        <w:jc w:val="center"/>
        <w:rPr>
          <w:rFonts w:ascii="宋体" w:hAnsi="宋体" w:eastAsia="宋体"/>
          <w:sz w:val="30"/>
        </w:rPr>
      </w:pPr>
      <w:bookmarkStart w:id="15" w:name="_Toc207943812"/>
      <w:bookmarkStart w:id="16" w:name="chapter_level1_4_49"/>
      <w:r>
        <w:rPr>
          <w:rFonts w:hint="eastAsia" w:ascii="宋体" w:hAnsi="宋体" w:eastAsia="宋体"/>
          <w:sz w:val="30"/>
        </w:rPr>
        <w:t>第二部分  释义</w:t>
      </w:r>
      <w:bookmarkEnd w:id="15"/>
      <w:bookmarkEnd w:id="16"/>
    </w:p>
    <w:p w14:paraId="67B39FA8">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14:paraId="5279FD27">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博时裕泰纯债债券型证券投资基金</w:t>
      </w:r>
      <w:bookmarkEnd w:id="18"/>
      <w:r>
        <w:rPr>
          <w:rFonts w:hint="eastAsia"/>
          <w:sz w:val="21"/>
          <w:szCs w:val="21"/>
        </w:rPr>
        <w:t xml:space="preserve">  </w:t>
      </w:r>
    </w:p>
    <w:p w14:paraId="0DDD357A">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14:paraId="7276A47C">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平安银行股份有限公司</w:t>
      </w:r>
      <w:bookmarkEnd w:id="20"/>
      <w:r>
        <w:rPr>
          <w:rFonts w:hint="eastAsia"/>
          <w:sz w:val="21"/>
          <w:szCs w:val="21"/>
        </w:rPr>
        <w:t xml:space="preserve">    </w:t>
      </w:r>
    </w:p>
    <w:p w14:paraId="457525BA">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博时裕泰纯债债券型证券投资基金</w:t>
      </w:r>
      <w:bookmarkEnd w:id="21"/>
      <w:r>
        <w:rPr>
          <w:rFonts w:hint="eastAsia"/>
          <w:sz w:val="21"/>
          <w:szCs w:val="21"/>
        </w:rPr>
        <w:t xml:space="preserve">基金合同》及对基金合同的任何有效修订和补充 </w:t>
      </w:r>
    </w:p>
    <w:p w14:paraId="104D931E">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博时裕泰纯债债券型证券投资基金</w:t>
      </w:r>
      <w:bookmarkEnd w:id="22"/>
      <w:r>
        <w:rPr>
          <w:rFonts w:hint="eastAsia"/>
          <w:sz w:val="21"/>
          <w:szCs w:val="21"/>
        </w:rPr>
        <w:t xml:space="preserve">托管协议》及对该托管协议的任何有效修订和补充 </w:t>
      </w:r>
    </w:p>
    <w:p w14:paraId="3EA6A92D">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博时裕泰纯债债券型证券投资基金</w:t>
      </w:r>
      <w:bookmarkEnd w:id="23"/>
      <w:r>
        <w:rPr>
          <w:rFonts w:hint="eastAsia"/>
          <w:sz w:val="21"/>
          <w:szCs w:val="21"/>
        </w:rPr>
        <w:t xml:space="preserve">招募说明书》及其更新 </w:t>
      </w:r>
    </w:p>
    <w:p w14:paraId="5A0BBF05">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博时裕泰纯债债券型证券投资基金</w:t>
      </w:r>
      <w:bookmarkEnd w:id="24"/>
      <w:r>
        <w:rPr>
          <w:rFonts w:hint="eastAsia"/>
          <w:sz w:val="21"/>
          <w:szCs w:val="21"/>
        </w:rPr>
        <w:t xml:space="preserve">基金份额发售公告》 </w:t>
      </w:r>
    </w:p>
    <w:p w14:paraId="452606A8">
      <w:pPr>
        <w:pStyle w:val="7"/>
        <w:spacing w:before="0" w:beforeAutospacing="0" w:after="0" w:afterAutospacing="0" w:line="360" w:lineRule="auto"/>
        <w:ind w:firstLine="420"/>
        <w:rPr>
          <w:sz w:val="21"/>
          <w:szCs w:val="21"/>
        </w:rPr>
      </w:pPr>
      <w:r>
        <w:rPr>
          <w:rFonts w:hint="eastAsia"/>
          <w:sz w:val="21"/>
          <w:szCs w:val="21"/>
        </w:rPr>
        <w:t xml:space="preserve">8、法律法规：指中国现行有效并公布实施的法律、行政法规、规范性文件、司法解释、行政规章以及其他对基金合同当事人有约束力的决定、决议、通知等 </w:t>
      </w:r>
    </w:p>
    <w:p w14:paraId="21F54051">
      <w:pPr>
        <w:pStyle w:val="7"/>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265448D0">
      <w:pPr>
        <w:pStyle w:val="7"/>
        <w:spacing w:before="0" w:beforeAutospacing="0" w:after="0" w:afterAutospacing="0" w:line="360" w:lineRule="auto"/>
        <w:ind w:firstLine="420"/>
        <w:rPr>
          <w:sz w:val="21"/>
          <w:szCs w:val="21"/>
        </w:rPr>
      </w:pPr>
      <w:r>
        <w:rPr>
          <w:rFonts w:hint="eastAsia"/>
          <w:sz w:val="21"/>
          <w:szCs w:val="21"/>
        </w:rPr>
        <w:t xml:space="preserve">10、《销售办法》：指中国证监会2013年3月15日颁布、同年6月1日实施的《证券投资基金销售管理办法》及颁布机关对其不时做出的修订 </w:t>
      </w:r>
    </w:p>
    <w:p w14:paraId="523A62F0">
      <w:pPr>
        <w:pStyle w:val="7"/>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11、《信息披露办法》：指中国证监会2019年7月26日颁布、同年9月1日实施的《公开募集证券投资基金信息披露管理办法》及颁布机关对其不时做出的修订 </w:t>
      </w:r>
    </w:p>
    <w:p w14:paraId="1F3E85FA">
      <w:pPr>
        <w:pStyle w:val="7"/>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14:paraId="402464B2">
      <w:pPr>
        <w:pStyle w:val="7"/>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14:paraId="3AAE5E01">
      <w:pPr>
        <w:pStyle w:val="7"/>
        <w:spacing w:before="0" w:beforeAutospacing="0" w:after="0" w:afterAutospacing="0" w:line="360" w:lineRule="auto"/>
        <w:ind w:firstLine="420"/>
        <w:rPr>
          <w:sz w:val="21"/>
          <w:szCs w:val="21"/>
        </w:rPr>
      </w:pPr>
      <w:r>
        <w:rPr>
          <w:rFonts w:hint="eastAsia"/>
          <w:sz w:val="21"/>
          <w:szCs w:val="21"/>
        </w:rPr>
        <w:t xml:space="preserve">14、中国证监会：指中国证券监督管理委员会 </w:t>
      </w:r>
    </w:p>
    <w:p w14:paraId="301E3206">
      <w:pPr>
        <w:pStyle w:val="7"/>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15、银行业监督管理机构：指中国人民银行和/或中国银行业监督管理委员会 </w:t>
      </w:r>
    </w:p>
    <w:p w14:paraId="4229C28B">
      <w:pPr>
        <w:pStyle w:val="7"/>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16、基金合同当事人：指受基金合同约束，根据基金合同享有权利并承担义务的法律主体，包括基金管理人、基金托管人和基金份额持有人 </w:t>
      </w:r>
    </w:p>
    <w:p w14:paraId="0FD0BE20">
      <w:pPr>
        <w:pStyle w:val="7"/>
        <w:spacing w:before="0" w:beforeAutospacing="0" w:after="0" w:afterAutospacing="0" w:line="360" w:lineRule="auto"/>
        <w:ind w:firstLine="420"/>
        <w:rPr>
          <w:sz w:val="21"/>
          <w:szCs w:val="21"/>
        </w:rPr>
      </w:pPr>
      <w:r>
        <w:rPr>
          <w:rFonts w:hint="eastAsia"/>
          <w:sz w:val="21"/>
          <w:szCs w:val="21"/>
        </w:rPr>
        <w:t xml:space="preserve">17、个人投资者：指依据有关法律法规规定可投资于证券投资基金的自然人 </w:t>
      </w:r>
    </w:p>
    <w:p w14:paraId="5DA0FD09">
      <w:pPr>
        <w:pStyle w:val="7"/>
        <w:spacing w:before="0" w:beforeAutospacing="0" w:after="0" w:afterAutospacing="0" w:line="360" w:lineRule="auto"/>
        <w:ind w:firstLine="420"/>
        <w:rPr>
          <w:sz w:val="21"/>
          <w:szCs w:val="21"/>
        </w:rPr>
      </w:pPr>
      <w:r>
        <w:rPr>
          <w:rFonts w:hint="eastAsia"/>
          <w:sz w:val="21"/>
          <w:szCs w:val="21"/>
        </w:rPr>
        <w:t xml:space="preserve">18、机构投资者：指依法可以投资证券投资基金的、在中华人民共和国境内合法登记并存续或经有关政府部门批准设立并存续的企业法人、事业法人、社会团体或其他组织 </w:t>
      </w:r>
    </w:p>
    <w:p w14:paraId="7D744BB8">
      <w:pPr>
        <w:pStyle w:val="7"/>
        <w:spacing w:before="0" w:beforeAutospacing="0" w:after="0" w:afterAutospacing="0" w:line="360" w:lineRule="auto"/>
        <w:ind w:firstLine="420"/>
        <w:rPr>
          <w:sz w:val="21"/>
          <w:szCs w:val="21"/>
        </w:rPr>
      </w:pPr>
      <w:r>
        <w:rPr>
          <w:rFonts w:hint="eastAsia"/>
          <w:sz w:val="21"/>
          <w:szCs w:val="21"/>
        </w:rPr>
        <w:t xml:space="preserve">19、合格境外机构投资者：指符合相关法律法规规定可以投资于在中国境内依法募集的证券投资基金的中国境外的机构投资者 </w:t>
      </w:r>
    </w:p>
    <w:p w14:paraId="4226788F">
      <w:pPr>
        <w:pStyle w:val="7"/>
        <w:spacing w:before="0" w:beforeAutospacing="0" w:after="0" w:afterAutospacing="0" w:line="360" w:lineRule="auto"/>
        <w:ind w:firstLine="420"/>
        <w:rPr>
          <w:sz w:val="21"/>
          <w:szCs w:val="21"/>
        </w:rPr>
      </w:pPr>
      <w:r>
        <w:rPr>
          <w:rFonts w:hint="eastAsia"/>
          <w:sz w:val="21"/>
          <w:szCs w:val="21"/>
        </w:rPr>
        <w:t xml:space="preserve">20、投资人：指个人投资者、机构投资者、合格境外机构投资者以及法律法规或中国证监会允许购买证券投资基金的其他投资人的合称 </w:t>
      </w:r>
    </w:p>
    <w:p w14:paraId="4AEE20EE">
      <w:pPr>
        <w:pStyle w:val="7"/>
        <w:spacing w:before="0" w:beforeAutospacing="0" w:after="0" w:afterAutospacing="0" w:line="360" w:lineRule="auto"/>
        <w:ind w:firstLine="420"/>
        <w:rPr>
          <w:sz w:val="21"/>
          <w:szCs w:val="21"/>
        </w:rPr>
      </w:pPr>
      <w:r>
        <w:rPr>
          <w:rFonts w:hint="eastAsia"/>
          <w:sz w:val="21"/>
          <w:szCs w:val="21"/>
        </w:rPr>
        <w:t xml:space="preserve">21、基金份额持有人：指依基金合同和招募说明书合法取得基金份额的投资人 </w:t>
      </w:r>
    </w:p>
    <w:p w14:paraId="2C6E6A7B">
      <w:pPr>
        <w:pStyle w:val="7"/>
        <w:spacing w:before="0" w:beforeAutospacing="0" w:after="0" w:afterAutospacing="0" w:line="360" w:lineRule="auto"/>
        <w:ind w:firstLine="420"/>
        <w:rPr>
          <w:sz w:val="21"/>
          <w:szCs w:val="21"/>
        </w:rPr>
      </w:pPr>
      <w:r>
        <w:rPr>
          <w:rFonts w:hint="eastAsia"/>
          <w:sz w:val="21"/>
          <w:szCs w:val="21"/>
        </w:rPr>
        <w:t xml:space="preserve">22、基金销售业务：指基金管理人或销售机构宣传推介基金，发售基金份额，办理基金份额的申购、赎回、转换、转托管及定期定额投资等业务 </w:t>
      </w:r>
    </w:p>
    <w:p w14:paraId="79641260">
      <w:pPr>
        <w:pStyle w:val="7"/>
        <w:spacing w:before="0" w:beforeAutospacing="0" w:after="0" w:afterAutospacing="0" w:line="360" w:lineRule="auto"/>
        <w:ind w:firstLine="420"/>
        <w:rPr>
          <w:sz w:val="21"/>
          <w:szCs w:val="21"/>
        </w:rPr>
      </w:pPr>
      <w:r>
        <w:rPr>
          <w:rFonts w:hint="eastAsia"/>
          <w:sz w:val="21"/>
          <w:szCs w:val="21"/>
        </w:rPr>
        <w:t xml:space="preserve">23、销售机构：指直销机构和代销机构 </w:t>
      </w:r>
    </w:p>
    <w:p w14:paraId="754A0463">
      <w:pPr>
        <w:pStyle w:val="7"/>
        <w:spacing w:before="0" w:beforeAutospacing="0" w:after="0" w:afterAutospacing="0" w:line="360" w:lineRule="auto"/>
        <w:ind w:firstLine="420"/>
        <w:rPr>
          <w:sz w:val="21"/>
          <w:szCs w:val="21"/>
        </w:rPr>
      </w:pPr>
      <w:r>
        <w:rPr>
          <w:rFonts w:hint="eastAsia"/>
          <w:sz w:val="21"/>
          <w:szCs w:val="21"/>
        </w:rPr>
        <w:t>24、直销机构：指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47B63BB0">
      <w:pPr>
        <w:pStyle w:val="7"/>
        <w:spacing w:before="0" w:beforeAutospacing="0" w:after="0" w:afterAutospacing="0" w:line="360" w:lineRule="auto"/>
        <w:ind w:firstLine="420"/>
        <w:rPr>
          <w:sz w:val="21"/>
          <w:szCs w:val="21"/>
        </w:rPr>
      </w:pPr>
      <w:r>
        <w:rPr>
          <w:rFonts w:hint="eastAsia"/>
          <w:sz w:val="21"/>
          <w:szCs w:val="21"/>
        </w:rPr>
        <w:t>25、代销机构：指符合《销售办法》和中国证监会规定的其他条件，取得基金销售业务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1CA8D2EE">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26、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2DF657F8">
      <w:pPr>
        <w:pStyle w:val="7"/>
        <w:spacing w:before="0" w:beforeAutospacing="0" w:after="0" w:afterAutospacing="0" w:line="360" w:lineRule="auto"/>
        <w:ind w:firstLine="420"/>
        <w:rPr>
          <w:sz w:val="21"/>
          <w:szCs w:val="21"/>
        </w:rPr>
      </w:pPr>
      <w:r>
        <w:rPr>
          <w:rFonts w:hint="eastAsia"/>
          <w:sz w:val="21"/>
          <w:szCs w:val="21"/>
        </w:rPr>
        <w:t>27、登记机构：指办理登记业务的机构。基金的登记机构为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57383243">
      <w:pPr>
        <w:pStyle w:val="7"/>
        <w:spacing w:before="0" w:beforeAutospacing="0" w:after="0" w:afterAutospacing="0" w:line="360" w:lineRule="auto"/>
        <w:ind w:firstLine="420"/>
        <w:rPr>
          <w:sz w:val="21"/>
          <w:szCs w:val="21"/>
        </w:rPr>
      </w:pPr>
      <w:r>
        <w:rPr>
          <w:rFonts w:hint="eastAsia"/>
          <w:sz w:val="21"/>
          <w:szCs w:val="21"/>
        </w:rPr>
        <w:t xml:space="preserve">28、基金账户：指登记机构为投资人开立的、记录其持有的、基金管理人所管理的基金份额余额及其变动情况的账户 </w:t>
      </w:r>
    </w:p>
    <w:p w14:paraId="0E1AF820">
      <w:pPr>
        <w:pStyle w:val="7"/>
        <w:spacing w:before="0" w:beforeAutospacing="0" w:after="0" w:afterAutospacing="0" w:line="360" w:lineRule="auto"/>
        <w:ind w:firstLine="420"/>
        <w:rPr>
          <w:sz w:val="21"/>
          <w:szCs w:val="21"/>
        </w:rPr>
      </w:pPr>
      <w:r>
        <w:rPr>
          <w:rFonts w:hint="eastAsia"/>
          <w:sz w:val="21"/>
          <w:szCs w:val="21"/>
        </w:rPr>
        <w:t xml:space="preserve">29、基金交易账户：指销售机构为投资人开立的、记录投资人通过该销售机构办理认购、申购、赎回、转换、转托管及定期定额投资等业务而引起的基金份额变动及结余情况的账户 </w:t>
      </w:r>
    </w:p>
    <w:p w14:paraId="435351F7">
      <w:pPr>
        <w:pStyle w:val="7"/>
        <w:spacing w:before="0" w:beforeAutospacing="0" w:after="0" w:afterAutospacing="0" w:line="360" w:lineRule="auto"/>
        <w:ind w:firstLine="420"/>
        <w:rPr>
          <w:sz w:val="21"/>
          <w:szCs w:val="21"/>
        </w:rPr>
      </w:pPr>
      <w:r>
        <w:rPr>
          <w:rFonts w:hint="eastAsia"/>
          <w:sz w:val="21"/>
          <w:szCs w:val="21"/>
        </w:rPr>
        <w:t xml:space="preserve">30、基金合同生效日：指基金募集达到法律法规规定及基金合同规定的条件，基金管理人向中国证监会办理基金备案手续完毕，并获得中国证监会书面确认的日期 </w:t>
      </w:r>
    </w:p>
    <w:p w14:paraId="77107CA1">
      <w:pPr>
        <w:pStyle w:val="7"/>
        <w:spacing w:before="0" w:beforeAutospacing="0" w:after="0" w:afterAutospacing="0" w:line="360" w:lineRule="auto"/>
        <w:ind w:firstLine="420"/>
        <w:rPr>
          <w:sz w:val="21"/>
          <w:szCs w:val="21"/>
        </w:rPr>
      </w:pPr>
      <w:r>
        <w:rPr>
          <w:rFonts w:hint="eastAsia"/>
          <w:sz w:val="21"/>
          <w:szCs w:val="21"/>
        </w:rPr>
        <w:t xml:space="preserve">31、基金合同终止日：指基金合同规定的基金合同终止事由出现后，基金财产清算完毕，清算结果报中国证监会备案并予以公告的日期 </w:t>
      </w:r>
    </w:p>
    <w:p w14:paraId="0D5F0834">
      <w:pPr>
        <w:pStyle w:val="7"/>
        <w:spacing w:before="0" w:beforeAutospacing="0" w:after="0" w:afterAutospacing="0" w:line="360" w:lineRule="auto"/>
        <w:ind w:firstLine="420"/>
        <w:rPr>
          <w:sz w:val="21"/>
          <w:szCs w:val="21"/>
        </w:rPr>
      </w:pPr>
      <w:r>
        <w:rPr>
          <w:rFonts w:hint="eastAsia"/>
          <w:sz w:val="21"/>
          <w:szCs w:val="21"/>
        </w:rPr>
        <w:t xml:space="preserve">32、基金募集期：指自基金份额发售之日起至发售结束之日止的期间，最长不得超过3个月 </w:t>
      </w:r>
    </w:p>
    <w:p w14:paraId="017227D0">
      <w:pPr>
        <w:pStyle w:val="7"/>
        <w:spacing w:before="0" w:beforeAutospacing="0" w:after="0" w:afterAutospacing="0" w:line="360" w:lineRule="auto"/>
        <w:ind w:firstLine="420"/>
        <w:rPr>
          <w:sz w:val="21"/>
          <w:szCs w:val="21"/>
        </w:rPr>
      </w:pPr>
      <w:r>
        <w:rPr>
          <w:rFonts w:hint="eastAsia"/>
          <w:sz w:val="21"/>
          <w:szCs w:val="21"/>
        </w:rPr>
        <w:t xml:space="preserve">33、存续期：指基金合同生效至终止之间的不定期期限 </w:t>
      </w:r>
    </w:p>
    <w:p w14:paraId="1AEA57D3">
      <w:pPr>
        <w:pStyle w:val="7"/>
        <w:spacing w:before="0" w:beforeAutospacing="0" w:after="0" w:afterAutospacing="0" w:line="360" w:lineRule="auto"/>
        <w:ind w:firstLine="420"/>
        <w:rPr>
          <w:sz w:val="21"/>
          <w:szCs w:val="21"/>
        </w:rPr>
      </w:pPr>
      <w:r>
        <w:rPr>
          <w:rFonts w:hint="eastAsia"/>
          <w:sz w:val="21"/>
          <w:szCs w:val="21"/>
        </w:rPr>
        <w:t xml:space="preserve">34、工作日：指上海证券交易所、深圳证券交易所的正常交易日 </w:t>
      </w:r>
    </w:p>
    <w:p w14:paraId="6FAF73F2">
      <w:pPr>
        <w:pStyle w:val="7"/>
        <w:spacing w:before="0" w:beforeAutospacing="0" w:after="0" w:afterAutospacing="0" w:line="360" w:lineRule="auto"/>
        <w:ind w:firstLine="420"/>
        <w:rPr>
          <w:sz w:val="21"/>
          <w:szCs w:val="21"/>
        </w:rPr>
      </w:pPr>
      <w:r>
        <w:rPr>
          <w:rFonts w:hint="eastAsia"/>
          <w:sz w:val="21"/>
          <w:szCs w:val="21"/>
        </w:rPr>
        <w:t xml:space="preserve">35、T日：指销售机构在规定时间受理投资人申购、赎回或其他业务申请的工作日 </w:t>
      </w:r>
    </w:p>
    <w:p w14:paraId="4820DCE0">
      <w:pPr>
        <w:pStyle w:val="7"/>
        <w:spacing w:before="0" w:beforeAutospacing="0" w:after="0" w:afterAutospacing="0" w:line="360" w:lineRule="auto"/>
        <w:ind w:firstLine="420"/>
        <w:rPr>
          <w:sz w:val="21"/>
          <w:szCs w:val="21"/>
        </w:rPr>
      </w:pPr>
      <w:r>
        <w:rPr>
          <w:rFonts w:hint="eastAsia"/>
          <w:sz w:val="21"/>
          <w:szCs w:val="21"/>
        </w:rPr>
        <w:t xml:space="preserve">36、T+n日：指自T日起第n个工作日（不包含T日） </w:t>
      </w:r>
    </w:p>
    <w:p w14:paraId="39271DBA">
      <w:pPr>
        <w:pStyle w:val="7"/>
        <w:spacing w:before="0" w:beforeAutospacing="0" w:after="0" w:afterAutospacing="0" w:line="360" w:lineRule="auto"/>
        <w:ind w:firstLine="420"/>
        <w:rPr>
          <w:sz w:val="21"/>
          <w:szCs w:val="21"/>
        </w:rPr>
      </w:pPr>
      <w:r>
        <w:rPr>
          <w:rFonts w:hint="eastAsia"/>
          <w:sz w:val="21"/>
          <w:szCs w:val="21"/>
        </w:rPr>
        <w:t xml:space="preserve">37、开放日：指为投资人办理基金份额申购、赎回或其他业务的工作日 </w:t>
      </w:r>
    </w:p>
    <w:p w14:paraId="7E5F13E5">
      <w:pPr>
        <w:pStyle w:val="7"/>
        <w:spacing w:before="0" w:beforeAutospacing="0" w:after="0" w:afterAutospacing="0" w:line="360" w:lineRule="auto"/>
        <w:ind w:firstLine="420"/>
        <w:rPr>
          <w:sz w:val="21"/>
          <w:szCs w:val="21"/>
        </w:rPr>
      </w:pPr>
      <w:r>
        <w:rPr>
          <w:rFonts w:hint="eastAsia"/>
          <w:sz w:val="21"/>
          <w:szCs w:val="21"/>
        </w:rPr>
        <w:t xml:space="preserve">38、开放时间：指开放日基金接受申购、赎回或其他业务的时间段 </w:t>
      </w:r>
    </w:p>
    <w:p w14:paraId="430F9BD9">
      <w:pPr>
        <w:pStyle w:val="7"/>
        <w:spacing w:before="0" w:beforeAutospacing="0" w:after="0" w:afterAutospacing="0" w:line="360" w:lineRule="auto"/>
        <w:ind w:firstLine="420"/>
        <w:rPr>
          <w:sz w:val="21"/>
          <w:szCs w:val="21"/>
        </w:rPr>
      </w:pPr>
      <w:r>
        <w:rPr>
          <w:rFonts w:hint="eastAsia"/>
          <w:sz w:val="21"/>
          <w:szCs w:val="21"/>
        </w:rPr>
        <w:t>39、《业务规则》：指《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73D975FA">
      <w:pPr>
        <w:pStyle w:val="7"/>
        <w:spacing w:before="0" w:beforeAutospacing="0" w:after="0" w:afterAutospacing="0" w:line="360" w:lineRule="auto"/>
        <w:ind w:firstLine="420"/>
        <w:rPr>
          <w:sz w:val="21"/>
          <w:szCs w:val="21"/>
        </w:rPr>
      </w:pPr>
      <w:r>
        <w:rPr>
          <w:rFonts w:hint="eastAsia"/>
          <w:sz w:val="21"/>
          <w:szCs w:val="21"/>
        </w:rPr>
        <w:t xml:space="preserve">40、认购：指在基金募集期内，投资人根据基金合同和招募说明书的规定申请购买基金份额的行为 </w:t>
      </w:r>
    </w:p>
    <w:p w14:paraId="3AD87229">
      <w:pPr>
        <w:pStyle w:val="7"/>
        <w:spacing w:before="0" w:beforeAutospacing="0" w:after="0" w:afterAutospacing="0" w:line="360" w:lineRule="auto"/>
        <w:ind w:firstLine="420"/>
        <w:rPr>
          <w:sz w:val="21"/>
          <w:szCs w:val="21"/>
        </w:rPr>
      </w:pPr>
      <w:r>
        <w:rPr>
          <w:rFonts w:hint="eastAsia"/>
          <w:sz w:val="21"/>
          <w:szCs w:val="21"/>
        </w:rPr>
        <w:t xml:space="preserve">41、申购：指基金合同生效后，投资人根据基金合同和招募说明书的规定申请购买基金份额的行为 </w:t>
      </w:r>
    </w:p>
    <w:p w14:paraId="004B01F9">
      <w:pPr>
        <w:pStyle w:val="7"/>
        <w:spacing w:before="0" w:beforeAutospacing="0" w:after="0" w:afterAutospacing="0" w:line="360" w:lineRule="auto"/>
        <w:ind w:firstLine="420"/>
        <w:rPr>
          <w:sz w:val="21"/>
          <w:szCs w:val="21"/>
        </w:rPr>
      </w:pPr>
      <w:r>
        <w:rPr>
          <w:rFonts w:hint="eastAsia"/>
          <w:sz w:val="21"/>
          <w:szCs w:val="21"/>
        </w:rPr>
        <w:t xml:space="preserve">42、赎回：指基金合同生效后，基金份额持有人按基金合同和招募说明书规定的条件要求将基金份额兑换为现金的行为 </w:t>
      </w:r>
    </w:p>
    <w:p w14:paraId="41A2A047">
      <w:pPr>
        <w:pStyle w:val="7"/>
        <w:spacing w:before="0" w:beforeAutospacing="0" w:after="0" w:afterAutospacing="0" w:line="360" w:lineRule="auto"/>
        <w:ind w:firstLine="420"/>
        <w:rPr>
          <w:sz w:val="21"/>
          <w:szCs w:val="21"/>
        </w:rPr>
      </w:pPr>
      <w:r>
        <w:rPr>
          <w:rFonts w:hint="eastAsia"/>
          <w:sz w:val="21"/>
          <w:szCs w:val="21"/>
        </w:rPr>
        <w:t xml:space="preserve">43、基金转换：指基金份额持有人按照基金合同和基金管理人届时有效公告规定的条件，申请将其持有基金管理人管理的、某一基金的基金份额转换为基金管理人管理的其他基金基金份额的行为 </w:t>
      </w:r>
    </w:p>
    <w:p w14:paraId="35987D48">
      <w:pPr>
        <w:pStyle w:val="7"/>
        <w:spacing w:before="0" w:beforeAutospacing="0" w:after="0" w:afterAutospacing="0" w:line="360" w:lineRule="auto"/>
        <w:ind w:firstLine="420"/>
        <w:rPr>
          <w:sz w:val="21"/>
          <w:szCs w:val="21"/>
        </w:rPr>
      </w:pPr>
      <w:r>
        <w:rPr>
          <w:rFonts w:hint="eastAsia"/>
          <w:sz w:val="21"/>
          <w:szCs w:val="21"/>
        </w:rPr>
        <w:t xml:space="preserve">44、转托管：指基金份额持有人在本基金的不同销售机构之间实施的变更所持基金份额销售机构的操作 </w:t>
      </w:r>
    </w:p>
    <w:p w14:paraId="2D93ECB8">
      <w:pPr>
        <w:pStyle w:val="7"/>
        <w:spacing w:before="0" w:beforeAutospacing="0" w:after="0" w:afterAutospacing="0" w:line="360" w:lineRule="auto"/>
        <w:ind w:firstLine="420"/>
        <w:rPr>
          <w:sz w:val="21"/>
          <w:szCs w:val="21"/>
        </w:rPr>
      </w:pPr>
      <w:r>
        <w:rPr>
          <w:rFonts w:hint="eastAsia"/>
          <w:sz w:val="21"/>
          <w:szCs w:val="21"/>
        </w:rPr>
        <w:t xml:space="preserve">45、定期定额投资计划：指投资人通过有关销售机构提出申请，约定每期申购日、申购金额及扣款方式，由销售机构于每期约定申购日在投资人指定银行账户内自动完成扣款及受理基金申购申请的一种投资方式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4E64290A">
      <w:pPr>
        <w:pStyle w:val="7"/>
        <w:spacing w:before="0" w:beforeAutospacing="0" w:after="0" w:afterAutospacing="0" w:line="360" w:lineRule="auto"/>
        <w:ind w:firstLine="420"/>
        <w:rPr>
          <w:sz w:val="21"/>
          <w:szCs w:val="21"/>
        </w:rPr>
      </w:pPr>
      <w:r>
        <w:rPr>
          <w:rFonts w:hint="eastAsia"/>
          <w:sz w:val="21"/>
          <w:szCs w:val="21"/>
        </w:rPr>
        <w:t>46、巨额赎回：指本基金单个开放日，基金净赎回申请（赎回申请份额总数加上基金转换中转出申请份额总数后扣除申购申请份额总数及基金转换中转入申请份额总数后的余额）超过上一开放日基金总份额的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1" w:name="field_49_mintredeemscale_1"/>
      <w:r>
        <w:rPr>
          <w:sz w:val="21"/>
          <w:szCs w:val="21"/>
        </w:rPr>
        <w:t>10</w:t>
      </w:r>
      <w:bookmarkEnd w:id="31"/>
      <w:r>
        <w:rPr>
          <w:rFonts w:hint="eastAsia"/>
          <w:sz w:val="21"/>
          <w:szCs w:val="21"/>
        </w:rPr>
        <w:t xml:space="preserve"> % </w:t>
      </w:r>
    </w:p>
    <w:p w14:paraId="76DB3E32">
      <w:pPr>
        <w:pStyle w:val="7"/>
        <w:spacing w:before="0" w:beforeAutospacing="0" w:after="0" w:afterAutospacing="0" w:line="360" w:lineRule="auto"/>
        <w:ind w:firstLine="420"/>
        <w:rPr>
          <w:sz w:val="21"/>
          <w:szCs w:val="21"/>
        </w:rPr>
      </w:pPr>
      <w:r>
        <w:rPr>
          <w:rFonts w:hint="eastAsia"/>
          <w:sz w:val="21"/>
          <w:szCs w:val="21"/>
        </w:rPr>
        <w:t xml:space="preserve">47、元：指人民币元 </w:t>
      </w:r>
    </w:p>
    <w:p w14:paraId="67B3E242">
      <w:pPr>
        <w:pStyle w:val="7"/>
        <w:spacing w:before="0" w:beforeAutospacing="0" w:after="0" w:afterAutospacing="0" w:line="360" w:lineRule="auto"/>
        <w:ind w:firstLine="420"/>
        <w:rPr>
          <w:sz w:val="21"/>
          <w:szCs w:val="21"/>
        </w:rPr>
      </w:pPr>
      <w:r>
        <w:rPr>
          <w:rFonts w:hint="eastAsia"/>
          <w:sz w:val="21"/>
          <w:szCs w:val="21"/>
        </w:rPr>
        <w:t xml:space="preserve">48、基金收益：指基金投资所得债券利息、买卖证券价差、银行存款利息、已实现的其他合法收入及因运用基金财产带来的成本和费用的节约 </w:t>
      </w:r>
    </w:p>
    <w:p w14:paraId="464D4E17">
      <w:pPr>
        <w:pStyle w:val="7"/>
        <w:spacing w:before="0" w:beforeAutospacing="0" w:after="0" w:afterAutospacing="0" w:line="360" w:lineRule="auto"/>
        <w:ind w:firstLine="420"/>
        <w:rPr>
          <w:sz w:val="21"/>
          <w:szCs w:val="21"/>
        </w:rPr>
      </w:pPr>
      <w:r>
        <w:rPr>
          <w:rFonts w:hint="eastAsia"/>
          <w:sz w:val="21"/>
          <w:szCs w:val="21"/>
        </w:rPr>
        <w:t xml:space="preserve">49、基金资产总值：指基金拥有的各类有价证券、银行存款本息、基金应收款项及其他资产的价值总和 </w:t>
      </w:r>
    </w:p>
    <w:p w14:paraId="59390FEB">
      <w:pPr>
        <w:pStyle w:val="7"/>
        <w:spacing w:before="0" w:beforeAutospacing="0" w:after="0" w:afterAutospacing="0" w:line="360" w:lineRule="auto"/>
        <w:ind w:firstLine="420"/>
        <w:rPr>
          <w:sz w:val="21"/>
          <w:szCs w:val="21"/>
        </w:rPr>
      </w:pPr>
      <w:r>
        <w:rPr>
          <w:rFonts w:hint="eastAsia"/>
          <w:sz w:val="21"/>
          <w:szCs w:val="21"/>
        </w:rPr>
        <w:t xml:space="preserve">50、基金资产净值：指基金资产总值减去基金负债后的价值 </w:t>
      </w:r>
    </w:p>
    <w:p w14:paraId="7007CFB8">
      <w:pPr>
        <w:pStyle w:val="7"/>
        <w:spacing w:before="0" w:beforeAutospacing="0" w:after="0" w:afterAutospacing="0" w:line="360" w:lineRule="auto"/>
        <w:ind w:firstLine="420"/>
        <w:rPr>
          <w:sz w:val="21"/>
          <w:szCs w:val="21"/>
        </w:rPr>
      </w:pPr>
      <w:r>
        <w:rPr>
          <w:rFonts w:hint="eastAsia"/>
          <w:sz w:val="21"/>
          <w:szCs w:val="21"/>
        </w:rPr>
        <w:t xml:space="preserve">51、基金份额净值：指计算日基金资产净值除以计算日基金份额总数 </w:t>
      </w:r>
    </w:p>
    <w:p w14:paraId="0C3C68E2">
      <w:pPr>
        <w:pStyle w:val="7"/>
        <w:spacing w:before="0" w:beforeAutospacing="0" w:after="0" w:afterAutospacing="0" w:line="360" w:lineRule="auto"/>
        <w:ind w:firstLine="420"/>
        <w:rPr>
          <w:sz w:val="21"/>
          <w:szCs w:val="21"/>
        </w:rPr>
      </w:pPr>
      <w:r>
        <w:rPr>
          <w:rFonts w:hint="eastAsia"/>
          <w:sz w:val="21"/>
          <w:szCs w:val="21"/>
        </w:rPr>
        <w:t xml:space="preserve">52、基金资产估值：指计算评估基金资产和负债的价值，以确定基金资产净值和基金份额净值的过程 </w:t>
      </w:r>
    </w:p>
    <w:p w14:paraId="78D43BC9">
      <w:pPr>
        <w:pStyle w:val="7"/>
        <w:spacing w:before="0" w:beforeAutospacing="0" w:after="0" w:afterAutospacing="0" w:line="360" w:lineRule="auto"/>
        <w:ind w:firstLine="420"/>
        <w:rPr>
          <w:sz w:val="21"/>
          <w:szCs w:val="21"/>
        </w:rPr>
      </w:pPr>
      <w:r>
        <w:rPr>
          <w:rFonts w:hint="eastAsia"/>
          <w:sz w:val="21"/>
          <w:szCs w:val="21"/>
        </w:rPr>
        <w:t xml:space="preserve">53、指定媒介：指中国证监会指定的用以进行信息披露的全国性报刊及指定互联网网站（包括基金管理人网站、基金托管人网站、中国证监会基金电子披露网站）等媒介 </w:t>
      </w:r>
    </w:p>
    <w:p w14:paraId="78AA3759">
      <w:pPr>
        <w:pStyle w:val="7"/>
        <w:spacing w:before="0" w:beforeAutospacing="0" w:after="0" w:afterAutospacing="0" w:line="360" w:lineRule="auto"/>
        <w:ind w:firstLine="420"/>
        <w:rPr>
          <w:sz w:val="21"/>
          <w:szCs w:val="21"/>
        </w:rPr>
      </w:pPr>
      <w:r>
        <w:rPr>
          <w:rFonts w:hint="eastAsia"/>
          <w:sz w:val="21"/>
          <w:szCs w:val="21"/>
        </w:rPr>
        <w:t xml:space="preserve">54、不可抗力：指基金合同当事人不能预见、不能避免且不能克服的客观事件 </w:t>
      </w:r>
    </w:p>
    <w:p w14:paraId="5470DC90">
      <w:pPr>
        <w:pStyle w:val="7"/>
        <w:spacing w:before="0" w:beforeAutospacing="0" w:after="0" w:afterAutospacing="0" w:line="360" w:lineRule="auto"/>
        <w:ind w:firstLine="420"/>
        <w:rPr>
          <w:sz w:val="21"/>
          <w:szCs w:val="21"/>
        </w:rPr>
      </w:pPr>
      <w:r>
        <w:rPr>
          <w:rFonts w:hint="eastAsia"/>
          <w:sz w:val="21"/>
          <w:szCs w:val="21"/>
        </w:rPr>
        <w:t xml:space="preserve">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42C476C1">
      <w:pPr>
        <w:pStyle w:val="7"/>
        <w:spacing w:before="0" w:beforeAutospacing="0" w:after="0" w:afterAutospacing="0" w:line="360" w:lineRule="auto"/>
        <w:ind w:firstLine="420"/>
        <w:rPr>
          <w:sz w:val="21"/>
          <w:szCs w:val="21"/>
        </w:rPr>
      </w:pPr>
      <w:r>
        <w:rPr>
          <w:rFonts w:hint="eastAsia"/>
          <w:sz w:val="21"/>
          <w:szCs w:val="21"/>
        </w:rPr>
        <w:t>56、基金产品资料概要：指《</w:t>
      </w:r>
      <w:bookmarkStart w:id="32" w:name="field_0_productfullname_11"/>
      <w:r>
        <w:rPr>
          <w:rFonts w:hint="eastAsia"/>
          <w:sz w:val="21"/>
          <w:szCs w:val="21"/>
        </w:rPr>
        <w:t>博时裕泰纯债债券型证券投资基金</w:t>
      </w:r>
      <w:bookmarkEnd w:id="32"/>
      <w:r>
        <w:rPr>
          <w:rFonts w:hint="eastAsia"/>
          <w:sz w:val="21"/>
          <w:szCs w:val="21"/>
        </w:rPr>
        <w:t xml:space="preserve">基金产品资料概要》及其更新 </w:t>
      </w:r>
    </w:p>
    <w:p w14:paraId="04F4043A">
      <w:pPr>
        <w:pStyle w:val="7"/>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33EDBF7B">
      <w:pPr>
        <w:pStyle w:val="7"/>
        <w:spacing w:before="0" w:beforeAutospacing="0" w:after="0" w:afterAutospacing="0" w:line="360" w:lineRule="auto"/>
        <w:ind w:firstLine="420"/>
        <w:rPr>
          <w:sz w:val="21"/>
          <w:szCs w:val="21"/>
        </w:rPr>
      </w:pPr>
      <w:r>
        <w:rPr>
          <w:rFonts w:hint="eastAsia"/>
          <w:sz w:val="21"/>
          <w:szCs w:val="21"/>
        </w:rPr>
        <w:t>58、特定资产：包括：（一）无可参考的活跃市场价格且采用估值技术仍导致公允价值存在重大不确定性的资产；（二）按摊余成本计量且计提资产减值准备仍导致资产价值存在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14:paraId="0784E961">
      <w:pPr>
        <w:widowControl/>
        <w:jc w:val="left"/>
        <w:rPr>
          <w:rFonts w:ascii="宋体" w:hAnsi="宋体" w:eastAsia="宋体"/>
        </w:rPr>
      </w:pPr>
      <w:r>
        <w:rPr>
          <w:rFonts w:ascii="宋体" w:hAnsi="宋体" w:eastAsia="宋体"/>
        </w:rPr>
        <w:br w:type="page"/>
      </w:r>
    </w:p>
    <w:p w14:paraId="283CDFCF">
      <w:pPr>
        <w:pStyle w:val="2"/>
        <w:jc w:val="center"/>
        <w:rPr>
          <w:rFonts w:ascii="宋体" w:hAnsi="宋体" w:eastAsia="宋体"/>
          <w:sz w:val="30"/>
        </w:rPr>
      </w:pPr>
      <w:bookmarkStart w:id="34" w:name="chapter_level1_5_53"/>
      <w:bookmarkStart w:id="35" w:name="_Toc207943813"/>
      <w:r>
        <w:rPr>
          <w:rFonts w:hint="eastAsia" w:ascii="宋体" w:hAnsi="宋体" w:eastAsia="宋体"/>
          <w:sz w:val="30"/>
        </w:rPr>
        <w:t>第三部分  基金管理人</w:t>
      </w:r>
      <w:bookmarkEnd w:id="34"/>
      <w:bookmarkEnd w:id="35"/>
    </w:p>
    <w:p w14:paraId="2A3D041A">
      <w:pPr>
        <w:pStyle w:val="7"/>
        <w:spacing w:before="0" w:beforeAutospacing="0" w:after="0" w:afterAutospacing="0" w:line="360" w:lineRule="auto"/>
        <w:ind w:firstLine="420"/>
        <w:rPr>
          <w:sz w:val="21"/>
          <w:szCs w:val="21"/>
          <w:highlight w:val="none"/>
        </w:rPr>
      </w:pPr>
      <w:bookmarkStart w:id="36" w:name="chapter_level1_5_53_section_1"/>
      <w:bookmarkEnd w:id="36"/>
      <w:r>
        <w:rPr>
          <w:rStyle w:val="11"/>
          <w:rFonts w:hint="eastAsia"/>
          <w:sz w:val="21"/>
          <w:szCs w:val="21"/>
          <w:highlight w:val="none"/>
        </w:rPr>
        <w:t>一、基金管理人概况</w:t>
      </w:r>
    </w:p>
    <w:p w14:paraId="718E91BA">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2657A99C">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015714D3">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4642C880">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08FC9E7E">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08C42A59">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3D516CC6">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BAEC928">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116C0CCB">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A7560FA">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42FBDFA2">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5A3B45D">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4E7E86D">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5C83283B">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2FD566E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680DFCD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AD2D15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4A5052F">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55A618ED">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487220CF">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D11EC5D">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BCDD9E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D93013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C65F01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79576503">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D6B07D2">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1E3B132">
      <w:pPr>
        <w:pStyle w:val="7"/>
        <w:spacing w:before="0" w:beforeAutospacing="0" w:after="0" w:afterAutospacing="0" w:line="360" w:lineRule="auto"/>
        <w:ind w:firstLine="420"/>
        <w:rPr>
          <w:rFonts w:hint="eastAsia"/>
          <w:sz w:val="21"/>
          <w:szCs w:val="21"/>
          <w:highlight w:val="none"/>
        </w:rPr>
      </w:pPr>
      <w:bookmarkStart w:id="37" w:name="OLE_LINK3"/>
      <w:r>
        <w:rPr>
          <w:rFonts w:hint="eastAsia"/>
          <w:sz w:val="21"/>
          <w:szCs w:val="21"/>
          <w:highlight w:val="none"/>
          <w:lang w:eastAsia="zh-CN"/>
        </w:rPr>
        <w:t>张东先生，</w:t>
      </w:r>
      <w:r>
        <w:rPr>
          <w:rFonts w:hint="eastAsia"/>
          <w:sz w:val="21"/>
          <w:szCs w:val="21"/>
          <w:highlight w:val="none"/>
        </w:rPr>
        <w:t>简历同上。</w:t>
      </w:r>
    </w:p>
    <w:p w14:paraId="7943C75B">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7"/>
    <w:p w14:paraId="3261EAAF">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226684E4">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1BD3865D">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77F8CC89">
      <w:pPr>
        <w:pStyle w:val="7"/>
        <w:spacing w:before="0" w:beforeAutospacing="0" w:after="0" w:afterAutospacing="0" w:line="360" w:lineRule="auto"/>
        <w:ind w:firstLine="420"/>
        <w:rPr>
          <w:rFonts w:hint="eastAsia"/>
          <w:sz w:val="21"/>
          <w:szCs w:val="21"/>
        </w:rPr>
      </w:pPr>
      <w:bookmarkStart w:id="38" w:name="field_0_fundmanagerresume_1_start"/>
      <w:bookmarkEnd w:id="38"/>
      <w:r>
        <w:rPr>
          <w:rFonts w:hint="eastAsia"/>
          <w:sz w:val="21"/>
          <w:szCs w:val="21"/>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博时富通纯债一年定期开放债券型发起式证券投资基金(2022年2月17日-2023年7月28日)、博时裕瑞纯债债券型证券投资基金(2022年2月17日-2024年4月3日)、博时富耀纯债一年定期开放债券型发起式证券投资基金(2023年6月7日-2024年6月25日)、博时富元纯债债券型证券投资基金(2023年4月20日-2024年7月23日)、博时安仁一年定期开放债券型发起式证券投资基金(2023年7月26日-2024年8月13日)、博时富华纯债债券型证券投资基金(2023年7月26日-2024年8月27日)、博时裕昂纯债债券型证券投资基金(2022年2月17日-2025年1月10日)、博时富灿纯债一年定期开放债券型发起式证券投资基金(2021年4月13日-2025年2月25日)、博时裕安纯债一年定期开放债券型发起式证券投资基金(2023年7月26日-2025年9月18日)、博时裕盛纯债债券型证券投资基金(2023年7月26日-2026年4月30日)的基金经理。现任博时丰庆纯债债券型证券投资基金(2022年2月17日—至今)、博时裕创纯债债券型证券投资基金(2022年2月17日—至今)、博时裕泰纯债债券型证券投资基金(2022年2月17日—至今)、博时裕达纯债债券型证券投资基金(2026年2月4日—至今)、博时裕鹏纯债债券型证券投资基金(2026年2月4日—至今)、博时智臻纯债债券型证券投资基金(2026年5月21日—至今)的基金经理。</w:t>
      </w:r>
      <w:bookmarkStart w:id="39" w:name="field_0_fundmanagerresume_1_end"/>
      <w:bookmarkEnd w:id="39"/>
    </w:p>
    <w:p w14:paraId="24BED5EB">
      <w:pPr>
        <w:pStyle w:val="7"/>
        <w:spacing w:before="0" w:beforeAutospacing="0" w:after="0" w:afterAutospacing="0" w:line="360" w:lineRule="auto"/>
        <w:ind w:firstLine="420"/>
        <w:rPr>
          <w:sz w:val="21"/>
          <w:szCs w:val="21"/>
        </w:rPr>
      </w:pPr>
      <w:r>
        <w:rPr>
          <w:rFonts w:hint="eastAsia"/>
          <w:sz w:val="21"/>
          <w:szCs w:val="21"/>
        </w:rPr>
        <w:t>李田田女士，硕士。2018年在北京大学研究生毕业后加入博时基金管理有限公司。现任博时富洋纯债一年定期开放债券型发起式证券投资基金(2026年7月24日—至今)</w:t>
      </w:r>
      <w:r>
        <w:rPr>
          <w:rFonts w:hint="eastAsia"/>
          <w:sz w:val="21"/>
          <w:szCs w:val="21"/>
          <w:lang w:eastAsia="zh-CN"/>
        </w:rPr>
        <w:t>、</w:t>
      </w:r>
      <w:r>
        <w:rPr>
          <w:rFonts w:hint="eastAsia"/>
          <w:sz w:val="21"/>
          <w:szCs w:val="21"/>
        </w:rPr>
        <w:t>博时裕泰纯债债券型证券投资基金(202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8</w:t>
      </w:r>
      <w:r>
        <w:rPr>
          <w:rFonts w:hint="eastAsia"/>
          <w:sz w:val="21"/>
          <w:szCs w:val="21"/>
        </w:rPr>
        <w:t>月1</w:t>
      </w:r>
      <w:r>
        <w:rPr>
          <w:rFonts w:hint="eastAsia"/>
          <w:sz w:val="21"/>
          <w:szCs w:val="21"/>
          <w:lang w:val="en-US" w:eastAsia="zh-CN"/>
        </w:rPr>
        <w:t>0</w:t>
      </w:r>
      <w:r>
        <w:rPr>
          <w:rFonts w:hint="eastAsia"/>
          <w:sz w:val="21"/>
          <w:szCs w:val="21"/>
        </w:rPr>
        <w:t>日—至今)的基金经理。</w:t>
      </w:r>
    </w:p>
    <w:p w14:paraId="45BFAE92">
      <w:pPr>
        <w:pStyle w:val="7"/>
        <w:spacing w:before="0" w:beforeAutospacing="0" w:after="0" w:afterAutospacing="0" w:line="360" w:lineRule="auto"/>
        <w:ind w:firstLine="420"/>
        <w:rPr>
          <w:sz w:val="21"/>
          <w:szCs w:val="21"/>
        </w:rPr>
      </w:pPr>
      <w:bookmarkStart w:id="40" w:name="field_0_fundmanagershis_1_start"/>
      <w:bookmarkEnd w:id="40"/>
      <w:r>
        <w:rPr>
          <w:rFonts w:hint="eastAsia"/>
          <w:sz w:val="21"/>
          <w:szCs w:val="21"/>
        </w:rPr>
        <w:t>本基金历任基金经理：陈凯杨（2015年11月19日-2016年12月27日）、鲁邦旺（2016年12月15日-2019年3月11日）、陈凯杨（2019年3月11日-2020</w:t>
      </w:r>
      <w:bookmarkStart w:id="41" w:name="chapter_level1_5_53_section_2_end"/>
      <w:bookmarkEnd w:id="41"/>
      <w:r>
        <w:rPr>
          <w:rFonts w:hint="eastAsia"/>
          <w:sz w:val="21"/>
          <w:szCs w:val="21"/>
        </w:rPr>
        <w:t>年5月13日）、郭思洁（2020年5月13日-2022年2月17日）。</w:t>
      </w:r>
      <w:bookmarkStart w:id="42" w:name="field_0_fundmanagershis_1_end"/>
      <w:bookmarkEnd w:id="42"/>
      <w:r>
        <w:rPr>
          <w:rFonts w:hint="eastAsia"/>
          <w:sz w:val="21"/>
          <w:szCs w:val="21"/>
        </w:rPr>
        <w:t xml:space="preserve">  </w:t>
      </w:r>
    </w:p>
    <w:p w14:paraId="7E3AABB2">
      <w:pPr>
        <w:pStyle w:val="7"/>
        <w:spacing w:before="0" w:beforeAutospacing="0" w:after="0" w:afterAutospacing="0" w:line="360" w:lineRule="auto"/>
        <w:ind w:firstLine="420"/>
        <w:rPr>
          <w:rFonts w:hint="eastAsia"/>
          <w:sz w:val="21"/>
          <w:szCs w:val="21"/>
        </w:rPr>
      </w:pPr>
      <w:bookmarkStart w:id="43" w:name="chapter_level1_5_53_section_3"/>
      <w:bookmarkEnd w:id="43"/>
      <w:bookmarkStart w:id="44" w:name="field_0_managerpersoninfo2_1_start"/>
      <w:bookmarkEnd w:id="44"/>
      <w:r>
        <w:rPr>
          <w:rFonts w:hint="eastAsia"/>
          <w:sz w:val="21"/>
          <w:szCs w:val="21"/>
        </w:rPr>
        <w:t xml:space="preserve">4、投资决策委员会成员 </w:t>
      </w:r>
    </w:p>
    <w:p w14:paraId="3927FBA9">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2ABBA451">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4CB67385">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36FF25C2">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8A68069">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1F949AB">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287EE240">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5696C392">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10F4FC3D">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5" w:name="field_0_managerpersoninfo2_1_end"/>
      <w:bookmarkEnd w:id="45"/>
      <w:r>
        <w:rPr>
          <w:rFonts w:hint="eastAsia"/>
          <w:sz w:val="21"/>
          <w:szCs w:val="21"/>
        </w:rPr>
        <w:t xml:space="preserve">  </w:t>
      </w:r>
    </w:p>
    <w:p w14:paraId="7E8FC748">
      <w:pPr>
        <w:pStyle w:val="7"/>
        <w:spacing w:before="0" w:beforeAutospacing="0" w:after="0" w:afterAutospacing="0" w:line="360" w:lineRule="auto"/>
        <w:ind w:firstLine="420"/>
        <w:rPr>
          <w:sz w:val="21"/>
          <w:szCs w:val="21"/>
        </w:rPr>
      </w:pPr>
      <w:bookmarkStart w:id="46" w:name="chapter_level1_5_53_section_4"/>
      <w:bookmarkEnd w:id="46"/>
      <w:r>
        <w:rPr>
          <w:rStyle w:val="11"/>
          <w:rFonts w:hint="eastAsia"/>
          <w:sz w:val="21"/>
          <w:szCs w:val="21"/>
        </w:rPr>
        <w:t>三、基金管理人的职责</w:t>
      </w:r>
    </w:p>
    <w:p w14:paraId="4540B174">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60AE9CC">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375CF2B0">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ABBC7EA">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8C3BFD5">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EB1F4BE">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6FB035A">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1F470FD">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373AE40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07A82845">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10、编制季度报告、中期报告和年度基金报告； </w:t>
      </w:r>
    </w:p>
    <w:p w14:paraId="1BAFA22F">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45A1F3F">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44E559E4">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E4B88D7">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5777C3F">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A3C324D">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0342ACC">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2C12249">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1E963CA">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F1C76F1">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905F9D8">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D18290A">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A8423DC">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C37576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1C9B789D">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E10A4C9">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4B19AF0">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DCB8BF8">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5FBE8F3F">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08590FAD">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F0030AB">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7C5DBFA">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7682ED19">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34A49D9C">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B284434">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253883AE">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72DA5019">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22D03D44">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CD772B0">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45E59961">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A5D0FC1">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048556B7">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4BCB6648">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21F31946">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399E8AAA">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1CC3D39D">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2B79EF7">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63EDC4AE">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66AE47E7">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762896F7">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3EEEBC9A">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3BD37A3A">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268AEA1C">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1490C4EF">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6D6A2B7E">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16D5C6D5">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6C557B19">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172AD23A">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242F0948">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2649E967">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50E352F3">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10475E9B">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77E08AF1">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17E31CDD">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7AA288A6">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0EB92E14">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4843EF42">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058B5A17">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303F55B2">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65EF5A88">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5866255">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47A7525">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54EF58D">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17B9FE40">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6CD7A7C8">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3338E601">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268BAD16">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2528BAE5">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0DA70D9F">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0F04EB6B">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00667107">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31F46871">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3B7286BF">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15AA11F2">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4C8EAD89">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2B6F0C39">
      <w:pPr>
        <w:widowControl/>
        <w:jc w:val="left"/>
        <w:rPr>
          <w:rFonts w:ascii="宋体" w:hAnsi="宋体" w:eastAsia="宋体"/>
        </w:rPr>
      </w:pPr>
      <w:r>
        <w:rPr>
          <w:rFonts w:ascii="宋体" w:hAnsi="宋体" w:eastAsia="宋体"/>
        </w:rPr>
        <w:br w:type="page"/>
      </w:r>
    </w:p>
    <w:p w14:paraId="6ACC33B7">
      <w:pPr>
        <w:pStyle w:val="2"/>
        <w:jc w:val="center"/>
        <w:rPr>
          <w:rFonts w:ascii="宋体" w:hAnsi="宋体" w:eastAsia="宋体"/>
          <w:sz w:val="30"/>
        </w:rPr>
      </w:pPr>
      <w:bookmarkStart w:id="47" w:name="chapter_level1_6_55"/>
      <w:bookmarkStart w:id="48" w:name="_Toc207943814"/>
      <w:r>
        <w:rPr>
          <w:rFonts w:hint="eastAsia" w:ascii="宋体" w:hAnsi="宋体" w:eastAsia="宋体"/>
          <w:sz w:val="30"/>
        </w:rPr>
        <w:t>第四部分  基金托管人</w:t>
      </w:r>
      <w:bookmarkEnd w:id="47"/>
      <w:bookmarkEnd w:id="48"/>
    </w:p>
    <w:p w14:paraId="41468061">
      <w:pPr>
        <w:pStyle w:val="7"/>
        <w:spacing w:before="0" w:beforeAutospacing="0" w:after="0" w:afterAutospacing="0" w:line="360" w:lineRule="auto"/>
        <w:ind w:firstLine="420"/>
        <w:rPr>
          <w:sz w:val="21"/>
          <w:szCs w:val="21"/>
        </w:rPr>
      </w:pPr>
      <w:bookmarkStart w:id="49" w:name="field_0_trustcompanyinfo_1_start"/>
      <w:bookmarkEnd w:id="49"/>
      <w:bookmarkStart w:id="50" w:name="chapter_level1_6_55_section_1"/>
      <w:bookmarkEnd w:id="50"/>
      <w:r>
        <w:rPr>
          <w:rFonts w:hint="eastAsia"/>
          <w:sz w:val="21"/>
          <w:szCs w:val="21"/>
        </w:rPr>
        <w:t xml:space="preserve">一、基金托管人情况 </w:t>
      </w:r>
    </w:p>
    <w:p w14:paraId="443431A7">
      <w:pPr>
        <w:pStyle w:val="7"/>
        <w:spacing w:before="0" w:beforeAutospacing="0" w:after="0" w:afterAutospacing="0" w:line="360" w:lineRule="auto"/>
        <w:ind w:firstLine="420"/>
        <w:rPr>
          <w:sz w:val="21"/>
          <w:szCs w:val="21"/>
        </w:rPr>
      </w:pPr>
      <w:r>
        <w:rPr>
          <w:rFonts w:hint="eastAsia"/>
          <w:sz w:val="21"/>
          <w:szCs w:val="21"/>
        </w:rPr>
        <w:t xml:space="preserve">1、基本情况 </w:t>
      </w:r>
    </w:p>
    <w:p w14:paraId="34CB428A">
      <w:pPr>
        <w:pStyle w:val="7"/>
        <w:spacing w:before="0" w:beforeAutospacing="0" w:after="0" w:afterAutospacing="0" w:line="360" w:lineRule="auto"/>
        <w:ind w:firstLine="420"/>
        <w:rPr>
          <w:sz w:val="21"/>
          <w:szCs w:val="21"/>
        </w:rPr>
      </w:pPr>
      <w:r>
        <w:rPr>
          <w:rFonts w:hint="eastAsia"/>
          <w:sz w:val="21"/>
          <w:szCs w:val="21"/>
        </w:rPr>
        <w:t xml:space="preserve">名称：平安银行股份有限公司 </w:t>
      </w:r>
    </w:p>
    <w:p w14:paraId="18119F92">
      <w:pPr>
        <w:pStyle w:val="7"/>
        <w:spacing w:before="0" w:beforeAutospacing="0" w:after="0" w:afterAutospacing="0" w:line="360" w:lineRule="auto"/>
        <w:ind w:firstLine="420"/>
        <w:rPr>
          <w:sz w:val="21"/>
          <w:szCs w:val="21"/>
        </w:rPr>
      </w:pPr>
      <w:r>
        <w:rPr>
          <w:rFonts w:hint="eastAsia"/>
          <w:sz w:val="21"/>
          <w:szCs w:val="21"/>
        </w:rPr>
        <w:t xml:space="preserve">注册住所：广东省深圳市罗湖区深南东路5047号 </w:t>
      </w:r>
    </w:p>
    <w:p w14:paraId="36FC2440">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办公地址：广东省深圳市福田区益田路5023号平安金融中心B座26楼 </w:t>
      </w:r>
    </w:p>
    <w:p w14:paraId="72DE5115">
      <w:pPr>
        <w:pStyle w:val="7"/>
        <w:spacing w:before="0" w:beforeAutospacing="0" w:after="0" w:afterAutospacing="0" w:line="360" w:lineRule="auto"/>
        <w:ind w:firstLine="420"/>
        <w:rPr>
          <w:sz w:val="21"/>
          <w:szCs w:val="21"/>
        </w:rPr>
      </w:pPr>
      <w:r>
        <w:rPr>
          <w:rFonts w:hint="eastAsia"/>
          <w:sz w:val="21"/>
          <w:szCs w:val="21"/>
        </w:rPr>
        <w:t xml:space="preserve">法定代表人：谢永林 </w:t>
      </w:r>
    </w:p>
    <w:p w14:paraId="128E384E">
      <w:pPr>
        <w:pStyle w:val="7"/>
        <w:spacing w:before="0" w:beforeAutospacing="0" w:after="0" w:afterAutospacing="0" w:line="360" w:lineRule="auto"/>
        <w:ind w:firstLine="420"/>
        <w:rPr>
          <w:sz w:val="21"/>
          <w:szCs w:val="21"/>
        </w:rPr>
      </w:pPr>
      <w:r>
        <w:rPr>
          <w:rFonts w:hint="eastAsia"/>
          <w:sz w:val="21"/>
          <w:szCs w:val="21"/>
        </w:rPr>
        <w:t xml:space="preserve">成立日期：1987年12月22日 </w:t>
      </w:r>
    </w:p>
    <w:p w14:paraId="0D0B53BB">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10C85432">
      <w:pPr>
        <w:pStyle w:val="7"/>
        <w:spacing w:before="0" w:beforeAutospacing="0" w:after="0" w:afterAutospacing="0" w:line="360" w:lineRule="auto"/>
        <w:ind w:firstLine="420"/>
        <w:rPr>
          <w:sz w:val="21"/>
          <w:szCs w:val="21"/>
        </w:rPr>
      </w:pPr>
      <w:r>
        <w:rPr>
          <w:rFonts w:hint="eastAsia"/>
          <w:sz w:val="21"/>
          <w:szCs w:val="21"/>
        </w:rPr>
        <w:t xml:space="preserve">注册资本：19,405,918,198元 </w:t>
      </w:r>
    </w:p>
    <w:p w14:paraId="6D458DDF">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1231FEA">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基金托管资格批文及文号：中国证监会证监许可[2008]1037号 </w:t>
      </w:r>
    </w:p>
    <w:p w14:paraId="4CA9E2D3">
      <w:pPr>
        <w:pStyle w:val="7"/>
        <w:spacing w:before="0" w:beforeAutospacing="0" w:after="0" w:afterAutospacing="0" w:line="360" w:lineRule="auto"/>
        <w:ind w:firstLine="420"/>
        <w:rPr>
          <w:sz w:val="21"/>
          <w:szCs w:val="21"/>
        </w:rPr>
      </w:pPr>
      <w:r>
        <w:rPr>
          <w:rFonts w:hint="eastAsia"/>
          <w:sz w:val="21"/>
          <w:szCs w:val="21"/>
        </w:rPr>
        <w:t xml:space="preserve">联系人：董德程 </w:t>
      </w:r>
    </w:p>
    <w:p w14:paraId="26B588A7">
      <w:pPr>
        <w:pStyle w:val="7"/>
        <w:spacing w:before="0" w:beforeAutospacing="0" w:after="0" w:afterAutospacing="0" w:line="360" w:lineRule="auto"/>
        <w:ind w:firstLine="420"/>
        <w:rPr>
          <w:sz w:val="21"/>
          <w:szCs w:val="21"/>
        </w:rPr>
      </w:pPr>
      <w:r>
        <w:rPr>
          <w:rFonts w:hint="eastAsia"/>
          <w:sz w:val="21"/>
          <w:szCs w:val="21"/>
        </w:rPr>
        <w:t xml:space="preserve">联系电话：0755-88674238 </w:t>
      </w:r>
    </w:p>
    <w:p w14:paraId="484EBE72">
      <w:pPr>
        <w:pStyle w:val="7"/>
        <w:spacing w:before="0" w:beforeAutospacing="0" w:after="0" w:afterAutospacing="0" w:line="360" w:lineRule="auto"/>
        <w:ind w:firstLine="420"/>
        <w:rPr>
          <w:sz w:val="21"/>
          <w:szCs w:val="21"/>
        </w:rPr>
      </w:pPr>
      <w:r>
        <w:rPr>
          <w:rFonts w:hint="eastAsia"/>
          <w:sz w:val="21"/>
          <w:szCs w:val="21"/>
        </w:rPr>
        <w:t xml:space="preserve">2、平安银行基本情况 </w:t>
      </w:r>
    </w:p>
    <w:p w14:paraId="4B3EF144">
      <w:pPr>
        <w:pStyle w:val="7"/>
        <w:spacing w:before="0" w:beforeAutospacing="0" w:after="0" w:afterAutospacing="0" w:line="360" w:lineRule="auto"/>
        <w:ind w:firstLine="420"/>
        <w:rPr>
          <w:sz w:val="21"/>
          <w:szCs w:val="21"/>
        </w:rPr>
      </w:pPr>
      <w:r>
        <w:rPr>
          <w:rFonts w:hint="eastAsia"/>
          <w:sz w:val="21"/>
          <w:szCs w:val="21"/>
        </w:rPr>
        <w:t xml:space="preserve">平安银行股份有限公司是一家总部设在深圳的全国性股份制商业银行（深圳证券交易所简称：平安银行，证券代码000001）。其前身是深圳发展银行股份有限公司，于2012年6月吸收合并原平安银行并于同年7月更名为平安银行。中国平安保险（集团）股份有限公司及其子公司合计持有平安银行58%的股份，为平安银行的控股股东。截至2025年6月末，平安银行有110家分行（含香港分行）,共1,134家营业机构。 </w:t>
      </w:r>
    </w:p>
    <w:p w14:paraId="5C285478">
      <w:pPr>
        <w:pStyle w:val="7"/>
        <w:spacing w:before="0" w:beforeAutospacing="0" w:after="0" w:afterAutospacing="0" w:line="360" w:lineRule="auto"/>
        <w:ind w:firstLine="420"/>
        <w:rPr>
          <w:sz w:val="21"/>
          <w:szCs w:val="21"/>
        </w:rPr>
      </w:pPr>
      <w:r>
        <w:rPr>
          <w:rFonts w:hint="eastAsia"/>
          <w:sz w:val="21"/>
          <w:szCs w:val="21"/>
        </w:rPr>
        <w:t xml:space="preserve">2025年1-6月，平安银行实现营业收入693.85亿元（同比下降10.0%）、净利润248.70亿元（同比下降 3.9%）、资产总额58,749.61亿元（较上年末增长1.8%）、吸收存款本金余额36,944.71亿元（较上年末增长4.6%）、发放贷款和垫款总额34,084.98亿元（较上年末增长1.0%）。 </w:t>
      </w:r>
    </w:p>
    <w:p w14:paraId="7FB27FBA">
      <w:pPr>
        <w:pStyle w:val="7"/>
        <w:spacing w:before="0" w:beforeAutospacing="0" w:after="0" w:afterAutospacing="0" w:line="360" w:lineRule="auto"/>
        <w:ind w:firstLine="420"/>
        <w:rPr>
          <w:sz w:val="21"/>
          <w:szCs w:val="21"/>
        </w:rPr>
      </w:pPr>
      <w:r>
        <w:rPr>
          <w:rFonts w:hint="eastAsia"/>
          <w:sz w:val="21"/>
          <w:szCs w:val="21"/>
        </w:rPr>
        <w:t xml:space="preserve">3、主要人员情况 </w:t>
      </w:r>
    </w:p>
    <w:p w14:paraId="312E476E">
      <w:pPr>
        <w:pStyle w:val="7"/>
        <w:spacing w:before="0" w:beforeAutospacing="0" w:after="0" w:afterAutospacing="0" w:line="360" w:lineRule="auto"/>
        <w:ind w:firstLine="420"/>
        <w:rPr>
          <w:sz w:val="21"/>
          <w:szCs w:val="21"/>
        </w:rPr>
      </w:pPr>
      <w:r>
        <w:rPr>
          <w:rFonts w:hint="eastAsia"/>
          <w:sz w:val="21"/>
          <w:szCs w:val="21"/>
        </w:rPr>
        <w:t xml:space="preserve">平安银行总行设资产托管部，下设客群拓展室、营销推动室、估值核算室、资金清算室、企划与综合服务室、数字平台室、督察合规室、基金服务室8个处室，目前部门人员为74人，为客户提供专业化的托管服务。证券投资基金托管业务相关员工配置齐全且从业经验丰富，托管部核心管理层具备银行管理、证券或托管业务十年以上从业经验。 </w:t>
      </w:r>
    </w:p>
    <w:p w14:paraId="416A3646">
      <w:pPr>
        <w:pStyle w:val="7"/>
        <w:spacing w:before="0" w:beforeAutospacing="0" w:after="0" w:afterAutospacing="0" w:line="360" w:lineRule="auto"/>
        <w:ind w:firstLine="420"/>
        <w:rPr>
          <w:sz w:val="21"/>
          <w:szCs w:val="21"/>
        </w:rPr>
      </w:pPr>
      <w:r>
        <w:rPr>
          <w:rFonts w:hint="eastAsia"/>
          <w:sz w:val="21"/>
          <w:szCs w:val="21"/>
        </w:rPr>
        <w:t xml:space="preserve">4、基金托管业务经营情况 </w:t>
      </w:r>
    </w:p>
    <w:p w14:paraId="5EC69BDD">
      <w:pPr>
        <w:pStyle w:val="7"/>
        <w:spacing w:before="0" w:beforeAutospacing="0" w:after="0" w:afterAutospacing="0" w:line="360" w:lineRule="auto"/>
        <w:ind w:firstLine="420"/>
        <w:rPr>
          <w:sz w:val="21"/>
          <w:szCs w:val="21"/>
        </w:rPr>
      </w:pPr>
      <w:r>
        <w:rPr>
          <w:rFonts w:hint="eastAsia"/>
          <w:sz w:val="21"/>
          <w:szCs w:val="21"/>
        </w:rPr>
        <w:t>2008年8月15日获得中国证监会、银监会核准开办证券投资基金托管业务。截至2025年6月末，平安银行股份有限公司托管证券投资基金净值规模合计8150.82亿，平安银行已托管331只证券投资基金，覆盖了股票型、债券型、混合型、货币型、指数型、FOF 等多</w:t>
      </w:r>
      <w:bookmarkStart w:id="51" w:name="chapter_level1_6_55_section_1_end"/>
      <w:bookmarkEnd w:id="51"/>
      <w:r>
        <w:rPr>
          <w:rFonts w:hint="eastAsia"/>
          <w:sz w:val="21"/>
          <w:szCs w:val="21"/>
        </w:rPr>
        <w:t xml:space="preserve">种类型的基金，满足了不同客户多元化的投资理财需求。 </w:t>
      </w:r>
      <w:bookmarkStart w:id="52" w:name="field_0_trustcompanyinfo_1_end"/>
      <w:bookmarkEnd w:id="52"/>
      <w:r>
        <w:rPr>
          <w:rFonts w:hint="eastAsia"/>
          <w:sz w:val="21"/>
          <w:szCs w:val="21"/>
        </w:rPr>
        <w:t xml:space="preserve">  </w:t>
      </w:r>
    </w:p>
    <w:p w14:paraId="2EF12DF4">
      <w:pPr>
        <w:pStyle w:val="7"/>
        <w:spacing w:before="0" w:beforeAutospacing="0" w:after="0" w:afterAutospacing="0" w:line="360" w:lineRule="auto"/>
        <w:ind w:firstLine="420"/>
        <w:rPr>
          <w:sz w:val="21"/>
          <w:szCs w:val="21"/>
        </w:rPr>
      </w:pPr>
      <w:bookmarkStart w:id="53" w:name="field_0_trustcontrollawinfo_1_start"/>
      <w:bookmarkEnd w:id="53"/>
      <w:bookmarkStart w:id="54" w:name="chapter_level1_6_55_section_2"/>
      <w:bookmarkEnd w:id="54"/>
      <w:r>
        <w:rPr>
          <w:rFonts w:hint="eastAsia"/>
          <w:sz w:val="21"/>
          <w:szCs w:val="21"/>
        </w:rPr>
        <w:t xml:space="preserve">二、基金托管人的内部风险控制制度说明 </w:t>
      </w:r>
    </w:p>
    <w:p w14:paraId="0D8FC03B">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3CE1EA48">
      <w:pPr>
        <w:pStyle w:val="7"/>
        <w:spacing w:before="0" w:beforeAutospacing="0" w:after="0" w:afterAutospacing="0" w:line="360" w:lineRule="auto"/>
        <w:ind w:firstLine="420"/>
        <w:rPr>
          <w:sz w:val="21"/>
          <w:szCs w:val="21"/>
        </w:rPr>
      </w:pPr>
      <w:r>
        <w:rPr>
          <w:rFonts w:hint="eastAsia"/>
          <w:sz w:val="21"/>
          <w:szCs w:val="21"/>
        </w:rPr>
        <w:t xml:space="preserve">作为基金托管人，平安银行股份有限公司严格遵守国家有关托管业务的法律法规、行业监管要求，自觉形成守法经营、规范运作的经营理念和经营风格；确保基金财产的安全完整，确保有关信息的真实、准确、完整、及时，保护基金份额持有人的合法权益；确保内部控制和风险管理体系的有效性；防范和化解经营风险，确保业务的安全、稳健运行，促进经营目标的实现。 </w:t>
      </w:r>
    </w:p>
    <w:p w14:paraId="32F3150E">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14:paraId="633EB4AC">
      <w:pPr>
        <w:pStyle w:val="7"/>
        <w:spacing w:before="0" w:beforeAutospacing="0" w:after="0" w:afterAutospacing="0" w:line="360" w:lineRule="auto"/>
        <w:ind w:firstLine="420"/>
        <w:rPr>
          <w:sz w:val="21"/>
          <w:szCs w:val="21"/>
        </w:rPr>
      </w:pPr>
      <w:r>
        <w:rPr>
          <w:rFonts w:hint="eastAsia"/>
          <w:sz w:val="21"/>
          <w:szCs w:val="21"/>
        </w:rPr>
        <w:t xml:space="preserve">平安银行股份有限公司设有总行独立一级部门资产托管部，是全行资产托管业务的管理和运营部门，专门配备了专职内部监察稽核人员负责托管业务的内部控制和风险管理工作，具有独立行使监督稽核工作的职权和能力。 </w:t>
      </w:r>
    </w:p>
    <w:p w14:paraId="71BCDAE7">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14:paraId="512108D9">
      <w:pPr>
        <w:pStyle w:val="7"/>
        <w:spacing w:before="0" w:beforeAutospacing="0" w:after="0" w:afterAutospacing="0" w:line="360" w:lineRule="auto"/>
        <w:ind w:firstLine="420"/>
        <w:rPr>
          <w:sz w:val="21"/>
          <w:szCs w:val="21"/>
        </w:rPr>
      </w:pPr>
      <w:r>
        <w:rPr>
          <w:rFonts w:hint="eastAsia"/>
          <w:sz w:val="21"/>
          <w:szCs w:val="21"/>
        </w:rPr>
        <w:t xml:space="preserve">资产托管部具备系统、完善的制度控制体系，建立了管理制度、控制制度、岗位职责、业务操作流程，可以保证托管业务的规范操作和顺利进行；取得基金从业资格的人员符合监管要求；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2445D911">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2440BC2E">
      <w:pPr>
        <w:pStyle w:val="7"/>
        <w:spacing w:before="0" w:beforeAutospacing="0" w:after="0" w:afterAutospacing="0" w:line="360" w:lineRule="auto"/>
        <w:ind w:firstLine="420"/>
        <w:rPr>
          <w:sz w:val="21"/>
          <w:szCs w:val="21"/>
        </w:rPr>
      </w:pPr>
      <w:r>
        <w:rPr>
          <w:rFonts w:hint="eastAsia"/>
          <w:sz w:val="21"/>
          <w:szCs w:val="21"/>
        </w:rPr>
        <w:t xml:space="preserve">1、监督方法 </w:t>
      </w:r>
    </w:p>
    <w:p w14:paraId="68C9C68C">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行业普遍使用的“资产托管业务系统——监控子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 </w:t>
      </w:r>
    </w:p>
    <w:p w14:paraId="712F7687">
      <w:pPr>
        <w:pStyle w:val="7"/>
        <w:spacing w:before="0" w:beforeAutospacing="0" w:after="0" w:afterAutospacing="0" w:line="360" w:lineRule="auto"/>
        <w:ind w:firstLine="420"/>
        <w:rPr>
          <w:sz w:val="21"/>
          <w:szCs w:val="21"/>
        </w:rPr>
      </w:pPr>
      <w:r>
        <w:rPr>
          <w:rFonts w:hint="eastAsia"/>
          <w:sz w:val="21"/>
          <w:szCs w:val="21"/>
        </w:rPr>
        <w:t xml:space="preserve">2、监督流程 </w:t>
      </w:r>
    </w:p>
    <w:p w14:paraId="1F4946F4">
      <w:pPr>
        <w:pStyle w:val="7"/>
        <w:spacing w:before="0" w:beforeAutospacing="0" w:after="0" w:afterAutospacing="0" w:line="360" w:lineRule="auto"/>
        <w:ind w:firstLine="420"/>
        <w:rPr>
          <w:sz w:val="21"/>
          <w:szCs w:val="21"/>
        </w:rPr>
      </w:pPr>
      <w:r>
        <w:rPr>
          <w:rFonts w:hint="eastAsia"/>
          <w:sz w:val="21"/>
          <w:szCs w:val="21"/>
        </w:rPr>
        <w:t xml:space="preserve">（1）每工作日按时通过监控子系统，对各基金投资运作比例控制指标进行例行监控，发现投资比例超标等异常情况，向基金管理人发出书面通知，与基金管理人进行情况核实，督促其纠正，并及时报告中国证监会。 </w:t>
      </w:r>
    </w:p>
    <w:p w14:paraId="42E150BD">
      <w:pPr>
        <w:pStyle w:val="7"/>
        <w:spacing w:before="0" w:beforeAutospacing="0" w:after="0" w:afterAutospacing="0" w:line="360" w:lineRule="auto"/>
        <w:ind w:firstLine="420"/>
        <w:rPr>
          <w:sz w:val="21"/>
          <w:szCs w:val="21"/>
        </w:rPr>
      </w:pPr>
      <w:r>
        <w:rPr>
          <w:rFonts w:hint="eastAsia"/>
          <w:sz w:val="21"/>
          <w:szCs w:val="21"/>
        </w:rPr>
        <w:t xml:space="preserve">（2）收到基金管理人的投资指令后，对涉及各基金的投资范围、投资对象及交易对手等内容进行合法合规性监督。 </w:t>
      </w:r>
    </w:p>
    <w:p w14:paraId="0B48D145">
      <w:pPr>
        <w:pStyle w:val="7"/>
        <w:spacing w:before="0" w:beforeAutospacing="0" w:after="0" w:afterAutospacing="0" w:line="360" w:lineRule="auto"/>
        <w:ind w:firstLine="420"/>
        <w:rPr>
          <w:sz w:val="21"/>
          <w:szCs w:val="21"/>
        </w:rPr>
      </w:pPr>
      <w:r>
        <w:rPr>
          <w:rFonts w:hint="eastAsia"/>
          <w:sz w:val="21"/>
          <w:szCs w:val="21"/>
        </w:rPr>
        <w:t xml:space="preserve">（3）根据基金投资运作监督情况，定期编写基金投资运作监督报告，对各基金投资运作的合法合规性、投资独立性和风格显著性等方面进行评价，报送中国证监会。 </w:t>
      </w:r>
    </w:p>
    <w:p w14:paraId="70D36C77">
      <w:pPr>
        <w:pStyle w:val="7"/>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（4）通过技术或非技术手段发现基金涉嫌违规交易，电话或书面要求管理人进行解释</w:t>
      </w:r>
      <w:bookmarkStart w:id="55" w:name="chapter_level1_6_55_section_2_end"/>
      <w:bookmarkEnd w:id="55"/>
      <w:r>
        <w:rPr>
          <w:rFonts w:hint="eastAsia"/>
          <w:sz w:val="21"/>
          <w:szCs w:val="21"/>
        </w:rPr>
        <w:t xml:space="preserve">或举证，并及时报告中国证监会。 </w:t>
      </w:r>
      <w:bookmarkStart w:id="56" w:name="field_0_trustcontrollawinfo_1_end"/>
      <w:bookmarkEnd w:id="56"/>
      <w:r>
        <w:rPr>
          <w:rFonts w:hint="eastAsia"/>
          <w:sz w:val="21"/>
          <w:szCs w:val="21"/>
        </w:rPr>
        <w:t xml:space="preserve">  </w:t>
      </w:r>
    </w:p>
    <w:p w14:paraId="5CA6257F">
      <w:pPr>
        <w:widowControl/>
        <w:jc w:val="left"/>
        <w:rPr>
          <w:rFonts w:ascii="宋体" w:hAnsi="宋体" w:eastAsia="宋体"/>
        </w:rPr>
      </w:pPr>
      <w:r>
        <w:rPr>
          <w:rFonts w:ascii="宋体" w:hAnsi="宋体" w:eastAsia="宋体"/>
        </w:rPr>
        <w:br w:type="page"/>
      </w:r>
    </w:p>
    <w:p w14:paraId="6BEE3612">
      <w:pPr>
        <w:pStyle w:val="2"/>
        <w:jc w:val="center"/>
        <w:rPr>
          <w:rFonts w:ascii="宋体" w:hAnsi="宋体" w:eastAsia="宋体"/>
          <w:sz w:val="30"/>
        </w:rPr>
      </w:pPr>
      <w:bookmarkStart w:id="57" w:name="chapter_level1_7_56"/>
      <w:bookmarkStart w:id="58" w:name="_Toc207943815"/>
      <w:r>
        <w:rPr>
          <w:rFonts w:hint="eastAsia" w:ascii="宋体" w:hAnsi="宋体" w:eastAsia="宋体"/>
          <w:sz w:val="30"/>
        </w:rPr>
        <w:t>第五部分  相关服务机构</w:t>
      </w:r>
      <w:bookmarkEnd w:id="57"/>
      <w:bookmarkEnd w:id="58"/>
    </w:p>
    <w:p w14:paraId="230549B4">
      <w:pPr>
        <w:pStyle w:val="7"/>
        <w:spacing w:before="0" w:beforeAutospacing="0" w:after="0" w:afterAutospacing="0" w:line="360" w:lineRule="auto"/>
        <w:ind w:firstLine="420"/>
        <w:rPr>
          <w:sz w:val="21"/>
          <w:szCs w:val="21"/>
        </w:rPr>
      </w:pPr>
      <w:bookmarkStart w:id="59" w:name="chapter_level1_7_56_section_1"/>
      <w:bookmarkEnd w:id="59"/>
      <w:r>
        <w:rPr>
          <w:rFonts w:hint="eastAsia"/>
          <w:b/>
          <w:bCs/>
          <w:sz w:val="21"/>
          <w:szCs w:val="21"/>
        </w:rPr>
        <w:t>一、基金份额销售机构</w:t>
      </w:r>
    </w:p>
    <w:p w14:paraId="7A53A215">
      <w:pPr>
        <w:pStyle w:val="7"/>
        <w:spacing w:before="0" w:beforeAutospacing="0" w:after="0" w:afterAutospacing="0" w:line="360" w:lineRule="auto"/>
        <w:ind w:firstLine="420"/>
        <w:rPr>
          <w:sz w:val="21"/>
          <w:szCs w:val="21"/>
        </w:rPr>
      </w:pPr>
      <w:r>
        <w:rPr>
          <w:rFonts w:hint="eastAsia"/>
          <w:sz w:val="21"/>
          <w:szCs w:val="21"/>
        </w:rPr>
        <w:t xml:space="preserve">1、直销机构 </w:t>
      </w:r>
    </w:p>
    <w:p w14:paraId="0CDCC789">
      <w:pPr>
        <w:pStyle w:val="7"/>
        <w:spacing w:before="0" w:beforeAutospacing="0" w:after="0" w:afterAutospacing="0" w:line="360" w:lineRule="auto"/>
        <w:ind w:firstLine="420"/>
        <w:rPr>
          <w:sz w:val="21"/>
          <w:szCs w:val="21"/>
        </w:rPr>
      </w:pPr>
      <w:bookmarkStart w:id="60" w:name="field_0_marketcompanyinfo_1_start"/>
      <w:bookmarkEnd w:id="60"/>
      <w:r>
        <w:rPr>
          <w:rFonts w:hint="eastAsia"/>
          <w:sz w:val="21"/>
          <w:szCs w:val="21"/>
        </w:rPr>
        <w:t xml:space="preserve">名称：博时基金管理有限公司北京直销中心 </w:t>
      </w:r>
    </w:p>
    <w:p w14:paraId="59A8455C">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7660580">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14F8D6C">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37DF9680">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4DF7F2DC">
      <w:pPr>
        <w:pStyle w:val="7"/>
        <w:spacing w:before="0" w:beforeAutospacing="0" w:after="0" w:afterAutospacing="0" w:line="360" w:lineRule="auto"/>
        <w:ind w:firstLine="420"/>
        <w:rPr>
          <w:sz w:val="21"/>
          <w:szCs w:val="21"/>
        </w:rPr>
      </w:pPr>
      <w:bookmarkStart w:id="61" w:name="chapter_level1_7_56_section_1_end"/>
      <w:bookmarkEnd w:id="61"/>
      <w:r>
        <w:rPr>
          <w:rFonts w:hint="eastAsia"/>
          <w:sz w:val="21"/>
          <w:szCs w:val="21"/>
        </w:rPr>
        <w:t xml:space="preserve">博时一线通：95105568（免长途话费） </w:t>
      </w:r>
      <w:bookmarkStart w:id="62" w:name="field_0_marketcompanyinfo_1_end"/>
      <w:bookmarkEnd w:id="62"/>
      <w:r>
        <w:rPr>
          <w:rFonts w:hint="eastAsia"/>
          <w:sz w:val="21"/>
          <w:szCs w:val="21"/>
        </w:rPr>
        <w:t xml:space="preserve">  </w:t>
      </w:r>
    </w:p>
    <w:p w14:paraId="3C60A117">
      <w:pPr>
        <w:pStyle w:val="7"/>
        <w:spacing w:before="0" w:beforeAutospacing="0" w:after="0" w:afterAutospacing="0" w:line="360" w:lineRule="auto"/>
        <w:ind w:firstLine="420"/>
        <w:rPr>
          <w:sz w:val="21"/>
          <w:szCs w:val="21"/>
        </w:rPr>
      </w:pPr>
      <w:bookmarkStart w:id="63" w:name="chapter_level1_7_56_section_2"/>
      <w:bookmarkEnd w:id="63"/>
      <w:r>
        <w:rPr>
          <w:rFonts w:hint="eastAsia"/>
          <w:sz w:val="21"/>
          <w:szCs w:val="21"/>
        </w:rPr>
        <w:t xml:space="preserve">2、代销机构 </w:t>
      </w:r>
    </w:p>
    <w:p w14:paraId="32BBEBCF">
      <w:pPr>
        <w:pStyle w:val="7"/>
        <w:spacing w:before="0" w:beforeAutospacing="0" w:after="0" w:afterAutospacing="0" w:line="360" w:lineRule="auto"/>
        <w:ind w:firstLine="420"/>
        <w:rPr>
          <w:sz w:val="21"/>
          <w:szCs w:val="21"/>
        </w:rPr>
      </w:pPr>
      <w:bookmarkStart w:id="64" w:name="field_0_allproxysaletables_1_start"/>
      <w:bookmarkEnd w:id="64"/>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C44D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FF58D">
            <w:pPr>
              <w:pStyle w:val="7"/>
            </w:pPr>
            <w:r>
              <w:rPr>
                <w:rFonts w:hint="eastAsia"/>
              </w:rPr>
              <w:t xml:space="preserve">注册地址： </w:t>
            </w:r>
          </w:p>
        </w:tc>
        <w:tc>
          <w:tcPr>
            <w:tcW w:w="7440" w:type="dxa"/>
            <w:shd w:val="clear" w:color="auto" w:fill="auto"/>
          </w:tcPr>
          <w:p w14:paraId="0B5576E5">
            <w:pPr>
              <w:pStyle w:val="7"/>
            </w:pPr>
            <w:r>
              <w:rPr>
                <w:rFonts w:hint="eastAsia"/>
              </w:rPr>
              <w:t xml:space="preserve">北京市西城区金融大街3号 </w:t>
            </w:r>
          </w:p>
        </w:tc>
      </w:tr>
      <w:tr w14:paraId="2B53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5E2C4">
            <w:pPr>
              <w:pStyle w:val="7"/>
            </w:pPr>
            <w:r>
              <w:rPr>
                <w:rFonts w:hint="eastAsia"/>
              </w:rPr>
              <w:t xml:space="preserve">办公地址： </w:t>
            </w:r>
          </w:p>
        </w:tc>
        <w:tc>
          <w:tcPr>
            <w:tcW w:w="7440" w:type="dxa"/>
            <w:shd w:val="clear" w:color="auto" w:fill="auto"/>
          </w:tcPr>
          <w:p w14:paraId="6E3DF1CB">
            <w:pPr>
              <w:pStyle w:val="7"/>
            </w:pPr>
            <w:r>
              <w:rPr>
                <w:rFonts w:hint="eastAsia"/>
              </w:rPr>
              <w:t xml:space="preserve">北京市西城区金融大街3号 </w:t>
            </w:r>
          </w:p>
        </w:tc>
      </w:tr>
      <w:tr w14:paraId="50A4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C230F">
            <w:pPr>
              <w:pStyle w:val="7"/>
            </w:pPr>
            <w:r>
              <w:rPr>
                <w:rFonts w:hint="eastAsia"/>
              </w:rPr>
              <w:t xml:space="preserve">法定代表人： </w:t>
            </w:r>
          </w:p>
        </w:tc>
        <w:tc>
          <w:tcPr>
            <w:tcW w:w="7440" w:type="dxa"/>
            <w:shd w:val="clear" w:color="auto" w:fill="auto"/>
          </w:tcPr>
          <w:p w14:paraId="0B01BFD4">
            <w:pPr>
              <w:pStyle w:val="7"/>
            </w:pPr>
            <w:r>
              <w:rPr>
                <w:rFonts w:hint="eastAsia"/>
              </w:rPr>
              <w:t xml:space="preserve">张金良 </w:t>
            </w:r>
          </w:p>
        </w:tc>
      </w:tr>
      <w:tr w14:paraId="7F6C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96390">
            <w:pPr>
              <w:pStyle w:val="7"/>
            </w:pPr>
            <w:r>
              <w:rPr>
                <w:rFonts w:hint="eastAsia"/>
              </w:rPr>
              <w:t xml:space="preserve">传真： </w:t>
            </w:r>
          </w:p>
        </w:tc>
        <w:tc>
          <w:tcPr>
            <w:tcW w:w="7440" w:type="dxa"/>
            <w:shd w:val="clear" w:color="auto" w:fill="auto"/>
          </w:tcPr>
          <w:p w14:paraId="2C8BD4B0">
            <w:pPr>
              <w:pStyle w:val="7"/>
            </w:pPr>
            <w:r>
              <w:rPr>
                <w:rFonts w:hint="eastAsia"/>
              </w:rPr>
              <w:t xml:space="preserve">010－68858117 </w:t>
            </w:r>
          </w:p>
        </w:tc>
      </w:tr>
      <w:tr w14:paraId="2350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152EF">
            <w:pPr>
              <w:pStyle w:val="7"/>
            </w:pPr>
            <w:r>
              <w:rPr>
                <w:rFonts w:hint="eastAsia"/>
              </w:rPr>
              <w:t xml:space="preserve">客户服务电话： </w:t>
            </w:r>
          </w:p>
        </w:tc>
        <w:tc>
          <w:tcPr>
            <w:tcW w:w="7440" w:type="dxa"/>
            <w:shd w:val="clear" w:color="auto" w:fill="auto"/>
          </w:tcPr>
          <w:p w14:paraId="359C02E9">
            <w:pPr>
              <w:pStyle w:val="7"/>
            </w:pPr>
            <w:r>
              <w:rPr>
                <w:rFonts w:hint="eastAsia"/>
              </w:rPr>
              <w:t xml:space="preserve">95580 </w:t>
            </w:r>
          </w:p>
        </w:tc>
      </w:tr>
      <w:tr w14:paraId="6BE7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76F3D">
            <w:pPr>
              <w:pStyle w:val="7"/>
            </w:pPr>
            <w:r>
              <w:rPr>
                <w:rFonts w:hint="eastAsia"/>
              </w:rPr>
              <w:t xml:space="preserve">网址： </w:t>
            </w:r>
          </w:p>
        </w:tc>
        <w:tc>
          <w:tcPr>
            <w:tcW w:w="7440" w:type="dxa"/>
            <w:shd w:val="clear" w:color="auto" w:fill="auto"/>
          </w:tcPr>
          <w:p w14:paraId="10C23C93">
            <w:pPr>
              <w:pStyle w:val="7"/>
            </w:pPr>
            <w:r>
              <w:rPr>
                <w:rFonts w:hint="eastAsia"/>
              </w:rPr>
              <w:t xml:space="preserve">http://www.psbc.com </w:t>
            </w:r>
          </w:p>
        </w:tc>
      </w:tr>
    </w:tbl>
    <w:p w14:paraId="3B56141B">
      <w:pPr>
        <w:pStyle w:val="7"/>
        <w:spacing w:before="0" w:beforeAutospacing="0" w:after="0" w:afterAutospacing="0" w:line="360" w:lineRule="auto"/>
        <w:ind w:firstLine="420"/>
        <w:rPr>
          <w:sz w:val="21"/>
          <w:szCs w:val="21"/>
        </w:rPr>
      </w:pPr>
      <w:r>
        <w:rPr>
          <w:rFonts w:hint="eastAsia"/>
          <w:b/>
          <w:bCs/>
          <w:sz w:val="21"/>
          <w:szCs w:val="21"/>
        </w:rPr>
        <w:t>(2)博时财富基金销售有限公司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8EC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E2A9A">
            <w:pPr>
              <w:pStyle w:val="7"/>
            </w:pPr>
            <w:r>
              <w:rPr>
                <w:rFonts w:hint="eastAsia"/>
              </w:rPr>
              <w:t xml:space="preserve">注册地址： </w:t>
            </w:r>
          </w:p>
        </w:tc>
        <w:tc>
          <w:tcPr>
            <w:tcW w:w="7440" w:type="dxa"/>
            <w:shd w:val="clear" w:color="auto" w:fill="auto"/>
          </w:tcPr>
          <w:p w14:paraId="3CC9B482">
            <w:pPr>
              <w:pStyle w:val="7"/>
            </w:pPr>
            <w:r>
              <w:rPr>
                <w:rFonts w:hint="eastAsia"/>
              </w:rPr>
              <w:t xml:space="preserve">广东省深圳市福田区莲花街道福新社区益田路5999号基金大厦19层 </w:t>
            </w:r>
          </w:p>
        </w:tc>
      </w:tr>
      <w:tr w14:paraId="3BB36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5FEBA">
            <w:pPr>
              <w:pStyle w:val="7"/>
            </w:pPr>
            <w:r>
              <w:rPr>
                <w:rFonts w:hint="eastAsia"/>
              </w:rPr>
              <w:t xml:space="preserve">办公地址： </w:t>
            </w:r>
          </w:p>
        </w:tc>
        <w:tc>
          <w:tcPr>
            <w:tcW w:w="7440" w:type="dxa"/>
            <w:shd w:val="clear" w:color="auto" w:fill="auto"/>
          </w:tcPr>
          <w:p w14:paraId="500ACDAD">
            <w:pPr>
              <w:pStyle w:val="7"/>
            </w:pPr>
            <w:r>
              <w:rPr>
                <w:rFonts w:hint="eastAsia"/>
              </w:rPr>
              <w:t xml:space="preserve">广东省深圳市福田区莲花街道福新社区益田路5999号基金大厦19层 </w:t>
            </w:r>
          </w:p>
        </w:tc>
      </w:tr>
      <w:tr w14:paraId="7410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22074">
            <w:pPr>
              <w:pStyle w:val="7"/>
            </w:pPr>
            <w:r>
              <w:rPr>
                <w:rFonts w:hint="eastAsia"/>
              </w:rPr>
              <w:t xml:space="preserve">法定代表人： </w:t>
            </w:r>
          </w:p>
        </w:tc>
        <w:tc>
          <w:tcPr>
            <w:tcW w:w="7440" w:type="dxa"/>
            <w:shd w:val="clear" w:color="auto" w:fill="auto"/>
          </w:tcPr>
          <w:p w14:paraId="72795218">
            <w:pPr>
              <w:pStyle w:val="7"/>
            </w:pPr>
            <w:r>
              <w:rPr>
                <w:rFonts w:hint="eastAsia"/>
              </w:rPr>
              <w:t xml:space="preserve">王德英 </w:t>
            </w:r>
          </w:p>
        </w:tc>
      </w:tr>
      <w:tr w14:paraId="7474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316CB">
            <w:pPr>
              <w:pStyle w:val="7"/>
            </w:pPr>
            <w:r>
              <w:rPr>
                <w:rFonts w:hint="eastAsia"/>
              </w:rPr>
              <w:t xml:space="preserve">联系人： </w:t>
            </w:r>
          </w:p>
        </w:tc>
        <w:tc>
          <w:tcPr>
            <w:tcW w:w="7440" w:type="dxa"/>
            <w:shd w:val="clear" w:color="auto" w:fill="auto"/>
          </w:tcPr>
          <w:p w14:paraId="556C6873">
            <w:pPr>
              <w:pStyle w:val="7"/>
            </w:pPr>
            <w:r>
              <w:rPr>
                <w:rFonts w:hint="eastAsia"/>
              </w:rPr>
              <w:t xml:space="preserve">崔丹 </w:t>
            </w:r>
          </w:p>
        </w:tc>
      </w:tr>
      <w:tr w14:paraId="76FF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7F38F">
            <w:pPr>
              <w:pStyle w:val="7"/>
            </w:pPr>
            <w:r>
              <w:rPr>
                <w:rFonts w:hint="eastAsia"/>
              </w:rPr>
              <w:t xml:space="preserve">电话： </w:t>
            </w:r>
          </w:p>
        </w:tc>
        <w:tc>
          <w:tcPr>
            <w:tcW w:w="7440" w:type="dxa"/>
            <w:shd w:val="clear" w:color="auto" w:fill="auto"/>
          </w:tcPr>
          <w:p w14:paraId="6BA064B2">
            <w:pPr>
              <w:pStyle w:val="7"/>
            </w:pPr>
            <w:r>
              <w:rPr>
                <w:rFonts w:hint="eastAsia"/>
              </w:rPr>
              <w:t xml:space="preserve">0755-83169999 </w:t>
            </w:r>
          </w:p>
        </w:tc>
      </w:tr>
      <w:tr w14:paraId="6DB5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97F39">
            <w:pPr>
              <w:pStyle w:val="7"/>
            </w:pPr>
            <w:r>
              <w:rPr>
                <w:rFonts w:hint="eastAsia"/>
              </w:rPr>
              <w:t xml:space="preserve">传真： </w:t>
            </w:r>
          </w:p>
        </w:tc>
        <w:tc>
          <w:tcPr>
            <w:tcW w:w="7440" w:type="dxa"/>
            <w:shd w:val="clear" w:color="auto" w:fill="auto"/>
          </w:tcPr>
          <w:p w14:paraId="41851A5B">
            <w:pPr>
              <w:pStyle w:val="7"/>
            </w:pPr>
            <w:r>
              <w:rPr>
                <w:rFonts w:hint="eastAsia"/>
              </w:rPr>
              <w:t xml:space="preserve">0755-83195220 </w:t>
            </w:r>
          </w:p>
        </w:tc>
      </w:tr>
      <w:tr w14:paraId="4628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8260B">
            <w:pPr>
              <w:pStyle w:val="7"/>
            </w:pPr>
            <w:r>
              <w:rPr>
                <w:rFonts w:hint="eastAsia"/>
              </w:rPr>
              <w:t xml:space="preserve">客户服务电话： </w:t>
            </w:r>
          </w:p>
        </w:tc>
        <w:tc>
          <w:tcPr>
            <w:tcW w:w="7440" w:type="dxa"/>
            <w:shd w:val="clear" w:color="auto" w:fill="auto"/>
          </w:tcPr>
          <w:p w14:paraId="511B7FBC">
            <w:pPr>
              <w:pStyle w:val="7"/>
            </w:pPr>
            <w:r>
              <w:rPr>
                <w:rFonts w:hint="eastAsia"/>
              </w:rPr>
              <w:t xml:space="preserve">400-610-5568 </w:t>
            </w:r>
          </w:p>
        </w:tc>
      </w:tr>
      <w:tr w14:paraId="73A3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42B38">
            <w:pPr>
              <w:pStyle w:val="7"/>
            </w:pPr>
            <w:r>
              <w:rPr>
                <w:rFonts w:hint="eastAsia"/>
              </w:rPr>
              <w:t xml:space="preserve">网址： </w:t>
            </w:r>
          </w:p>
        </w:tc>
        <w:tc>
          <w:tcPr>
            <w:tcW w:w="7440" w:type="dxa"/>
            <w:shd w:val="clear" w:color="auto" w:fill="auto"/>
          </w:tcPr>
          <w:p w14:paraId="413B6935">
            <w:pPr>
              <w:pStyle w:val="7"/>
            </w:pPr>
            <w:r>
              <w:rPr>
                <w:rFonts w:hint="eastAsia"/>
              </w:rPr>
              <w:t xml:space="preserve">www.boserawealth.com </w:t>
            </w:r>
          </w:p>
        </w:tc>
      </w:tr>
    </w:tbl>
    <w:p w14:paraId="21F0BDEE">
      <w:pPr>
        <w:pStyle w:val="7"/>
        <w:spacing w:before="0" w:beforeAutospacing="0" w:after="0" w:afterAutospacing="0" w:line="360" w:lineRule="auto"/>
        <w:ind w:firstLine="420"/>
        <w:rPr>
          <w:sz w:val="21"/>
          <w:szCs w:val="21"/>
        </w:rPr>
      </w:pPr>
      <w:r>
        <w:rPr>
          <w:rFonts w:hint="eastAsia"/>
          <w:b/>
          <w:bCs/>
          <w:sz w:val="21"/>
          <w:szCs w:val="21"/>
        </w:rPr>
        <w:t>(3)上海天天基金销售有限公司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152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E098F">
            <w:pPr>
              <w:pStyle w:val="7"/>
            </w:pPr>
            <w:r>
              <w:rPr>
                <w:rFonts w:hint="eastAsia"/>
              </w:rPr>
              <w:t xml:space="preserve">注册地址： </w:t>
            </w:r>
          </w:p>
        </w:tc>
        <w:tc>
          <w:tcPr>
            <w:tcW w:w="7440" w:type="dxa"/>
            <w:shd w:val="clear" w:color="auto" w:fill="auto"/>
          </w:tcPr>
          <w:p w14:paraId="4C028DDA">
            <w:pPr>
              <w:pStyle w:val="7"/>
            </w:pPr>
            <w:r>
              <w:rPr>
                <w:rFonts w:hint="eastAsia"/>
              </w:rPr>
              <w:t xml:space="preserve">上海市徐汇区龙田路190号2号楼2层 </w:t>
            </w:r>
          </w:p>
        </w:tc>
      </w:tr>
      <w:tr w14:paraId="12B5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BD95F">
            <w:pPr>
              <w:pStyle w:val="7"/>
            </w:pPr>
            <w:r>
              <w:rPr>
                <w:rFonts w:hint="eastAsia"/>
              </w:rPr>
              <w:t xml:space="preserve">办公地址： </w:t>
            </w:r>
          </w:p>
        </w:tc>
        <w:tc>
          <w:tcPr>
            <w:tcW w:w="7440" w:type="dxa"/>
            <w:shd w:val="clear" w:color="auto" w:fill="auto"/>
          </w:tcPr>
          <w:p w14:paraId="5368DDC2">
            <w:pPr>
              <w:pStyle w:val="7"/>
            </w:pPr>
            <w:r>
              <w:rPr>
                <w:rFonts w:hint="eastAsia"/>
              </w:rPr>
              <w:t xml:space="preserve">上海市徐汇区龙田路195号3C座9楼 </w:t>
            </w:r>
          </w:p>
        </w:tc>
      </w:tr>
      <w:tr w14:paraId="3415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E6E52">
            <w:pPr>
              <w:pStyle w:val="7"/>
            </w:pPr>
            <w:r>
              <w:rPr>
                <w:rFonts w:hint="eastAsia"/>
              </w:rPr>
              <w:t xml:space="preserve">法定代表人： </w:t>
            </w:r>
          </w:p>
        </w:tc>
        <w:tc>
          <w:tcPr>
            <w:tcW w:w="7440" w:type="dxa"/>
            <w:shd w:val="clear" w:color="auto" w:fill="auto"/>
          </w:tcPr>
          <w:p w14:paraId="280A9875">
            <w:pPr>
              <w:pStyle w:val="7"/>
            </w:pPr>
            <w:r>
              <w:rPr>
                <w:rFonts w:hint="eastAsia"/>
              </w:rPr>
              <w:t xml:space="preserve">其实 </w:t>
            </w:r>
          </w:p>
        </w:tc>
      </w:tr>
      <w:tr w14:paraId="0E54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68657">
            <w:pPr>
              <w:pStyle w:val="7"/>
            </w:pPr>
            <w:r>
              <w:rPr>
                <w:rFonts w:hint="eastAsia"/>
              </w:rPr>
              <w:t xml:space="preserve">联系人： </w:t>
            </w:r>
          </w:p>
        </w:tc>
        <w:tc>
          <w:tcPr>
            <w:tcW w:w="7440" w:type="dxa"/>
            <w:shd w:val="clear" w:color="auto" w:fill="auto"/>
          </w:tcPr>
          <w:p w14:paraId="24C60530">
            <w:pPr>
              <w:pStyle w:val="7"/>
            </w:pPr>
            <w:r>
              <w:rPr>
                <w:rFonts w:hint="eastAsia"/>
              </w:rPr>
              <w:t xml:space="preserve">潘世友 </w:t>
            </w:r>
          </w:p>
        </w:tc>
      </w:tr>
      <w:tr w14:paraId="061C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69655">
            <w:pPr>
              <w:pStyle w:val="7"/>
            </w:pPr>
            <w:r>
              <w:rPr>
                <w:rFonts w:hint="eastAsia"/>
              </w:rPr>
              <w:t xml:space="preserve">电话： </w:t>
            </w:r>
          </w:p>
        </w:tc>
        <w:tc>
          <w:tcPr>
            <w:tcW w:w="7440" w:type="dxa"/>
            <w:shd w:val="clear" w:color="auto" w:fill="auto"/>
          </w:tcPr>
          <w:p w14:paraId="3DE8EC20">
            <w:pPr>
              <w:pStyle w:val="7"/>
            </w:pPr>
            <w:r>
              <w:rPr>
                <w:rFonts w:hint="eastAsia"/>
              </w:rPr>
              <w:t xml:space="preserve">021-54509998 </w:t>
            </w:r>
          </w:p>
        </w:tc>
      </w:tr>
      <w:tr w14:paraId="34B7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25C10">
            <w:pPr>
              <w:pStyle w:val="7"/>
            </w:pPr>
            <w:r>
              <w:rPr>
                <w:rFonts w:hint="eastAsia"/>
              </w:rPr>
              <w:t xml:space="preserve">传真： </w:t>
            </w:r>
          </w:p>
        </w:tc>
        <w:tc>
          <w:tcPr>
            <w:tcW w:w="7440" w:type="dxa"/>
            <w:shd w:val="clear" w:color="auto" w:fill="auto"/>
          </w:tcPr>
          <w:p w14:paraId="63DD4CE8">
            <w:pPr>
              <w:pStyle w:val="7"/>
            </w:pPr>
            <w:r>
              <w:rPr>
                <w:rFonts w:hint="eastAsia"/>
              </w:rPr>
              <w:t xml:space="preserve">021-64385308 </w:t>
            </w:r>
          </w:p>
        </w:tc>
      </w:tr>
      <w:tr w14:paraId="651C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7FF29">
            <w:pPr>
              <w:pStyle w:val="7"/>
            </w:pPr>
            <w:r>
              <w:rPr>
                <w:rFonts w:hint="eastAsia"/>
              </w:rPr>
              <w:t xml:space="preserve">客户服务电话： </w:t>
            </w:r>
          </w:p>
        </w:tc>
        <w:tc>
          <w:tcPr>
            <w:tcW w:w="7440" w:type="dxa"/>
            <w:shd w:val="clear" w:color="auto" w:fill="auto"/>
          </w:tcPr>
          <w:p w14:paraId="525797C1">
            <w:pPr>
              <w:pStyle w:val="7"/>
            </w:pPr>
            <w:r>
              <w:rPr>
                <w:rFonts w:hint="eastAsia"/>
              </w:rPr>
              <w:t xml:space="preserve">400-181-8188 </w:t>
            </w:r>
          </w:p>
        </w:tc>
      </w:tr>
      <w:tr w14:paraId="5832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0471F">
            <w:pPr>
              <w:pStyle w:val="7"/>
            </w:pPr>
            <w:r>
              <w:rPr>
                <w:rFonts w:hint="eastAsia"/>
              </w:rPr>
              <w:t xml:space="preserve">网址： </w:t>
            </w:r>
          </w:p>
        </w:tc>
        <w:tc>
          <w:tcPr>
            <w:tcW w:w="7440" w:type="dxa"/>
            <w:shd w:val="clear" w:color="auto" w:fill="auto"/>
          </w:tcPr>
          <w:p w14:paraId="0EF0A686">
            <w:pPr>
              <w:pStyle w:val="7"/>
            </w:pPr>
            <w:r>
              <w:rPr>
                <w:rFonts w:hint="eastAsia"/>
              </w:rPr>
              <w:t xml:space="preserve">http://www.1234567.com.cn </w:t>
            </w:r>
          </w:p>
        </w:tc>
      </w:tr>
    </w:tbl>
    <w:p w14:paraId="3CD90EBB">
      <w:pPr>
        <w:pStyle w:val="7"/>
        <w:spacing w:before="0" w:beforeAutospacing="0" w:after="0" w:afterAutospacing="0" w:line="360" w:lineRule="auto"/>
        <w:ind w:firstLine="420"/>
        <w:rPr>
          <w:sz w:val="21"/>
          <w:szCs w:val="21"/>
        </w:rPr>
      </w:pPr>
      <w:r>
        <w:rPr>
          <w:rFonts w:hint="eastAsia"/>
          <w:b/>
          <w:bCs/>
          <w:sz w:val="21"/>
          <w:szCs w:val="21"/>
        </w:rPr>
        <w:t>(4)上海基煜基金销售有限公司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D1A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30EC0">
            <w:pPr>
              <w:pStyle w:val="7"/>
            </w:pPr>
            <w:r>
              <w:rPr>
                <w:rFonts w:hint="eastAsia"/>
              </w:rPr>
              <w:t xml:space="preserve">注册地址： </w:t>
            </w:r>
          </w:p>
        </w:tc>
        <w:tc>
          <w:tcPr>
            <w:tcW w:w="7440" w:type="dxa"/>
            <w:shd w:val="clear" w:color="auto" w:fill="auto"/>
          </w:tcPr>
          <w:p w14:paraId="53209850">
            <w:pPr>
              <w:pStyle w:val="7"/>
            </w:pPr>
            <w:r>
              <w:rPr>
                <w:rFonts w:hint="eastAsia"/>
              </w:rPr>
              <w:t xml:space="preserve">上海市黄浦区广东路500号30层3001单元 </w:t>
            </w:r>
          </w:p>
        </w:tc>
      </w:tr>
      <w:tr w14:paraId="25DB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2511C">
            <w:pPr>
              <w:pStyle w:val="7"/>
            </w:pPr>
            <w:r>
              <w:rPr>
                <w:rFonts w:hint="eastAsia"/>
              </w:rPr>
              <w:t xml:space="preserve">办公地址： </w:t>
            </w:r>
          </w:p>
        </w:tc>
        <w:tc>
          <w:tcPr>
            <w:tcW w:w="7440" w:type="dxa"/>
            <w:shd w:val="clear" w:color="auto" w:fill="auto"/>
          </w:tcPr>
          <w:p w14:paraId="019CBA39">
            <w:pPr>
              <w:pStyle w:val="7"/>
            </w:pPr>
            <w:r>
              <w:rPr>
                <w:rFonts w:hint="eastAsia"/>
              </w:rPr>
              <w:t xml:space="preserve">上海市浦东新区银城中路488号太平金融大厦1503室 </w:t>
            </w:r>
          </w:p>
        </w:tc>
      </w:tr>
      <w:tr w14:paraId="459E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CD988">
            <w:pPr>
              <w:pStyle w:val="7"/>
            </w:pPr>
            <w:r>
              <w:rPr>
                <w:rFonts w:hint="eastAsia"/>
              </w:rPr>
              <w:t xml:space="preserve">法定代表人： </w:t>
            </w:r>
          </w:p>
        </w:tc>
        <w:tc>
          <w:tcPr>
            <w:tcW w:w="7440" w:type="dxa"/>
            <w:shd w:val="clear" w:color="auto" w:fill="auto"/>
          </w:tcPr>
          <w:p w14:paraId="69432AFA">
            <w:pPr>
              <w:pStyle w:val="7"/>
            </w:pPr>
            <w:r>
              <w:rPr>
                <w:rFonts w:hint="eastAsia"/>
              </w:rPr>
              <w:t xml:space="preserve">王翔  </w:t>
            </w:r>
          </w:p>
        </w:tc>
      </w:tr>
      <w:tr w14:paraId="38DA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C3B26">
            <w:pPr>
              <w:pStyle w:val="7"/>
            </w:pPr>
            <w:r>
              <w:rPr>
                <w:rFonts w:hint="eastAsia"/>
              </w:rPr>
              <w:t xml:space="preserve">联系人： </w:t>
            </w:r>
          </w:p>
        </w:tc>
        <w:tc>
          <w:tcPr>
            <w:tcW w:w="7440" w:type="dxa"/>
            <w:shd w:val="clear" w:color="auto" w:fill="auto"/>
          </w:tcPr>
          <w:p w14:paraId="46C1D84A">
            <w:pPr>
              <w:pStyle w:val="7"/>
            </w:pPr>
            <w:r>
              <w:rPr>
                <w:rFonts w:hint="eastAsia"/>
              </w:rPr>
              <w:t xml:space="preserve">蓝杰 </w:t>
            </w:r>
          </w:p>
        </w:tc>
      </w:tr>
      <w:tr w14:paraId="6BC5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69DE4">
            <w:pPr>
              <w:pStyle w:val="7"/>
            </w:pPr>
            <w:r>
              <w:rPr>
                <w:rFonts w:hint="eastAsia"/>
              </w:rPr>
              <w:t xml:space="preserve">电话： </w:t>
            </w:r>
          </w:p>
        </w:tc>
        <w:tc>
          <w:tcPr>
            <w:tcW w:w="7440" w:type="dxa"/>
            <w:shd w:val="clear" w:color="auto" w:fill="auto"/>
          </w:tcPr>
          <w:p w14:paraId="6810B122">
            <w:pPr>
              <w:pStyle w:val="7"/>
            </w:pPr>
            <w:r>
              <w:rPr>
                <w:rFonts w:hint="eastAsia"/>
              </w:rPr>
              <w:t xml:space="preserve">021-65370077 </w:t>
            </w:r>
          </w:p>
        </w:tc>
      </w:tr>
      <w:tr w14:paraId="4E70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DCDB7">
            <w:pPr>
              <w:pStyle w:val="7"/>
            </w:pPr>
            <w:r>
              <w:rPr>
                <w:rFonts w:hint="eastAsia"/>
              </w:rPr>
              <w:t xml:space="preserve">传真： </w:t>
            </w:r>
          </w:p>
        </w:tc>
        <w:tc>
          <w:tcPr>
            <w:tcW w:w="7440" w:type="dxa"/>
            <w:shd w:val="clear" w:color="auto" w:fill="auto"/>
          </w:tcPr>
          <w:p w14:paraId="7AABC0D4">
            <w:pPr>
              <w:pStyle w:val="7"/>
            </w:pPr>
            <w:r>
              <w:rPr>
                <w:rFonts w:hint="eastAsia"/>
              </w:rPr>
              <w:t xml:space="preserve">021-55085991 </w:t>
            </w:r>
          </w:p>
        </w:tc>
      </w:tr>
      <w:tr w14:paraId="222C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08C1E">
            <w:pPr>
              <w:pStyle w:val="7"/>
            </w:pPr>
            <w:r>
              <w:rPr>
                <w:rFonts w:hint="eastAsia"/>
              </w:rPr>
              <w:t xml:space="preserve">客户服务电话： </w:t>
            </w:r>
          </w:p>
        </w:tc>
        <w:tc>
          <w:tcPr>
            <w:tcW w:w="7440" w:type="dxa"/>
            <w:shd w:val="clear" w:color="auto" w:fill="auto"/>
          </w:tcPr>
          <w:p w14:paraId="73EE9303">
            <w:pPr>
              <w:pStyle w:val="7"/>
            </w:pPr>
            <w:r>
              <w:rPr>
                <w:rFonts w:hint="eastAsia"/>
              </w:rPr>
              <w:t xml:space="preserve">400-820-5369 </w:t>
            </w:r>
          </w:p>
        </w:tc>
      </w:tr>
      <w:tr w14:paraId="0EFA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FD1A9">
            <w:pPr>
              <w:pStyle w:val="7"/>
            </w:pPr>
            <w:r>
              <w:rPr>
                <w:rFonts w:hint="eastAsia"/>
              </w:rPr>
              <w:t xml:space="preserve">网址： </w:t>
            </w:r>
          </w:p>
        </w:tc>
        <w:tc>
          <w:tcPr>
            <w:tcW w:w="7440" w:type="dxa"/>
            <w:shd w:val="clear" w:color="auto" w:fill="auto"/>
          </w:tcPr>
          <w:p w14:paraId="4486B760">
            <w:pPr>
              <w:pStyle w:val="7"/>
            </w:pPr>
            <w:r>
              <w:rPr>
                <w:rFonts w:hint="eastAsia"/>
              </w:rPr>
              <w:t xml:space="preserve">www.jiyufund.com.cn </w:t>
            </w:r>
          </w:p>
        </w:tc>
      </w:tr>
    </w:tbl>
    <w:p w14:paraId="6BEA2D65">
      <w:pPr>
        <w:pStyle w:val="7"/>
        <w:spacing w:before="0" w:beforeAutospacing="0" w:after="0" w:afterAutospacing="0" w:line="360" w:lineRule="auto"/>
        <w:ind w:firstLine="420"/>
        <w:rPr>
          <w:sz w:val="21"/>
          <w:szCs w:val="21"/>
        </w:rPr>
      </w:pPr>
      <w:r>
        <w:rPr>
          <w:rFonts w:hint="eastAsia"/>
          <w:b/>
          <w:bCs/>
          <w:sz w:val="21"/>
          <w:szCs w:val="21"/>
        </w:rPr>
        <w:t>(5)国信证券股份有限公司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62D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4E07A">
            <w:pPr>
              <w:pStyle w:val="7"/>
            </w:pPr>
            <w:r>
              <w:rPr>
                <w:rFonts w:hint="eastAsia"/>
              </w:rPr>
              <w:t xml:space="preserve">注册地址： </w:t>
            </w:r>
          </w:p>
        </w:tc>
        <w:tc>
          <w:tcPr>
            <w:tcW w:w="7440" w:type="dxa"/>
            <w:shd w:val="clear" w:color="auto" w:fill="auto"/>
          </w:tcPr>
          <w:p w14:paraId="4161FD43">
            <w:pPr>
              <w:pStyle w:val="7"/>
            </w:pPr>
            <w:r>
              <w:rPr>
                <w:rFonts w:hint="eastAsia"/>
              </w:rPr>
              <w:t xml:space="preserve">深圳市罗湖区红岭中路1012号国信证券大厦十六层至二十六层 </w:t>
            </w:r>
          </w:p>
        </w:tc>
      </w:tr>
      <w:tr w14:paraId="092DA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9804B">
            <w:pPr>
              <w:pStyle w:val="7"/>
            </w:pPr>
            <w:r>
              <w:rPr>
                <w:rFonts w:hint="eastAsia"/>
              </w:rPr>
              <w:t xml:space="preserve">办公地址： </w:t>
            </w:r>
          </w:p>
        </w:tc>
        <w:tc>
          <w:tcPr>
            <w:tcW w:w="7440" w:type="dxa"/>
            <w:shd w:val="clear" w:color="auto" w:fill="auto"/>
          </w:tcPr>
          <w:p w14:paraId="7D4B9175">
            <w:pPr>
              <w:pStyle w:val="7"/>
            </w:pPr>
            <w:r>
              <w:rPr>
                <w:rFonts w:hint="eastAsia"/>
              </w:rPr>
              <w:t xml:space="preserve">深圳市福田区福华一路125号国信金融大厦37楼  </w:t>
            </w:r>
          </w:p>
        </w:tc>
      </w:tr>
      <w:tr w14:paraId="60E89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C3E8A">
            <w:pPr>
              <w:pStyle w:val="7"/>
            </w:pPr>
            <w:r>
              <w:rPr>
                <w:rFonts w:hint="eastAsia"/>
              </w:rPr>
              <w:t xml:space="preserve">法定代表人： </w:t>
            </w:r>
          </w:p>
        </w:tc>
        <w:tc>
          <w:tcPr>
            <w:tcW w:w="7440" w:type="dxa"/>
            <w:shd w:val="clear" w:color="auto" w:fill="auto"/>
          </w:tcPr>
          <w:p w14:paraId="27EDDE2B">
            <w:pPr>
              <w:pStyle w:val="7"/>
            </w:pPr>
            <w:r>
              <w:rPr>
                <w:rFonts w:hint="eastAsia"/>
              </w:rPr>
              <w:t xml:space="preserve">张纳沙 </w:t>
            </w:r>
          </w:p>
        </w:tc>
      </w:tr>
      <w:tr w14:paraId="7879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398E0">
            <w:pPr>
              <w:pStyle w:val="7"/>
            </w:pPr>
            <w:r>
              <w:rPr>
                <w:rFonts w:hint="eastAsia"/>
              </w:rPr>
              <w:t xml:space="preserve">联系人： </w:t>
            </w:r>
          </w:p>
        </w:tc>
        <w:tc>
          <w:tcPr>
            <w:tcW w:w="7440" w:type="dxa"/>
            <w:shd w:val="clear" w:color="auto" w:fill="auto"/>
          </w:tcPr>
          <w:p w14:paraId="2A4CD914">
            <w:pPr>
              <w:pStyle w:val="7"/>
            </w:pPr>
            <w:r>
              <w:rPr>
                <w:rFonts w:hint="eastAsia"/>
              </w:rPr>
              <w:t xml:space="preserve">于智勇 </w:t>
            </w:r>
          </w:p>
        </w:tc>
      </w:tr>
      <w:tr w14:paraId="12DB1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3BD24">
            <w:pPr>
              <w:pStyle w:val="7"/>
            </w:pPr>
            <w:r>
              <w:rPr>
                <w:rFonts w:hint="eastAsia"/>
              </w:rPr>
              <w:t xml:space="preserve">电话： </w:t>
            </w:r>
          </w:p>
        </w:tc>
        <w:tc>
          <w:tcPr>
            <w:tcW w:w="7440" w:type="dxa"/>
            <w:shd w:val="clear" w:color="auto" w:fill="auto"/>
          </w:tcPr>
          <w:p w14:paraId="14618853">
            <w:pPr>
              <w:pStyle w:val="7"/>
            </w:pPr>
            <w:r>
              <w:rPr>
                <w:rFonts w:hint="eastAsia"/>
              </w:rPr>
              <w:t xml:space="preserve">0755-81981259 </w:t>
            </w:r>
          </w:p>
        </w:tc>
      </w:tr>
      <w:tr w14:paraId="4972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BD243">
            <w:pPr>
              <w:pStyle w:val="7"/>
            </w:pPr>
            <w:r>
              <w:rPr>
                <w:rFonts w:hint="eastAsia"/>
              </w:rPr>
              <w:t xml:space="preserve">传真： </w:t>
            </w:r>
          </w:p>
        </w:tc>
        <w:tc>
          <w:tcPr>
            <w:tcW w:w="7440" w:type="dxa"/>
            <w:shd w:val="clear" w:color="auto" w:fill="auto"/>
          </w:tcPr>
          <w:p w14:paraId="0D0D5BC9">
            <w:pPr>
              <w:pStyle w:val="7"/>
            </w:pPr>
            <w:r>
              <w:rPr>
                <w:rFonts w:hint="eastAsia"/>
              </w:rPr>
              <w:t xml:space="preserve">0755-82133952 </w:t>
            </w:r>
          </w:p>
        </w:tc>
      </w:tr>
      <w:tr w14:paraId="1F40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87094">
            <w:pPr>
              <w:pStyle w:val="7"/>
            </w:pPr>
            <w:r>
              <w:rPr>
                <w:rFonts w:hint="eastAsia"/>
              </w:rPr>
              <w:t xml:space="preserve">客户服务电话： </w:t>
            </w:r>
          </w:p>
        </w:tc>
        <w:tc>
          <w:tcPr>
            <w:tcW w:w="7440" w:type="dxa"/>
            <w:shd w:val="clear" w:color="auto" w:fill="auto"/>
          </w:tcPr>
          <w:p w14:paraId="201A114C">
            <w:pPr>
              <w:pStyle w:val="7"/>
            </w:pPr>
            <w:r>
              <w:rPr>
                <w:rFonts w:hint="eastAsia"/>
              </w:rPr>
              <w:t xml:space="preserve">95536 </w:t>
            </w:r>
          </w:p>
        </w:tc>
      </w:tr>
      <w:tr w14:paraId="59FB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FF9C1">
            <w:pPr>
              <w:pStyle w:val="7"/>
            </w:pPr>
            <w:r>
              <w:rPr>
                <w:rFonts w:hint="eastAsia"/>
              </w:rPr>
              <w:t xml:space="preserve">网址： </w:t>
            </w:r>
          </w:p>
        </w:tc>
        <w:tc>
          <w:tcPr>
            <w:tcW w:w="7440" w:type="dxa"/>
            <w:shd w:val="clear" w:color="auto" w:fill="auto"/>
          </w:tcPr>
          <w:p w14:paraId="77074C11">
            <w:pPr>
              <w:pStyle w:val="7"/>
            </w:pPr>
            <w:r>
              <w:rPr>
                <w:rFonts w:hint="eastAsia"/>
              </w:rPr>
              <w:t xml:space="preserve">http://www.guosen.com.cn/ </w:t>
            </w:r>
          </w:p>
        </w:tc>
      </w:tr>
    </w:tbl>
    <w:p w14:paraId="39286D3F">
      <w:pPr>
        <w:pStyle w:val="7"/>
        <w:spacing w:before="0" w:beforeAutospacing="0" w:after="0" w:afterAutospacing="0" w:line="360" w:lineRule="auto"/>
        <w:ind w:firstLine="420"/>
        <w:rPr>
          <w:sz w:val="21"/>
          <w:szCs w:val="21"/>
        </w:rPr>
      </w:pPr>
      <w:r>
        <w:rPr>
          <w:rFonts w:hint="eastAsia"/>
          <w:b/>
          <w:bCs/>
          <w:sz w:val="21"/>
          <w:szCs w:val="21"/>
        </w:rPr>
        <w:t>(6)广发证券股份有限公司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108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4B68F">
            <w:pPr>
              <w:pStyle w:val="7"/>
            </w:pPr>
            <w:r>
              <w:rPr>
                <w:rFonts w:hint="eastAsia"/>
              </w:rPr>
              <w:t xml:space="preserve">注册地址： </w:t>
            </w:r>
          </w:p>
        </w:tc>
        <w:tc>
          <w:tcPr>
            <w:tcW w:w="7440" w:type="dxa"/>
            <w:shd w:val="clear" w:color="auto" w:fill="auto"/>
          </w:tcPr>
          <w:p w14:paraId="31AD4385">
            <w:pPr>
              <w:pStyle w:val="7"/>
            </w:pPr>
            <w:r>
              <w:rPr>
                <w:rFonts w:hint="eastAsia"/>
              </w:rPr>
              <w:t xml:space="preserve">广州市黄埔区中新广州知识城腾飞一街2号618室 </w:t>
            </w:r>
          </w:p>
        </w:tc>
      </w:tr>
      <w:tr w14:paraId="18D3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C5BF0">
            <w:pPr>
              <w:pStyle w:val="7"/>
            </w:pPr>
            <w:r>
              <w:rPr>
                <w:rFonts w:hint="eastAsia"/>
              </w:rPr>
              <w:t xml:space="preserve">办公地址： </w:t>
            </w:r>
          </w:p>
        </w:tc>
        <w:tc>
          <w:tcPr>
            <w:tcW w:w="7440" w:type="dxa"/>
            <w:shd w:val="clear" w:color="auto" w:fill="auto"/>
          </w:tcPr>
          <w:p w14:paraId="0BC6B090">
            <w:pPr>
              <w:pStyle w:val="7"/>
            </w:pPr>
            <w:r>
              <w:rPr>
                <w:rFonts w:hint="eastAsia"/>
              </w:rPr>
              <w:t xml:space="preserve">广州市天河区马场路26号广发证券大厦 </w:t>
            </w:r>
          </w:p>
        </w:tc>
      </w:tr>
      <w:tr w14:paraId="3BD7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2AE89">
            <w:pPr>
              <w:pStyle w:val="7"/>
            </w:pPr>
            <w:r>
              <w:rPr>
                <w:rFonts w:hint="eastAsia"/>
              </w:rPr>
              <w:t xml:space="preserve">法定代表人： </w:t>
            </w:r>
          </w:p>
        </w:tc>
        <w:tc>
          <w:tcPr>
            <w:tcW w:w="7440" w:type="dxa"/>
            <w:shd w:val="clear" w:color="auto" w:fill="auto"/>
          </w:tcPr>
          <w:p w14:paraId="663EE895">
            <w:pPr>
              <w:pStyle w:val="7"/>
            </w:pPr>
            <w:r>
              <w:rPr>
                <w:rFonts w:hint="eastAsia"/>
              </w:rPr>
              <w:t xml:space="preserve">林传辉 </w:t>
            </w:r>
          </w:p>
        </w:tc>
      </w:tr>
      <w:tr w14:paraId="503B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39CB4">
            <w:pPr>
              <w:pStyle w:val="7"/>
            </w:pPr>
            <w:r>
              <w:rPr>
                <w:rFonts w:hint="eastAsia"/>
              </w:rPr>
              <w:t xml:space="preserve">联系人： </w:t>
            </w:r>
          </w:p>
        </w:tc>
        <w:tc>
          <w:tcPr>
            <w:tcW w:w="7440" w:type="dxa"/>
            <w:shd w:val="clear" w:color="auto" w:fill="auto"/>
          </w:tcPr>
          <w:p w14:paraId="2674F235">
            <w:pPr>
              <w:pStyle w:val="7"/>
            </w:pPr>
            <w:r>
              <w:rPr>
                <w:rFonts w:hint="eastAsia"/>
              </w:rPr>
              <w:t xml:space="preserve">黄岚 </w:t>
            </w:r>
          </w:p>
        </w:tc>
      </w:tr>
      <w:tr w14:paraId="6A21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AC65B">
            <w:pPr>
              <w:pStyle w:val="7"/>
            </w:pPr>
            <w:r>
              <w:rPr>
                <w:rFonts w:hint="eastAsia"/>
              </w:rPr>
              <w:t xml:space="preserve">电话： </w:t>
            </w:r>
          </w:p>
        </w:tc>
        <w:tc>
          <w:tcPr>
            <w:tcW w:w="7440" w:type="dxa"/>
            <w:shd w:val="clear" w:color="auto" w:fill="auto"/>
          </w:tcPr>
          <w:p w14:paraId="1192A3C2">
            <w:pPr>
              <w:pStyle w:val="7"/>
            </w:pPr>
            <w:r>
              <w:rPr>
                <w:rFonts w:hint="eastAsia"/>
              </w:rPr>
              <w:t xml:space="preserve">020－87555888 </w:t>
            </w:r>
          </w:p>
        </w:tc>
      </w:tr>
      <w:tr w14:paraId="35A29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ADEC3">
            <w:pPr>
              <w:pStyle w:val="7"/>
            </w:pPr>
            <w:r>
              <w:rPr>
                <w:rFonts w:hint="eastAsia"/>
              </w:rPr>
              <w:t xml:space="preserve">传真： </w:t>
            </w:r>
          </w:p>
        </w:tc>
        <w:tc>
          <w:tcPr>
            <w:tcW w:w="7440" w:type="dxa"/>
            <w:shd w:val="clear" w:color="auto" w:fill="auto"/>
          </w:tcPr>
          <w:p w14:paraId="2A34B5E4">
            <w:pPr>
              <w:pStyle w:val="7"/>
            </w:pPr>
            <w:r>
              <w:rPr>
                <w:rFonts w:hint="eastAsia"/>
              </w:rPr>
              <w:t xml:space="preserve">020－87555305 </w:t>
            </w:r>
          </w:p>
        </w:tc>
      </w:tr>
      <w:tr w14:paraId="05DB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1D00E">
            <w:pPr>
              <w:pStyle w:val="7"/>
            </w:pPr>
            <w:r>
              <w:rPr>
                <w:rFonts w:hint="eastAsia"/>
              </w:rPr>
              <w:t xml:space="preserve">客户服务电话： </w:t>
            </w:r>
          </w:p>
        </w:tc>
        <w:tc>
          <w:tcPr>
            <w:tcW w:w="7440" w:type="dxa"/>
            <w:shd w:val="clear" w:color="auto" w:fill="auto"/>
          </w:tcPr>
          <w:p w14:paraId="09045ECF">
            <w:pPr>
              <w:pStyle w:val="7"/>
            </w:pPr>
            <w:r>
              <w:rPr>
                <w:rFonts w:hint="eastAsia"/>
              </w:rPr>
              <w:t xml:space="preserve">95575、020-95575或致电各地营业网点  </w:t>
            </w:r>
          </w:p>
        </w:tc>
      </w:tr>
      <w:tr w14:paraId="2C15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CD4B8">
            <w:pPr>
              <w:pStyle w:val="7"/>
            </w:pPr>
            <w:r>
              <w:rPr>
                <w:rFonts w:hint="eastAsia"/>
              </w:rPr>
              <w:t xml:space="preserve">网址： </w:t>
            </w:r>
          </w:p>
        </w:tc>
        <w:tc>
          <w:tcPr>
            <w:tcW w:w="7440" w:type="dxa"/>
            <w:shd w:val="clear" w:color="auto" w:fill="auto"/>
          </w:tcPr>
          <w:p w14:paraId="050FA23C">
            <w:pPr>
              <w:pStyle w:val="7"/>
            </w:pPr>
            <w:r>
              <w:rPr>
                <w:rFonts w:hint="eastAsia"/>
              </w:rPr>
              <w:t xml:space="preserve">http://www.gf.com.cn/ </w:t>
            </w:r>
          </w:p>
        </w:tc>
      </w:tr>
    </w:tbl>
    <w:p w14:paraId="39388BE5">
      <w:pPr>
        <w:pStyle w:val="7"/>
        <w:spacing w:before="0" w:beforeAutospacing="0" w:after="0" w:afterAutospacing="0" w:line="360" w:lineRule="auto"/>
        <w:ind w:firstLine="420"/>
        <w:rPr>
          <w:sz w:val="21"/>
          <w:szCs w:val="21"/>
        </w:rPr>
      </w:pPr>
      <w:r>
        <w:rPr>
          <w:rFonts w:hint="eastAsia"/>
          <w:b/>
          <w:bCs/>
          <w:sz w:val="21"/>
          <w:szCs w:val="21"/>
        </w:rPr>
        <w:t>(7)申万宏源证券有限公司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DD4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8B21B">
            <w:pPr>
              <w:pStyle w:val="7"/>
            </w:pPr>
            <w:r>
              <w:rPr>
                <w:rFonts w:hint="eastAsia"/>
              </w:rPr>
              <w:t xml:space="preserve">注册地址： </w:t>
            </w:r>
          </w:p>
        </w:tc>
        <w:tc>
          <w:tcPr>
            <w:tcW w:w="7440" w:type="dxa"/>
            <w:shd w:val="clear" w:color="auto" w:fill="auto"/>
          </w:tcPr>
          <w:p w14:paraId="610672CE">
            <w:pPr>
              <w:pStyle w:val="7"/>
            </w:pPr>
            <w:r>
              <w:rPr>
                <w:rFonts w:hint="eastAsia"/>
              </w:rPr>
              <w:t xml:space="preserve">上海市徐汇区长乐路989号45层 </w:t>
            </w:r>
          </w:p>
        </w:tc>
      </w:tr>
      <w:tr w14:paraId="3FA5D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7A74E">
            <w:pPr>
              <w:pStyle w:val="7"/>
            </w:pPr>
            <w:r>
              <w:rPr>
                <w:rFonts w:hint="eastAsia"/>
              </w:rPr>
              <w:t xml:space="preserve">办公地址： </w:t>
            </w:r>
          </w:p>
        </w:tc>
        <w:tc>
          <w:tcPr>
            <w:tcW w:w="7440" w:type="dxa"/>
            <w:shd w:val="clear" w:color="auto" w:fill="auto"/>
          </w:tcPr>
          <w:p w14:paraId="0B19C52C">
            <w:pPr>
              <w:pStyle w:val="7"/>
            </w:pPr>
            <w:r>
              <w:rPr>
                <w:rFonts w:hint="eastAsia"/>
              </w:rPr>
              <w:t xml:space="preserve">上海市徐汇区长乐路989号世纪商贸广场45层 </w:t>
            </w:r>
          </w:p>
        </w:tc>
      </w:tr>
      <w:tr w14:paraId="57D1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AEAEC">
            <w:pPr>
              <w:pStyle w:val="7"/>
            </w:pPr>
            <w:r>
              <w:rPr>
                <w:rFonts w:hint="eastAsia"/>
              </w:rPr>
              <w:t xml:space="preserve">法定代表人： </w:t>
            </w:r>
          </w:p>
        </w:tc>
        <w:tc>
          <w:tcPr>
            <w:tcW w:w="7440" w:type="dxa"/>
            <w:shd w:val="clear" w:color="auto" w:fill="auto"/>
          </w:tcPr>
          <w:p w14:paraId="347FF611">
            <w:pPr>
              <w:pStyle w:val="7"/>
            </w:pPr>
            <w:r>
              <w:rPr>
                <w:rFonts w:hint="eastAsia"/>
              </w:rPr>
              <w:t xml:space="preserve">张剑 </w:t>
            </w:r>
          </w:p>
        </w:tc>
      </w:tr>
      <w:tr w14:paraId="25CB4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D466C">
            <w:pPr>
              <w:pStyle w:val="7"/>
            </w:pPr>
            <w:r>
              <w:rPr>
                <w:rFonts w:hint="eastAsia"/>
              </w:rPr>
              <w:t xml:space="preserve">电话： </w:t>
            </w:r>
          </w:p>
        </w:tc>
        <w:tc>
          <w:tcPr>
            <w:tcW w:w="7440" w:type="dxa"/>
            <w:shd w:val="clear" w:color="auto" w:fill="auto"/>
          </w:tcPr>
          <w:p w14:paraId="7015BCD5">
            <w:pPr>
              <w:pStyle w:val="7"/>
            </w:pPr>
            <w:r>
              <w:rPr>
                <w:rFonts w:hint="eastAsia"/>
              </w:rPr>
              <w:t xml:space="preserve">021-33388999 </w:t>
            </w:r>
          </w:p>
        </w:tc>
      </w:tr>
      <w:tr w14:paraId="5AA9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7D539">
            <w:pPr>
              <w:pStyle w:val="7"/>
            </w:pPr>
            <w:r>
              <w:rPr>
                <w:rFonts w:hint="eastAsia"/>
              </w:rPr>
              <w:t xml:space="preserve">传真： </w:t>
            </w:r>
          </w:p>
        </w:tc>
        <w:tc>
          <w:tcPr>
            <w:tcW w:w="7440" w:type="dxa"/>
            <w:shd w:val="clear" w:color="auto" w:fill="auto"/>
          </w:tcPr>
          <w:p w14:paraId="1396F56A">
            <w:pPr>
              <w:pStyle w:val="7"/>
            </w:pPr>
            <w:r>
              <w:rPr>
                <w:rFonts w:hint="eastAsia"/>
              </w:rPr>
              <w:t xml:space="preserve">021-33388224 </w:t>
            </w:r>
          </w:p>
        </w:tc>
      </w:tr>
      <w:tr w14:paraId="0E5C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C221D">
            <w:pPr>
              <w:pStyle w:val="7"/>
            </w:pPr>
            <w:r>
              <w:rPr>
                <w:rFonts w:hint="eastAsia"/>
              </w:rPr>
              <w:t xml:space="preserve">客户服务电话： </w:t>
            </w:r>
          </w:p>
        </w:tc>
        <w:tc>
          <w:tcPr>
            <w:tcW w:w="7440" w:type="dxa"/>
            <w:shd w:val="clear" w:color="auto" w:fill="auto"/>
          </w:tcPr>
          <w:p w14:paraId="77C5AC9E">
            <w:pPr>
              <w:pStyle w:val="7"/>
            </w:pPr>
            <w:r>
              <w:rPr>
                <w:rFonts w:hint="eastAsia"/>
              </w:rPr>
              <w:t xml:space="preserve">95523 </w:t>
            </w:r>
          </w:p>
        </w:tc>
      </w:tr>
      <w:tr w14:paraId="10C5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A54F5">
            <w:pPr>
              <w:pStyle w:val="7"/>
            </w:pPr>
            <w:r>
              <w:rPr>
                <w:rFonts w:hint="eastAsia"/>
              </w:rPr>
              <w:t xml:space="preserve">网址： </w:t>
            </w:r>
          </w:p>
        </w:tc>
        <w:tc>
          <w:tcPr>
            <w:tcW w:w="7440" w:type="dxa"/>
            <w:shd w:val="clear" w:color="auto" w:fill="auto"/>
          </w:tcPr>
          <w:p w14:paraId="66AC2EC5">
            <w:pPr>
              <w:pStyle w:val="7"/>
            </w:pPr>
            <w:r>
              <w:rPr>
                <w:rFonts w:hint="eastAsia"/>
              </w:rPr>
              <w:t xml:space="preserve">www.swhysc.com </w:t>
            </w:r>
          </w:p>
        </w:tc>
      </w:tr>
    </w:tbl>
    <w:p w14:paraId="03798583">
      <w:pPr>
        <w:pStyle w:val="7"/>
        <w:spacing w:before="0" w:beforeAutospacing="0" w:after="0" w:afterAutospacing="0" w:line="360" w:lineRule="auto"/>
        <w:ind w:firstLine="420"/>
        <w:rPr>
          <w:sz w:val="21"/>
          <w:szCs w:val="21"/>
        </w:rPr>
      </w:pPr>
      <w:r>
        <w:rPr>
          <w:rFonts w:hint="eastAsia"/>
          <w:b/>
          <w:bCs/>
          <w:sz w:val="21"/>
          <w:szCs w:val="21"/>
        </w:rPr>
        <w:t>(8)华泰证券股份有限公司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9CD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D6B471F">
            <w:pPr>
              <w:pStyle w:val="7"/>
            </w:pPr>
            <w:r>
              <w:rPr>
                <w:rFonts w:hint="eastAsia"/>
              </w:rPr>
              <w:t xml:space="preserve">注册地址： </w:t>
            </w:r>
          </w:p>
        </w:tc>
        <w:tc>
          <w:tcPr>
            <w:tcW w:w="7440" w:type="dxa"/>
            <w:shd w:val="clear" w:color="auto" w:fill="auto"/>
          </w:tcPr>
          <w:p w14:paraId="2E6B03C4">
            <w:pPr>
              <w:pStyle w:val="7"/>
            </w:pPr>
            <w:r>
              <w:rPr>
                <w:rFonts w:hint="eastAsia"/>
              </w:rPr>
              <w:t xml:space="preserve">南京市江东中路228号 </w:t>
            </w:r>
          </w:p>
        </w:tc>
      </w:tr>
      <w:tr w14:paraId="6EFC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BA614">
            <w:pPr>
              <w:pStyle w:val="7"/>
            </w:pPr>
            <w:r>
              <w:rPr>
                <w:rFonts w:hint="eastAsia"/>
              </w:rPr>
              <w:t xml:space="preserve">办公地址： </w:t>
            </w:r>
          </w:p>
        </w:tc>
        <w:tc>
          <w:tcPr>
            <w:tcW w:w="7440" w:type="dxa"/>
            <w:shd w:val="clear" w:color="auto" w:fill="auto"/>
          </w:tcPr>
          <w:p w14:paraId="322DD5CA">
            <w:pPr>
              <w:pStyle w:val="7"/>
            </w:pPr>
            <w:r>
              <w:rPr>
                <w:rFonts w:hint="eastAsia"/>
              </w:rPr>
              <w:t xml:space="preserve">南京市建邺区江东中路228号华泰证券广场、深圳市福田区益田路5999号基金大厦 </w:t>
            </w:r>
          </w:p>
        </w:tc>
      </w:tr>
      <w:tr w14:paraId="0BC9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9D964">
            <w:pPr>
              <w:pStyle w:val="7"/>
            </w:pPr>
            <w:r>
              <w:rPr>
                <w:rFonts w:hint="eastAsia"/>
              </w:rPr>
              <w:t xml:space="preserve">法定代表人： </w:t>
            </w:r>
          </w:p>
        </w:tc>
        <w:tc>
          <w:tcPr>
            <w:tcW w:w="7440" w:type="dxa"/>
            <w:shd w:val="clear" w:color="auto" w:fill="auto"/>
          </w:tcPr>
          <w:p w14:paraId="7B751407">
            <w:pPr>
              <w:pStyle w:val="7"/>
            </w:pPr>
            <w:r>
              <w:rPr>
                <w:rFonts w:hint="eastAsia"/>
              </w:rPr>
              <w:t xml:space="preserve">张伟 </w:t>
            </w:r>
          </w:p>
        </w:tc>
      </w:tr>
      <w:tr w14:paraId="1C0A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BD05A">
            <w:pPr>
              <w:pStyle w:val="7"/>
            </w:pPr>
            <w:r>
              <w:rPr>
                <w:rFonts w:hint="eastAsia"/>
              </w:rPr>
              <w:t xml:space="preserve">电话： </w:t>
            </w:r>
          </w:p>
        </w:tc>
        <w:tc>
          <w:tcPr>
            <w:tcW w:w="7440" w:type="dxa"/>
            <w:shd w:val="clear" w:color="auto" w:fill="auto"/>
          </w:tcPr>
          <w:p w14:paraId="5E62EF1B">
            <w:pPr>
              <w:pStyle w:val="7"/>
            </w:pPr>
            <w:r>
              <w:rPr>
                <w:rFonts w:hint="eastAsia"/>
              </w:rPr>
              <w:t xml:space="preserve">0755-22660831 </w:t>
            </w:r>
          </w:p>
        </w:tc>
      </w:tr>
      <w:tr w14:paraId="2E23C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3E555">
            <w:pPr>
              <w:pStyle w:val="7"/>
            </w:pPr>
            <w:r>
              <w:rPr>
                <w:rFonts w:hint="eastAsia"/>
              </w:rPr>
              <w:t xml:space="preserve">客户服务电话： </w:t>
            </w:r>
          </w:p>
        </w:tc>
        <w:tc>
          <w:tcPr>
            <w:tcW w:w="7440" w:type="dxa"/>
            <w:shd w:val="clear" w:color="auto" w:fill="auto"/>
          </w:tcPr>
          <w:p w14:paraId="735B1DB7">
            <w:pPr>
              <w:pStyle w:val="7"/>
            </w:pPr>
            <w:r>
              <w:rPr>
                <w:rFonts w:hint="eastAsia"/>
              </w:rPr>
              <w:t xml:space="preserve">95597 </w:t>
            </w:r>
          </w:p>
        </w:tc>
      </w:tr>
      <w:tr w14:paraId="282E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AF246">
            <w:pPr>
              <w:pStyle w:val="7"/>
            </w:pPr>
            <w:r>
              <w:rPr>
                <w:rFonts w:hint="eastAsia"/>
              </w:rPr>
              <w:t xml:space="preserve">网址： </w:t>
            </w:r>
          </w:p>
        </w:tc>
        <w:tc>
          <w:tcPr>
            <w:tcW w:w="7440" w:type="dxa"/>
            <w:shd w:val="clear" w:color="auto" w:fill="auto"/>
          </w:tcPr>
          <w:p w14:paraId="62B86DB6">
            <w:pPr>
              <w:pStyle w:val="7"/>
            </w:pPr>
            <w:r>
              <w:rPr>
                <w:rFonts w:hint="eastAsia"/>
              </w:rPr>
              <w:t xml:space="preserve">http://www.htsc.com.cn/ </w:t>
            </w:r>
          </w:p>
        </w:tc>
      </w:tr>
    </w:tbl>
    <w:p w14:paraId="1C6BDAEE">
      <w:pPr>
        <w:pStyle w:val="7"/>
        <w:spacing w:before="0" w:beforeAutospacing="0" w:after="0" w:afterAutospacing="0" w:line="360" w:lineRule="auto"/>
        <w:ind w:firstLine="420"/>
        <w:rPr>
          <w:sz w:val="21"/>
          <w:szCs w:val="21"/>
        </w:rPr>
      </w:pPr>
      <w:r>
        <w:rPr>
          <w:rFonts w:hint="eastAsia"/>
          <w:b/>
          <w:bCs/>
          <w:sz w:val="21"/>
          <w:szCs w:val="21"/>
        </w:rPr>
        <w:t>(9)光大证券股份有限公司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8A6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C514B">
            <w:pPr>
              <w:pStyle w:val="7"/>
            </w:pPr>
            <w:r>
              <w:rPr>
                <w:rFonts w:hint="eastAsia"/>
              </w:rPr>
              <w:t xml:space="preserve">注册地址： </w:t>
            </w:r>
          </w:p>
        </w:tc>
        <w:tc>
          <w:tcPr>
            <w:tcW w:w="7440" w:type="dxa"/>
            <w:shd w:val="clear" w:color="auto" w:fill="auto"/>
          </w:tcPr>
          <w:p w14:paraId="410D08AC">
            <w:pPr>
              <w:pStyle w:val="7"/>
            </w:pPr>
            <w:r>
              <w:rPr>
                <w:rFonts w:hint="eastAsia"/>
              </w:rPr>
              <w:t xml:space="preserve">上海市静安区新闸路1508号 </w:t>
            </w:r>
          </w:p>
        </w:tc>
      </w:tr>
      <w:tr w14:paraId="2ED3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E0904">
            <w:pPr>
              <w:pStyle w:val="7"/>
            </w:pPr>
            <w:r>
              <w:rPr>
                <w:rFonts w:hint="eastAsia"/>
              </w:rPr>
              <w:t xml:space="preserve">办公地址： </w:t>
            </w:r>
          </w:p>
        </w:tc>
        <w:tc>
          <w:tcPr>
            <w:tcW w:w="7440" w:type="dxa"/>
            <w:shd w:val="clear" w:color="auto" w:fill="auto"/>
          </w:tcPr>
          <w:p w14:paraId="0CDCB6F6">
            <w:pPr>
              <w:pStyle w:val="7"/>
            </w:pPr>
            <w:r>
              <w:rPr>
                <w:rFonts w:hint="eastAsia"/>
              </w:rPr>
              <w:t xml:space="preserve">上海市静安区新闸路1508号 </w:t>
            </w:r>
          </w:p>
        </w:tc>
      </w:tr>
      <w:tr w14:paraId="02FE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E6AC4">
            <w:pPr>
              <w:pStyle w:val="7"/>
            </w:pPr>
            <w:r>
              <w:rPr>
                <w:rFonts w:hint="eastAsia"/>
              </w:rPr>
              <w:t xml:space="preserve">法定代表人： </w:t>
            </w:r>
          </w:p>
        </w:tc>
        <w:tc>
          <w:tcPr>
            <w:tcW w:w="7440" w:type="dxa"/>
            <w:shd w:val="clear" w:color="auto" w:fill="auto"/>
          </w:tcPr>
          <w:p w14:paraId="5753BCFE">
            <w:pPr>
              <w:pStyle w:val="7"/>
            </w:pPr>
            <w:r>
              <w:rPr>
                <w:rFonts w:hint="eastAsia"/>
              </w:rPr>
              <w:t xml:space="preserve">刘秋明 </w:t>
            </w:r>
          </w:p>
        </w:tc>
      </w:tr>
      <w:tr w14:paraId="1D5BC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B4EF5">
            <w:pPr>
              <w:pStyle w:val="7"/>
            </w:pPr>
            <w:r>
              <w:rPr>
                <w:rFonts w:hint="eastAsia"/>
              </w:rPr>
              <w:t xml:space="preserve">联系人： </w:t>
            </w:r>
          </w:p>
        </w:tc>
        <w:tc>
          <w:tcPr>
            <w:tcW w:w="7440" w:type="dxa"/>
            <w:shd w:val="clear" w:color="auto" w:fill="auto"/>
          </w:tcPr>
          <w:p w14:paraId="57F97BAD">
            <w:pPr>
              <w:pStyle w:val="7"/>
            </w:pPr>
            <w:r>
              <w:rPr>
                <w:rFonts w:hint="eastAsia"/>
              </w:rPr>
              <w:t xml:space="preserve">李芳芳 </w:t>
            </w:r>
          </w:p>
        </w:tc>
      </w:tr>
      <w:tr w14:paraId="0D219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C30C9">
            <w:pPr>
              <w:pStyle w:val="7"/>
            </w:pPr>
            <w:r>
              <w:rPr>
                <w:rFonts w:hint="eastAsia"/>
              </w:rPr>
              <w:t xml:space="preserve">电话： </w:t>
            </w:r>
          </w:p>
        </w:tc>
        <w:tc>
          <w:tcPr>
            <w:tcW w:w="7440" w:type="dxa"/>
            <w:shd w:val="clear" w:color="auto" w:fill="auto"/>
          </w:tcPr>
          <w:p w14:paraId="2A3AB138">
            <w:pPr>
              <w:pStyle w:val="7"/>
            </w:pPr>
            <w:r>
              <w:rPr>
                <w:rFonts w:hint="eastAsia"/>
              </w:rPr>
              <w:t xml:space="preserve">021-22169089 </w:t>
            </w:r>
          </w:p>
        </w:tc>
      </w:tr>
      <w:tr w14:paraId="3BE2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38564">
            <w:pPr>
              <w:pStyle w:val="7"/>
            </w:pPr>
            <w:r>
              <w:rPr>
                <w:rFonts w:hint="eastAsia"/>
              </w:rPr>
              <w:t xml:space="preserve">传真： </w:t>
            </w:r>
          </w:p>
        </w:tc>
        <w:tc>
          <w:tcPr>
            <w:tcW w:w="7440" w:type="dxa"/>
            <w:shd w:val="clear" w:color="auto" w:fill="auto"/>
          </w:tcPr>
          <w:p w14:paraId="6C39CDAB">
            <w:pPr>
              <w:pStyle w:val="7"/>
            </w:pPr>
            <w:r>
              <w:rPr>
                <w:rFonts w:hint="eastAsia"/>
              </w:rPr>
              <w:t xml:space="preserve">021－22169134 </w:t>
            </w:r>
          </w:p>
        </w:tc>
      </w:tr>
      <w:tr w14:paraId="72B1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292BD">
            <w:pPr>
              <w:pStyle w:val="7"/>
            </w:pPr>
            <w:r>
              <w:rPr>
                <w:rFonts w:hint="eastAsia"/>
              </w:rPr>
              <w:t xml:space="preserve">客户服务电话： </w:t>
            </w:r>
          </w:p>
        </w:tc>
        <w:tc>
          <w:tcPr>
            <w:tcW w:w="7440" w:type="dxa"/>
            <w:shd w:val="clear" w:color="auto" w:fill="auto"/>
          </w:tcPr>
          <w:p w14:paraId="1EBAE448">
            <w:pPr>
              <w:pStyle w:val="7"/>
            </w:pPr>
            <w:r>
              <w:rPr>
                <w:rFonts w:hint="eastAsia"/>
              </w:rPr>
              <w:t xml:space="preserve">4008888788；95525 </w:t>
            </w:r>
          </w:p>
        </w:tc>
      </w:tr>
      <w:tr w14:paraId="6EB3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A521B">
            <w:pPr>
              <w:pStyle w:val="7"/>
            </w:pPr>
            <w:r>
              <w:rPr>
                <w:rFonts w:hint="eastAsia"/>
              </w:rPr>
              <w:t xml:space="preserve">网址： </w:t>
            </w:r>
          </w:p>
        </w:tc>
        <w:tc>
          <w:tcPr>
            <w:tcW w:w="7440" w:type="dxa"/>
            <w:shd w:val="clear" w:color="auto" w:fill="auto"/>
          </w:tcPr>
          <w:p w14:paraId="5BABCC18">
            <w:pPr>
              <w:pStyle w:val="7"/>
            </w:pPr>
            <w:r>
              <w:rPr>
                <w:rFonts w:hint="eastAsia"/>
              </w:rPr>
              <w:t xml:space="preserve">http://www.ebscn.com/ </w:t>
            </w:r>
          </w:p>
        </w:tc>
      </w:tr>
    </w:tbl>
    <w:p w14:paraId="6157141F">
      <w:pPr>
        <w:pStyle w:val="7"/>
        <w:spacing w:before="0" w:beforeAutospacing="0" w:after="0" w:afterAutospacing="0" w:line="360" w:lineRule="auto"/>
        <w:ind w:firstLine="420"/>
        <w:rPr>
          <w:sz w:val="21"/>
          <w:szCs w:val="21"/>
        </w:rPr>
      </w:pPr>
      <w:r>
        <w:rPr>
          <w:rFonts w:hint="eastAsia"/>
          <w:b/>
          <w:bCs/>
          <w:sz w:val="21"/>
          <w:szCs w:val="21"/>
        </w:rPr>
        <w:t>(10)南京证券股份有限公司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7DF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526D9">
            <w:pPr>
              <w:pStyle w:val="7"/>
            </w:pPr>
            <w:r>
              <w:rPr>
                <w:rFonts w:hint="eastAsia"/>
              </w:rPr>
              <w:t xml:space="preserve">注册地址： </w:t>
            </w:r>
          </w:p>
        </w:tc>
        <w:tc>
          <w:tcPr>
            <w:tcW w:w="7440" w:type="dxa"/>
            <w:shd w:val="clear" w:color="auto" w:fill="auto"/>
          </w:tcPr>
          <w:p w14:paraId="59081E96">
            <w:pPr>
              <w:pStyle w:val="7"/>
            </w:pPr>
            <w:r>
              <w:rPr>
                <w:rFonts w:hint="eastAsia"/>
              </w:rPr>
              <w:t xml:space="preserve">江苏省南京市玄武区大钟亭8号 </w:t>
            </w:r>
          </w:p>
        </w:tc>
      </w:tr>
      <w:tr w14:paraId="22F7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31DFE">
            <w:pPr>
              <w:pStyle w:val="7"/>
            </w:pPr>
            <w:r>
              <w:rPr>
                <w:rFonts w:hint="eastAsia"/>
              </w:rPr>
              <w:t xml:space="preserve">办公地址： </w:t>
            </w:r>
          </w:p>
        </w:tc>
        <w:tc>
          <w:tcPr>
            <w:tcW w:w="7440" w:type="dxa"/>
            <w:shd w:val="clear" w:color="auto" w:fill="auto"/>
          </w:tcPr>
          <w:p w14:paraId="2588D6FA">
            <w:pPr>
              <w:pStyle w:val="7"/>
            </w:pPr>
            <w:r>
              <w:rPr>
                <w:rFonts w:hint="eastAsia"/>
              </w:rPr>
              <w:t xml:space="preserve">江苏省南京市玄武区大钟亭8号 </w:t>
            </w:r>
          </w:p>
        </w:tc>
      </w:tr>
      <w:tr w14:paraId="128D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F55A8">
            <w:pPr>
              <w:pStyle w:val="7"/>
            </w:pPr>
            <w:r>
              <w:rPr>
                <w:rFonts w:hint="eastAsia"/>
              </w:rPr>
              <w:t xml:space="preserve">法定代表人： </w:t>
            </w:r>
          </w:p>
        </w:tc>
        <w:tc>
          <w:tcPr>
            <w:tcW w:w="7440" w:type="dxa"/>
            <w:shd w:val="clear" w:color="auto" w:fill="auto"/>
          </w:tcPr>
          <w:p w14:paraId="5664A9BA">
            <w:pPr>
              <w:pStyle w:val="7"/>
            </w:pPr>
            <w:r>
              <w:rPr>
                <w:rFonts w:hint="eastAsia"/>
              </w:rPr>
              <w:t xml:space="preserve">李剑锋 </w:t>
            </w:r>
          </w:p>
        </w:tc>
      </w:tr>
      <w:tr w14:paraId="1152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92DA6">
            <w:pPr>
              <w:pStyle w:val="7"/>
            </w:pPr>
            <w:r>
              <w:rPr>
                <w:rFonts w:hint="eastAsia"/>
              </w:rPr>
              <w:t xml:space="preserve">联系人： </w:t>
            </w:r>
          </w:p>
        </w:tc>
        <w:tc>
          <w:tcPr>
            <w:tcW w:w="7440" w:type="dxa"/>
            <w:shd w:val="clear" w:color="auto" w:fill="auto"/>
          </w:tcPr>
          <w:p w14:paraId="79CAD289">
            <w:pPr>
              <w:pStyle w:val="7"/>
            </w:pPr>
            <w:r>
              <w:rPr>
                <w:rFonts w:hint="eastAsia"/>
              </w:rPr>
              <w:t xml:space="preserve">潘月 </w:t>
            </w:r>
          </w:p>
        </w:tc>
      </w:tr>
      <w:tr w14:paraId="4B32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93FC5">
            <w:pPr>
              <w:pStyle w:val="7"/>
            </w:pPr>
            <w:r>
              <w:rPr>
                <w:rFonts w:hint="eastAsia"/>
              </w:rPr>
              <w:t xml:space="preserve">电话： </w:t>
            </w:r>
          </w:p>
        </w:tc>
        <w:tc>
          <w:tcPr>
            <w:tcW w:w="7440" w:type="dxa"/>
            <w:shd w:val="clear" w:color="auto" w:fill="auto"/>
          </w:tcPr>
          <w:p w14:paraId="3F319C3D">
            <w:pPr>
              <w:pStyle w:val="7"/>
            </w:pPr>
            <w:r>
              <w:rPr>
                <w:rFonts w:hint="eastAsia"/>
              </w:rPr>
              <w:t xml:space="preserve">025－52310569 </w:t>
            </w:r>
          </w:p>
        </w:tc>
      </w:tr>
      <w:tr w14:paraId="5964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71373">
            <w:pPr>
              <w:pStyle w:val="7"/>
            </w:pPr>
            <w:r>
              <w:rPr>
                <w:rFonts w:hint="eastAsia"/>
              </w:rPr>
              <w:t xml:space="preserve">传真： </w:t>
            </w:r>
          </w:p>
        </w:tc>
        <w:tc>
          <w:tcPr>
            <w:tcW w:w="7440" w:type="dxa"/>
            <w:shd w:val="clear" w:color="auto" w:fill="auto"/>
          </w:tcPr>
          <w:p w14:paraId="6CFC3512">
            <w:pPr>
              <w:pStyle w:val="7"/>
            </w:pPr>
            <w:r>
              <w:rPr>
                <w:rFonts w:hint="eastAsia"/>
              </w:rPr>
              <w:t xml:space="preserve">025－52310586 </w:t>
            </w:r>
          </w:p>
        </w:tc>
      </w:tr>
      <w:tr w14:paraId="684D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22815">
            <w:pPr>
              <w:pStyle w:val="7"/>
            </w:pPr>
            <w:r>
              <w:rPr>
                <w:rFonts w:hint="eastAsia"/>
              </w:rPr>
              <w:t xml:space="preserve">客户服务电话： </w:t>
            </w:r>
          </w:p>
        </w:tc>
        <w:tc>
          <w:tcPr>
            <w:tcW w:w="7440" w:type="dxa"/>
            <w:shd w:val="clear" w:color="auto" w:fill="auto"/>
          </w:tcPr>
          <w:p w14:paraId="7DE9BDCA">
            <w:pPr>
              <w:pStyle w:val="7"/>
            </w:pPr>
            <w:r>
              <w:rPr>
                <w:rFonts w:hint="eastAsia"/>
              </w:rPr>
              <w:t xml:space="preserve">4008285888 </w:t>
            </w:r>
          </w:p>
        </w:tc>
      </w:tr>
      <w:tr w14:paraId="718B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EB458">
            <w:pPr>
              <w:pStyle w:val="7"/>
            </w:pPr>
            <w:r>
              <w:rPr>
                <w:rFonts w:hint="eastAsia"/>
              </w:rPr>
              <w:t xml:space="preserve">网址： </w:t>
            </w:r>
          </w:p>
        </w:tc>
        <w:tc>
          <w:tcPr>
            <w:tcW w:w="7440" w:type="dxa"/>
            <w:shd w:val="clear" w:color="auto" w:fill="auto"/>
          </w:tcPr>
          <w:p w14:paraId="6828CC6D">
            <w:pPr>
              <w:pStyle w:val="7"/>
            </w:pPr>
            <w:r>
              <w:rPr>
                <w:rFonts w:hint="eastAsia"/>
              </w:rPr>
              <w:t xml:space="preserve">http://www.njzq.com.cn </w:t>
            </w:r>
          </w:p>
        </w:tc>
      </w:tr>
    </w:tbl>
    <w:p w14:paraId="6FE75B48">
      <w:pPr>
        <w:pStyle w:val="7"/>
        <w:spacing w:before="0" w:beforeAutospacing="0" w:after="0" w:afterAutospacing="0" w:line="360" w:lineRule="auto"/>
        <w:ind w:firstLine="420"/>
        <w:rPr>
          <w:sz w:val="21"/>
          <w:szCs w:val="21"/>
        </w:rPr>
      </w:pPr>
      <w:r>
        <w:rPr>
          <w:rFonts w:hint="eastAsia"/>
          <w:b/>
          <w:bCs/>
          <w:sz w:val="21"/>
          <w:szCs w:val="21"/>
        </w:rPr>
        <w:t>(11)申万宏源西部证券有限公司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3E3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0FE93">
            <w:pPr>
              <w:pStyle w:val="7"/>
            </w:pPr>
            <w:r>
              <w:rPr>
                <w:rFonts w:hint="eastAsia"/>
              </w:rPr>
              <w:t xml:space="preserve">注册地址： </w:t>
            </w:r>
          </w:p>
        </w:tc>
        <w:tc>
          <w:tcPr>
            <w:tcW w:w="7440" w:type="dxa"/>
            <w:shd w:val="clear" w:color="auto" w:fill="auto"/>
          </w:tcPr>
          <w:p w14:paraId="158F6F2B">
            <w:pPr>
              <w:pStyle w:val="7"/>
            </w:pPr>
            <w:r>
              <w:rPr>
                <w:rFonts w:hint="eastAsia"/>
              </w:rPr>
              <w:t xml:space="preserve">新疆乌鲁木齐市高新区（新市区）北京南路358号大成国际大厦20楼2005室 </w:t>
            </w:r>
          </w:p>
        </w:tc>
      </w:tr>
      <w:tr w14:paraId="3A20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796D0">
            <w:pPr>
              <w:pStyle w:val="7"/>
            </w:pPr>
            <w:r>
              <w:rPr>
                <w:rFonts w:hint="eastAsia"/>
              </w:rPr>
              <w:t xml:space="preserve">办公地址： </w:t>
            </w:r>
          </w:p>
        </w:tc>
        <w:tc>
          <w:tcPr>
            <w:tcW w:w="7440" w:type="dxa"/>
            <w:shd w:val="clear" w:color="auto" w:fill="auto"/>
          </w:tcPr>
          <w:p w14:paraId="0D911FD6">
            <w:pPr>
              <w:pStyle w:val="7"/>
            </w:pPr>
            <w:r>
              <w:rPr>
                <w:rFonts w:hint="eastAsia"/>
              </w:rPr>
              <w:t xml:space="preserve">新疆乌鲁木齐市高新区（新市区）北京南路358号大成国际大厦20楼2005室 </w:t>
            </w:r>
          </w:p>
        </w:tc>
      </w:tr>
      <w:tr w14:paraId="48E2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D5947">
            <w:pPr>
              <w:pStyle w:val="7"/>
            </w:pPr>
            <w:r>
              <w:rPr>
                <w:rFonts w:hint="eastAsia"/>
              </w:rPr>
              <w:t xml:space="preserve">法定代表人： </w:t>
            </w:r>
          </w:p>
        </w:tc>
        <w:tc>
          <w:tcPr>
            <w:tcW w:w="7440" w:type="dxa"/>
            <w:shd w:val="clear" w:color="auto" w:fill="auto"/>
          </w:tcPr>
          <w:p w14:paraId="76481345">
            <w:pPr>
              <w:pStyle w:val="7"/>
            </w:pPr>
            <w:r>
              <w:rPr>
                <w:rFonts w:hint="eastAsia"/>
              </w:rPr>
              <w:t xml:space="preserve">王献军  </w:t>
            </w:r>
          </w:p>
        </w:tc>
      </w:tr>
      <w:tr w14:paraId="5166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99394">
            <w:pPr>
              <w:pStyle w:val="7"/>
            </w:pPr>
            <w:r>
              <w:rPr>
                <w:rFonts w:hint="eastAsia"/>
              </w:rPr>
              <w:t xml:space="preserve">联系人： </w:t>
            </w:r>
          </w:p>
        </w:tc>
        <w:tc>
          <w:tcPr>
            <w:tcW w:w="7440" w:type="dxa"/>
            <w:shd w:val="clear" w:color="auto" w:fill="auto"/>
          </w:tcPr>
          <w:p w14:paraId="60F8C058">
            <w:pPr>
              <w:pStyle w:val="7"/>
            </w:pPr>
            <w:r>
              <w:rPr>
                <w:rFonts w:hint="eastAsia"/>
              </w:rPr>
              <w:t xml:space="preserve">梁丽 </w:t>
            </w:r>
          </w:p>
        </w:tc>
      </w:tr>
      <w:tr w14:paraId="2408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A509C">
            <w:pPr>
              <w:pStyle w:val="7"/>
            </w:pPr>
            <w:r>
              <w:rPr>
                <w:rFonts w:hint="eastAsia"/>
              </w:rPr>
              <w:t xml:space="preserve">电话： </w:t>
            </w:r>
          </w:p>
        </w:tc>
        <w:tc>
          <w:tcPr>
            <w:tcW w:w="7440" w:type="dxa"/>
            <w:shd w:val="clear" w:color="auto" w:fill="auto"/>
          </w:tcPr>
          <w:p w14:paraId="6F37D20E">
            <w:pPr>
              <w:pStyle w:val="7"/>
            </w:pPr>
            <w:r>
              <w:rPr>
                <w:rFonts w:hint="eastAsia"/>
              </w:rPr>
              <w:t xml:space="preserve">0991-2307105 </w:t>
            </w:r>
          </w:p>
        </w:tc>
      </w:tr>
      <w:tr w14:paraId="6606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53370">
            <w:pPr>
              <w:pStyle w:val="7"/>
            </w:pPr>
            <w:r>
              <w:rPr>
                <w:rFonts w:hint="eastAsia"/>
              </w:rPr>
              <w:t xml:space="preserve">传真： </w:t>
            </w:r>
          </w:p>
        </w:tc>
        <w:tc>
          <w:tcPr>
            <w:tcW w:w="7440" w:type="dxa"/>
            <w:shd w:val="clear" w:color="auto" w:fill="auto"/>
          </w:tcPr>
          <w:p w14:paraId="54C2A2B3">
            <w:pPr>
              <w:pStyle w:val="7"/>
            </w:pPr>
            <w:r>
              <w:rPr>
                <w:rFonts w:hint="eastAsia"/>
              </w:rPr>
              <w:t xml:space="preserve">010-88085195 </w:t>
            </w:r>
          </w:p>
        </w:tc>
      </w:tr>
      <w:tr w14:paraId="5AC5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5EEC7">
            <w:pPr>
              <w:pStyle w:val="7"/>
            </w:pPr>
            <w:r>
              <w:rPr>
                <w:rFonts w:hint="eastAsia"/>
              </w:rPr>
              <w:t xml:space="preserve">客户服务电话： </w:t>
            </w:r>
          </w:p>
        </w:tc>
        <w:tc>
          <w:tcPr>
            <w:tcW w:w="7440" w:type="dxa"/>
            <w:shd w:val="clear" w:color="auto" w:fill="auto"/>
          </w:tcPr>
          <w:p w14:paraId="4AC9CE65">
            <w:pPr>
              <w:pStyle w:val="7"/>
            </w:pPr>
            <w:r>
              <w:rPr>
                <w:rFonts w:hint="eastAsia"/>
              </w:rPr>
              <w:t xml:space="preserve">95523或4008895523 </w:t>
            </w:r>
          </w:p>
        </w:tc>
      </w:tr>
      <w:tr w14:paraId="6632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EDE3A">
            <w:pPr>
              <w:pStyle w:val="7"/>
            </w:pPr>
            <w:r>
              <w:rPr>
                <w:rFonts w:hint="eastAsia"/>
              </w:rPr>
              <w:t xml:space="preserve">网址： </w:t>
            </w:r>
          </w:p>
        </w:tc>
        <w:tc>
          <w:tcPr>
            <w:tcW w:w="7440" w:type="dxa"/>
            <w:shd w:val="clear" w:color="auto" w:fill="auto"/>
          </w:tcPr>
          <w:p w14:paraId="68BF8297">
            <w:pPr>
              <w:pStyle w:val="7"/>
            </w:pPr>
            <w:r>
              <w:rPr>
                <w:rFonts w:hint="eastAsia"/>
              </w:rPr>
              <w:t xml:space="preserve">www.swhysc.com </w:t>
            </w:r>
          </w:p>
        </w:tc>
      </w:tr>
    </w:tbl>
    <w:p w14:paraId="4991FF09">
      <w:pPr>
        <w:pStyle w:val="7"/>
        <w:spacing w:before="0" w:beforeAutospacing="0" w:after="0" w:afterAutospacing="0" w:line="360" w:lineRule="auto"/>
        <w:ind w:firstLine="420"/>
        <w:rPr>
          <w:sz w:val="21"/>
          <w:szCs w:val="21"/>
        </w:rPr>
      </w:pPr>
      <w:r>
        <w:rPr>
          <w:rFonts w:hint="eastAsia"/>
          <w:b/>
          <w:bCs/>
          <w:sz w:val="21"/>
          <w:szCs w:val="21"/>
        </w:rPr>
        <w:t>(12)德邦证券股份有限公司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A13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C6F42">
            <w:pPr>
              <w:pStyle w:val="7"/>
            </w:pPr>
            <w:r>
              <w:rPr>
                <w:rFonts w:hint="eastAsia"/>
              </w:rPr>
              <w:t xml:space="preserve">注册地址： </w:t>
            </w:r>
          </w:p>
        </w:tc>
        <w:tc>
          <w:tcPr>
            <w:tcW w:w="7440" w:type="dxa"/>
            <w:shd w:val="clear" w:color="auto" w:fill="auto"/>
          </w:tcPr>
          <w:p w14:paraId="45CE0EB6">
            <w:pPr>
              <w:pStyle w:val="7"/>
            </w:pPr>
            <w:r>
              <w:rPr>
                <w:rFonts w:hint="eastAsia"/>
              </w:rPr>
              <w:t xml:space="preserve">上海市普陀区曹杨路510号南半幢9楼 </w:t>
            </w:r>
          </w:p>
        </w:tc>
      </w:tr>
      <w:tr w14:paraId="7EA5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572C3">
            <w:pPr>
              <w:pStyle w:val="7"/>
            </w:pPr>
            <w:r>
              <w:rPr>
                <w:rFonts w:hint="eastAsia"/>
              </w:rPr>
              <w:t xml:space="preserve">办公地址： </w:t>
            </w:r>
          </w:p>
        </w:tc>
        <w:tc>
          <w:tcPr>
            <w:tcW w:w="7440" w:type="dxa"/>
            <w:shd w:val="clear" w:color="auto" w:fill="auto"/>
          </w:tcPr>
          <w:p w14:paraId="2BE662DB">
            <w:pPr>
              <w:pStyle w:val="7"/>
            </w:pPr>
            <w:r>
              <w:rPr>
                <w:rFonts w:hint="eastAsia"/>
              </w:rPr>
              <w:t xml:space="preserve">上海市浦东新区福山路500号城建国际中心26楼 </w:t>
            </w:r>
          </w:p>
        </w:tc>
      </w:tr>
      <w:tr w14:paraId="405D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C43E4">
            <w:pPr>
              <w:pStyle w:val="7"/>
            </w:pPr>
            <w:r>
              <w:rPr>
                <w:rFonts w:hint="eastAsia"/>
              </w:rPr>
              <w:t xml:space="preserve">法定代表人： </w:t>
            </w:r>
          </w:p>
        </w:tc>
        <w:tc>
          <w:tcPr>
            <w:tcW w:w="7440" w:type="dxa"/>
            <w:shd w:val="clear" w:color="auto" w:fill="auto"/>
          </w:tcPr>
          <w:p w14:paraId="181F201E">
            <w:pPr>
              <w:pStyle w:val="7"/>
            </w:pPr>
            <w:r>
              <w:rPr>
                <w:rFonts w:hint="eastAsia"/>
              </w:rPr>
              <w:t xml:space="preserve">武晓春 </w:t>
            </w:r>
          </w:p>
        </w:tc>
      </w:tr>
      <w:tr w14:paraId="5BEC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B2408">
            <w:pPr>
              <w:pStyle w:val="7"/>
            </w:pPr>
            <w:r>
              <w:rPr>
                <w:rFonts w:hint="eastAsia"/>
              </w:rPr>
              <w:t xml:space="preserve">联系人： </w:t>
            </w:r>
          </w:p>
        </w:tc>
        <w:tc>
          <w:tcPr>
            <w:tcW w:w="7440" w:type="dxa"/>
            <w:shd w:val="clear" w:color="auto" w:fill="auto"/>
          </w:tcPr>
          <w:p w14:paraId="3E71384F">
            <w:pPr>
              <w:pStyle w:val="7"/>
            </w:pPr>
            <w:r>
              <w:rPr>
                <w:rFonts w:hint="eastAsia"/>
              </w:rPr>
              <w:t xml:space="preserve">刘熠 </w:t>
            </w:r>
          </w:p>
        </w:tc>
      </w:tr>
      <w:tr w14:paraId="39D0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94956">
            <w:pPr>
              <w:pStyle w:val="7"/>
            </w:pPr>
            <w:r>
              <w:rPr>
                <w:rFonts w:hint="eastAsia"/>
              </w:rPr>
              <w:t xml:space="preserve">电话： </w:t>
            </w:r>
          </w:p>
        </w:tc>
        <w:tc>
          <w:tcPr>
            <w:tcW w:w="7440" w:type="dxa"/>
            <w:shd w:val="clear" w:color="auto" w:fill="auto"/>
          </w:tcPr>
          <w:p w14:paraId="1B8DC320">
            <w:pPr>
              <w:pStyle w:val="7"/>
            </w:pPr>
            <w:r>
              <w:rPr>
                <w:rFonts w:hint="eastAsia"/>
              </w:rPr>
              <w:t xml:space="preserve">021-68761616 </w:t>
            </w:r>
          </w:p>
        </w:tc>
      </w:tr>
      <w:tr w14:paraId="0F70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AD294">
            <w:pPr>
              <w:pStyle w:val="7"/>
            </w:pPr>
            <w:r>
              <w:rPr>
                <w:rFonts w:hint="eastAsia"/>
              </w:rPr>
              <w:t xml:space="preserve">传真： </w:t>
            </w:r>
          </w:p>
        </w:tc>
        <w:tc>
          <w:tcPr>
            <w:tcW w:w="7440" w:type="dxa"/>
            <w:shd w:val="clear" w:color="auto" w:fill="auto"/>
          </w:tcPr>
          <w:p w14:paraId="2244FC9E">
            <w:pPr>
              <w:pStyle w:val="7"/>
            </w:pPr>
            <w:r>
              <w:rPr>
                <w:rFonts w:hint="eastAsia"/>
              </w:rPr>
              <w:t xml:space="preserve">021-68767981 </w:t>
            </w:r>
          </w:p>
        </w:tc>
      </w:tr>
      <w:tr w14:paraId="072D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A53E6">
            <w:pPr>
              <w:pStyle w:val="7"/>
            </w:pPr>
            <w:r>
              <w:rPr>
                <w:rFonts w:hint="eastAsia"/>
              </w:rPr>
              <w:t xml:space="preserve">客户服务电话： </w:t>
            </w:r>
          </w:p>
        </w:tc>
        <w:tc>
          <w:tcPr>
            <w:tcW w:w="7440" w:type="dxa"/>
            <w:shd w:val="clear" w:color="auto" w:fill="auto"/>
          </w:tcPr>
          <w:p w14:paraId="246FD23F">
            <w:pPr>
              <w:pStyle w:val="7"/>
            </w:pPr>
            <w:r>
              <w:rPr>
                <w:rFonts w:hint="eastAsia"/>
              </w:rPr>
              <w:t xml:space="preserve">4008888128 </w:t>
            </w:r>
          </w:p>
        </w:tc>
      </w:tr>
      <w:tr w14:paraId="0BB4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3FAB9">
            <w:pPr>
              <w:pStyle w:val="7"/>
            </w:pPr>
            <w:r>
              <w:rPr>
                <w:rFonts w:hint="eastAsia"/>
              </w:rPr>
              <w:t xml:space="preserve">网址： </w:t>
            </w:r>
          </w:p>
        </w:tc>
        <w:tc>
          <w:tcPr>
            <w:tcW w:w="7440" w:type="dxa"/>
            <w:shd w:val="clear" w:color="auto" w:fill="auto"/>
          </w:tcPr>
          <w:p w14:paraId="32054607">
            <w:pPr>
              <w:pStyle w:val="7"/>
            </w:pPr>
            <w:r>
              <w:rPr>
                <w:rFonts w:hint="eastAsia"/>
              </w:rPr>
              <w:t xml:space="preserve">http://www.tebon.com.cn </w:t>
            </w:r>
          </w:p>
        </w:tc>
      </w:tr>
    </w:tbl>
    <w:p w14:paraId="457D5CFB">
      <w:pPr>
        <w:pStyle w:val="7"/>
        <w:spacing w:before="0" w:beforeAutospacing="0" w:after="0" w:afterAutospacing="0" w:line="360" w:lineRule="auto"/>
        <w:ind w:firstLine="420"/>
        <w:rPr>
          <w:sz w:val="21"/>
          <w:szCs w:val="21"/>
        </w:rPr>
      </w:pPr>
      <w:r>
        <w:rPr>
          <w:rFonts w:hint="eastAsia"/>
          <w:b/>
          <w:bCs/>
          <w:sz w:val="21"/>
          <w:szCs w:val="21"/>
        </w:rPr>
        <w:t>(13)华源证券股份有限公司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8B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A83CE">
            <w:pPr>
              <w:pStyle w:val="7"/>
            </w:pPr>
            <w:r>
              <w:rPr>
                <w:rFonts w:hint="eastAsia"/>
              </w:rPr>
              <w:t xml:space="preserve">注册地址： </w:t>
            </w:r>
          </w:p>
        </w:tc>
        <w:tc>
          <w:tcPr>
            <w:tcW w:w="7440" w:type="dxa"/>
            <w:shd w:val="clear" w:color="auto" w:fill="auto"/>
          </w:tcPr>
          <w:p w14:paraId="56C44EB5">
            <w:pPr>
              <w:pStyle w:val="7"/>
            </w:pPr>
            <w:r>
              <w:rPr>
                <w:rFonts w:hint="eastAsia"/>
              </w:rPr>
              <w:t xml:space="preserve">青海省西宁市城中区西大街11号 </w:t>
            </w:r>
          </w:p>
        </w:tc>
      </w:tr>
      <w:tr w14:paraId="5A3E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3FC22">
            <w:pPr>
              <w:pStyle w:val="7"/>
            </w:pPr>
            <w:r>
              <w:rPr>
                <w:rFonts w:hint="eastAsia"/>
              </w:rPr>
              <w:t xml:space="preserve">办公地址： </w:t>
            </w:r>
          </w:p>
        </w:tc>
        <w:tc>
          <w:tcPr>
            <w:tcW w:w="7440" w:type="dxa"/>
            <w:shd w:val="clear" w:color="auto" w:fill="auto"/>
          </w:tcPr>
          <w:p w14:paraId="4F1094D8">
            <w:pPr>
              <w:pStyle w:val="7"/>
            </w:pPr>
            <w:r>
              <w:rPr>
                <w:rFonts w:hint="eastAsia"/>
              </w:rPr>
              <w:t xml:space="preserve">北京市西城区金融大街7号英蓝国际金融中心D座5层 </w:t>
            </w:r>
          </w:p>
        </w:tc>
      </w:tr>
      <w:tr w14:paraId="0878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4D6D6">
            <w:pPr>
              <w:pStyle w:val="7"/>
            </w:pPr>
            <w:r>
              <w:rPr>
                <w:rFonts w:hint="eastAsia"/>
              </w:rPr>
              <w:t xml:space="preserve">法定代表人： </w:t>
            </w:r>
          </w:p>
        </w:tc>
        <w:tc>
          <w:tcPr>
            <w:tcW w:w="7440" w:type="dxa"/>
            <w:shd w:val="clear" w:color="auto" w:fill="auto"/>
          </w:tcPr>
          <w:p w14:paraId="77D115F6">
            <w:pPr>
              <w:pStyle w:val="7"/>
            </w:pPr>
            <w:r>
              <w:rPr>
                <w:rFonts w:hint="eastAsia"/>
              </w:rPr>
              <w:t xml:space="preserve">邓晖 </w:t>
            </w:r>
          </w:p>
        </w:tc>
      </w:tr>
      <w:tr w14:paraId="5B38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0E90E">
            <w:pPr>
              <w:pStyle w:val="7"/>
            </w:pPr>
            <w:r>
              <w:rPr>
                <w:rFonts w:hint="eastAsia"/>
              </w:rPr>
              <w:t xml:space="preserve">联系人： </w:t>
            </w:r>
          </w:p>
        </w:tc>
        <w:tc>
          <w:tcPr>
            <w:tcW w:w="7440" w:type="dxa"/>
            <w:shd w:val="clear" w:color="auto" w:fill="auto"/>
          </w:tcPr>
          <w:p w14:paraId="5474C4D7">
            <w:pPr>
              <w:pStyle w:val="7"/>
            </w:pPr>
            <w:r>
              <w:rPr>
                <w:rFonts w:hint="eastAsia"/>
              </w:rPr>
              <w:t xml:space="preserve">张晓黎 </w:t>
            </w:r>
          </w:p>
        </w:tc>
      </w:tr>
      <w:tr w14:paraId="1937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14BDF">
            <w:pPr>
              <w:pStyle w:val="7"/>
            </w:pPr>
            <w:r>
              <w:rPr>
                <w:rFonts w:hint="eastAsia"/>
              </w:rPr>
              <w:t xml:space="preserve">电话： </w:t>
            </w:r>
          </w:p>
        </w:tc>
        <w:tc>
          <w:tcPr>
            <w:tcW w:w="7440" w:type="dxa"/>
            <w:shd w:val="clear" w:color="auto" w:fill="auto"/>
          </w:tcPr>
          <w:p w14:paraId="0905EBE9">
            <w:pPr>
              <w:pStyle w:val="7"/>
            </w:pPr>
            <w:r>
              <w:rPr>
                <w:rFonts w:hint="eastAsia"/>
              </w:rPr>
              <w:t xml:space="preserve">010-57672186 </w:t>
            </w:r>
          </w:p>
        </w:tc>
      </w:tr>
      <w:tr w14:paraId="1B25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F3686">
            <w:pPr>
              <w:pStyle w:val="7"/>
            </w:pPr>
            <w:r>
              <w:rPr>
                <w:rFonts w:hint="eastAsia"/>
              </w:rPr>
              <w:t xml:space="preserve">传真： </w:t>
            </w:r>
          </w:p>
        </w:tc>
        <w:tc>
          <w:tcPr>
            <w:tcW w:w="7440" w:type="dxa"/>
            <w:shd w:val="clear" w:color="auto" w:fill="auto"/>
          </w:tcPr>
          <w:p w14:paraId="44A45485">
            <w:pPr>
              <w:pStyle w:val="7"/>
            </w:pPr>
            <w:r>
              <w:rPr>
                <w:rFonts w:hint="eastAsia"/>
              </w:rPr>
              <w:t xml:space="preserve">- </w:t>
            </w:r>
          </w:p>
        </w:tc>
      </w:tr>
      <w:tr w14:paraId="7CB02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5AB9A">
            <w:pPr>
              <w:pStyle w:val="7"/>
            </w:pPr>
            <w:r>
              <w:rPr>
                <w:rFonts w:hint="eastAsia"/>
              </w:rPr>
              <w:t xml:space="preserve">客户服务电话： </w:t>
            </w:r>
          </w:p>
        </w:tc>
        <w:tc>
          <w:tcPr>
            <w:tcW w:w="7440" w:type="dxa"/>
            <w:shd w:val="clear" w:color="auto" w:fill="auto"/>
          </w:tcPr>
          <w:p w14:paraId="57466C25">
            <w:pPr>
              <w:pStyle w:val="7"/>
            </w:pPr>
            <w:r>
              <w:rPr>
                <w:rFonts w:hint="eastAsia"/>
              </w:rPr>
              <w:t xml:space="preserve">4006543218 </w:t>
            </w:r>
          </w:p>
        </w:tc>
      </w:tr>
      <w:tr w14:paraId="7A42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7E85C">
            <w:pPr>
              <w:pStyle w:val="7"/>
            </w:pPr>
            <w:r>
              <w:rPr>
                <w:rFonts w:hint="eastAsia"/>
              </w:rPr>
              <w:t xml:space="preserve">网址： </w:t>
            </w:r>
          </w:p>
        </w:tc>
        <w:tc>
          <w:tcPr>
            <w:tcW w:w="7440" w:type="dxa"/>
            <w:shd w:val="clear" w:color="auto" w:fill="auto"/>
          </w:tcPr>
          <w:p w14:paraId="50CE0DCD">
            <w:pPr>
              <w:pStyle w:val="7"/>
            </w:pPr>
            <w:r>
              <w:rPr>
                <w:rFonts w:hint="eastAsia"/>
              </w:rPr>
              <w:t xml:space="preserve">http://www.tyzq.com.cn </w:t>
            </w:r>
          </w:p>
        </w:tc>
      </w:tr>
    </w:tbl>
    <w:p w14:paraId="2E123054">
      <w:pPr>
        <w:pStyle w:val="7"/>
        <w:spacing w:before="0" w:beforeAutospacing="0" w:after="0" w:afterAutospacing="0" w:line="360" w:lineRule="auto"/>
        <w:ind w:firstLine="420"/>
        <w:rPr>
          <w:sz w:val="21"/>
          <w:szCs w:val="21"/>
        </w:rPr>
      </w:pPr>
      <w:r>
        <w:rPr>
          <w:rFonts w:hint="eastAsia"/>
          <w:b/>
          <w:bCs/>
          <w:sz w:val="21"/>
          <w:szCs w:val="21"/>
        </w:rPr>
        <w:t>(14)国金证券股份有限公司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1D9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5511E">
            <w:pPr>
              <w:pStyle w:val="7"/>
            </w:pPr>
            <w:r>
              <w:rPr>
                <w:rFonts w:hint="eastAsia"/>
              </w:rPr>
              <w:t xml:space="preserve">注册地址： </w:t>
            </w:r>
          </w:p>
        </w:tc>
        <w:tc>
          <w:tcPr>
            <w:tcW w:w="7440" w:type="dxa"/>
            <w:shd w:val="clear" w:color="auto" w:fill="auto"/>
          </w:tcPr>
          <w:p w14:paraId="6C78F0FD">
            <w:pPr>
              <w:pStyle w:val="7"/>
            </w:pPr>
            <w:r>
              <w:rPr>
                <w:rFonts w:hint="eastAsia"/>
              </w:rPr>
              <w:t xml:space="preserve">四川省成都市东城根上街95号 </w:t>
            </w:r>
          </w:p>
        </w:tc>
      </w:tr>
      <w:tr w14:paraId="2B51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C12F3">
            <w:pPr>
              <w:pStyle w:val="7"/>
            </w:pPr>
            <w:r>
              <w:rPr>
                <w:rFonts w:hint="eastAsia"/>
              </w:rPr>
              <w:t xml:space="preserve">办公地址： </w:t>
            </w:r>
          </w:p>
        </w:tc>
        <w:tc>
          <w:tcPr>
            <w:tcW w:w="7440" w:type="dxa"/>
            <w:shd w:val="clear" w:color="auto" w:fill="auto"/>
          </w:tcPr>
          <w:p w14:paraId="08E1C5F1">
            <w:pPr>
              <w:pStyle w:val="7"/>
            </w:pPr>
            <w:r>
              <w:rPr>
                <w:rFonts w:hint="eastAsia"/>
              </w:rPr>
              <w:t xml:space="preserve">四川省成都市东城根上街95号 </w:t>
            </w:r>
          </w:p>
        </w:tc>
      </w:tr>
      <w:tr w14:paraId="6427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C167E">
            <w:pPr>
              <w:pStyle w:val="7"/>
            </w:pPr>
            <w:r>
              <w:rPr>
                <w:rFonts w:hint="eastAsia"/>
              </w:rPr>
              <w:t xml:space="preserve">法定代表人： </w:t>
            </w:r>
          </w:p>
        </w:tc>
        <w:tc>
          <w:tcPr>
            <w:tcW w:w="7440" w:type="dxa"/>
            <w:shd w:val="clear" w:color="auto" w:fill="auto"/>
          </w:tcPr>
          <w:p w14:paraId="6073A9F0">
            <w:pPr>
              <w:pStyle w:val="7"/>
            </w:pPr>
            <w:r>
              <w:rPr>
                <w:rFonts w:hint="eastAsia"/>
              </w:rPr>
              <w:t xml:space="preserve">冉云 </w:t>
            </w:r>
          </w:p>
        </w:tc>
      </w:tr>
      <w:tr w14:paraId="57D9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68709">
            <w:pPr>
              <w:pStyle w:val="7"/>
            </w:pPr>
            <w:r>
              <w:rPr>
                <w:rFonts w:hint="eastAsia"/>
              </w:rPr>
              <w:t xml:space="preserve">联系人： </w:t>
            </w:r>
          </w:p>
        </w:tc>
        <w:tc>
          <w:tcPr>
            <w:tcW w:w="7440" w:type="dxa"/>
            <w:shd w:val="clear" w:color="auto" w:fill="auto"/>
          </w:tcPr>
          <w:p w14:paraId="28540151">
            <w:pPr>
              <w:pStyle w:val="7"/>
            </w:pPr>
            <w:r>
              <w:rPr>
                <w:rFonts w:hint="eastAsia"/>
              </w:rPr>
              <w:t xml:space="preserve">贾鹏 </w:t>
            </w:r>
          </w:p>
        </w:tc>
      </w:tr>
      <w:tr w14:paraId="2ABB1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6525A">
            <w:pPr>
              <w:pStyle w:val="7"/>
            </w:pPr>
            <w:r>
              <w:rPr>
                <w:rFonts w:hint="eastAsia"/>
              </w:rPr>
              <w:t xml:space="preserve">电话： </w:t>
            </w:r>
          </w:p>
        </w:tc>
        <w:tc>
          <w:tcPr>
            <w:tcW w:w="7440" w:type="dxa"/>
            <w:shd w:val="clear" w:color="auto" w:fill="auto"/>
          </w:tcPr>
          <w:p w14:paraId="472371BC">
            <w:pPr>
              <w:pStyle w:val="7"/>
            </w:pPr>
            <w:r>
              <w:rPr>
                <w:rFonts w:hint="eastAsia"/>
              </w:rPr>
              <w:t xml:space="preserve">028-86690057、028-86690058 </w:t>
            </w:r>
          </w:p>
        </w:tc>
      </w:tr>
      <w:tr w14:paraId="1230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B005B">
            <w:pPr>
              <w:pStyle w:val="7"/>
            </w:pPr>
            <w:r>
              <w:rPr>
                <w:rFonts w:hint="eastAsia"/>
              </w:rPr>
              <w:t xml:space="preserve">传真： </w:t>
            </w:r>
          </w:p>
        </w:tc>
        <w:tc>
          <w:tcPr>
            <w:tcW w:w="7440" w:type="dxa"/>
            <w:shd w:val="clear" w:color="auto" w:fill="auto"/>
          </w:tcPr>
          <w:p w14:paraId="52714466">
            <w:pPr>
              <w:pStyle w:val="7"/>
            </w:pPr>
            <w:r>
              <w:rPr>
                <w:rFonts w:hint="eastAsia"/>
              </w:rPr>
              <w:t xml:space="preserve">028-86690126 </w:t>
            </w:r>
          </w:p>
        </w:tc>
      </w:tr>
      <w:tr w14:paraId="68FA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39701">
            <w:pPr>
              <w:pStyle w:val="7"/>
            </w:pPr>
            <w:r>
              <w:rPr>
                <w:rFonts w:hint="eastAsia"/>
              </w:rPr>
              <w:t xml:space="preserve">客户服务电话： </w:t>
            </w:r>
          </w:p>
        </w:tc>
        <w:tc>
          <w:tcPr>
            <w:tcW w:w="7440" w:type="dxa"/>
            <w:shd w:val="clear" w:color="auto" w:fill="auto"/>
          </w:tcPr>
          <w:p w14:paraId="522E6E0C">
            <w:pPr>
              <w:pStyle w:val="7"/>
            </w:pPr>
            <w:r>
              <w:rPr>
                <w:rFonts w:hint="eastAsia"/>
              </w:rPr>
              <w:t xml:space="preserve">4006-600109/95310 </w:t>
            </w:r>
          </w:p>
        </w:tc>
      </w:tr>
      <w:tr w14:paraId="2A83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E5311">
            <w:pPr>
              <w:pStyle w:val="7"/>
            </w:pPr>
            <w:r>
              <w:rPr>
                <w:rFonts w:hint="eastAsia"/>
              </w:rPr>
              <w:t xml:space="preserve">网址： </w:t>
            </w:r>
          </w:p>
        </w:tc>
        <w:tc>
          <w:tcPr>
            <w:tcW w:w="7440" w:type="dxa"/>
            <w:shd w:val="clear" w:color="auto" w:fill="auto"/>
          </w:tcPr>
          <w:p w14:paraId="0B46B49E">
            <w:pPr>
              <w:pStyle w:val="7"/>
            </w:pPr>
            <w:r>
              <w:rPr>
                <w:rFonts w:hint="eastAsia"/>
              </w:rPr>
              <w:t xml:space="preserve">http://www.gjzq.com.cn </w:t>
            </w:r>
          </w:p>
        </w:tc>
      </w:tr>
    </w:tbl>
    <w:p w14:paraId="3224B39F">
      <w:pPr>
        <w:rPr>
          <w:rFonts w:ascii="宋体" w:hAnsi="宋体" w:eastAsia="宋体"/>
          <w:sz w:val="24"/>
          <w:szCs w:val="24"/>
        </w:rPr>
      </w:pPr>
      <w:bookmarkStart w:id="65" w:name="chapter_level1_7_56_section_2_end"/>
      <w:bookmarkEnd w:id="65"/>
      <w:bookmarkStart w:id="66" w:name="field_0_allproxysaletables_1_end"/>
      <w:bookmarkEnd w:id="66"/>
    </w:p>
    <w:p w14:paraId="45537C79">
      <w:pPr>
        <w:pStyle w:val="7"/>
        <w:spacing w:before="0" w:beforeAutospacing="0" w:after="0" w:afterAutospacing="0" w:line="360" w:lineRule="auto"/>
        <w:ind w:firstLine="420"/>
        <w:rPr>
          <w:sz w:val="21"/>
          <w:szCs w:val="21"/>
        </w:rPr>
      </w:pPr>
      <w:bookmarkStart w:id="67" w:name="chapter_level1_7_56_section_3"/>
      <w:bookmarkEnd w:id="67"/>
      <w:r>
        <w:rPr>
          <w:rStyle w:val="11"/>
          <w:rFonts w:hint="eastAsia"/>
          <w:sz w:val="21"/>
          <w:szCs w:val="21"/>
        </w:rPr>
        <w:t>二、登记机构</w:t>
      </w:r>
    </w:p>
    <w:p w14:paraId="4841F037">
      <w:pPr>
        <w:pStyle w:val="7"/>
        <w:spacing w:before="0" w:beforeAutospacing="0" w:after="0" w:afterAutospacing="0" w:line="360" w:lineRule="auto"/>
        <w:ind w:firstLine="420"/>
        <w:rPr>
          <w:sz w:val="21"/>
          <w:szCs w:val="21"/>
        </w:rPr>
      </w:pPr>
      <w:bookmarkStart w:id="68" w:name="field_0_registercompanyinfo_1_start"/>
      <w:bookmarkEnd w:id="68"/>
      <w:r>
        <w:rPr>
          <w:rFonts w:hint="eastAsia"/>
          <w:sz w:val="21"/>
          <w:szCs w:val="21"/>
        </w:rPr>
        <w:t xml:space="preserve">名称：博时基金管理有限公司 </w:t>
      </w:r>
    </w:p>
    <w:p w14:paraId="52EB97F4">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23BFC0F1">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1413F2EB">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73D96009">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4FB6BD47">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400416F4">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9" w:name="field_0_registercompanyinfo_1_end"/>
      <w:bookmarkEnd w:id="69"/>
      <w:r>
        <w:rPr>
          <w:rFonts w:hint="eastAsia"/>
          <w:sz w:val="21"/>
          <w:szCs w:val="21"/>
        </w:rPr>
        <w:t xml:space="preserve">  </w:t>
      </w:r>
    </w:p>
    <w:p w14:paraId="1AA65B87">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06F6AAF8">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226CBE9C">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6F79A78B">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7D801F88">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066EA1CB">
      <w:pPr>
        <w:pStyle w:val="7"/>
        <w:spacing w:before="0" w:beforeAutospacing="0" w:after="0" w:afterAutospacing="0" w:line="360" w:lineRule="auto"/>
        <w:ind w:firstLine="420"/>
        <w:rPr>
          <w:sz w:val="21"/>
          <w:szCs w:val="21"/>
        </w:rPr>
      </w:pPr>
      <w:r>
        <w:rPr>
          <w:rFonts w:hint="eastAsia"/>
          <w:sz w:val="21"/>
          <w:szCs w:val="21"/>
        </w:rPr>
        <w:t xml:space="preserve">电话：021-51150298 </w:t>
      </w:r>
    </w:p>
    <w:p w14:paraId="5A81EEAF">
      <w:pPr>
        <w:pStyle w:val="7"/>
        <w:spacing w:before="0" w:beforeAutospacing="0" w:after="0" w:afterAutospacing="0" w:line="360" w:lineRule="auto"/>
        <w:ind w:firstLine="420"/>
        <w:rPr>
          <w:sz w:val="21"/>
          <w:szCs w:val="21"/>
        </w:rPr>
      </w:pPr>
      <w:r>
        <w:rPr>
          <w:rFonts w:hint="eastAsia"/>
          <w:sz w:val="21"/>
          <w:szCs w:val="21"/>
        </w:rPr>
        <w:t xml:space="preserve">传真：021-51150398 </w:t>
      </w:r>
    </w:p>
    <w:p w14:paraId="44BEB61E">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4E95EC10">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40AB9F9E">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FBF7EBD">
      <w:pPr>
        <w:pStyle w:val="7"/>
        <w:spacing w:before="0" w:beforeAutospacing="0" w:after="0" w:afterAutospacing="0" w:line="360" w:lineRule="auto"/>
        <w:ind w:firstLine="420"/>
        <w:rPr>
          <w:sz w:val="21"/>
          <w:szCs w:val="21"/>
        </w:rPr>
      </w:pPr>
      <w:bookmarkStart w:id="70" w:name="field_0_accountingcompanyinfo_1_start"/>
      <w:bookmarkEnd w:id="70"/>
      <w:r>
        <w:rPr>
          <w:rFonts w:hint="eastAsia"/>
          <w:sz w:val="21"/>
          <w:szCs w:val="21"/>
        </w:rPr>
        <w:t xml:space="preserve">名称：容诚会计师事务所（特殊普通合伙） </w:t>
      </w:r>
    </w:p>
    <w:p w14:paraId="6E98D883">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051FE5CC">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27298604">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62F852A9">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780605CB">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45339476">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3A900793">
      <w:pPr>
        <w:pStyle w:val="7"/>
        <w:spacing w:before="0" w:beforeAutospacing="0" w:after="0" w:afterAutospacing="0" w:line="360" w:lineRule="auto"/>
        <w:ind w:firstLine="420"/>
        <w:rPr>
          <w:sz w:val="21"/>
          <w:szCs w:val="21"/>
        </w:rPr>
      </w:pPr>
      <w:bookmarkStart w:id="71" w:name="chapter_level1_7_56_section_3_end"/>
      <w:bookmarkEnd w:id="71"/>
      <w:r>
        <w:rPr>
          <w:rFonts w:hint="eastAsia"/>
          <w:sz w:val="21"/>
          <w:szCs w:val="21"/>
        </w:rPr>
        <w:t xml:space="preserve">经办注册会计师：薛竞 吴琳杰 </w:t>
      </w:r>
      <w:bookmarkStart w:id="72" w:name="field_0_accountingcompanyinfo_1_end"/>
      <w:bookmarkEnd w:id="72"/>
      <w:r>
        <w:rPr>
          <w:rFonts w:hint="eastAsia"/>
          <w:sz w:val="21"/>
          <w:szCs w:val="21"/>
        </w:rPr>
        <w:t xml:space="preserve">  </w:t>
      </w:r>
    </w:p>
    <w:p w14:paraId="4A99BBE8">
      <w:pPr>
        <w:widowControl/>
        <w:jc w:val="left"/>
        <w:rPr>
          <w:rFonts w:ascii="宋体" w:hAnsi="宋体" w:eastAsia="宋体"/>
        </w:rPr>
      </w:pPr>
      <w:r>
        <w:rPr>
          <w:rFonts w:ascii="宋体" w:hAnsi="宋体" w:eastAsia="宋体"/>
        </w:rPr>
        <w:br w:type="page"/>
      </w:r>
    </w:p>
    <w:p w14:paraId="018D6BA1">
      <w:pPr>
        <w:pStyle w:val="2"/>
        <w:jc w:val="center"/>
        <w:rPr>
          <w:rFonts w:ascii="宋体" w:hAnsi="宋体" w:eastAsia="宋体"/>
          <w:sz w:val="30"/>
        </w:rPr>
      </w:pPr>
      <w:bookmarkStart w:id="73" w:name="chapter_level1_9_58"/>
      <w:bookmarkStart w:id="74" w:name="_Toc207943816"/>
      <w:r>
        <w:rPr>
          <w:rFonts w:hint="eastAsia" w:ascii="宋体" w:hAnsi="宋体" w:eastAsia="宋体"/>
          <w:sz w:val="30"/>
        </w:rPr>
        <w:t>第六部分 基金的募集与基金合同的生效</w:t>
      </w:r>
      <w:bookmarkEnd w:id="73"/>
      <w:bookmarkEnd w:id="74"/>
    </w:p>
    <w:p w14:paraId="689DD6D0">
      <w:pPr>
        <w:pStyle w:val="7"/>
        <w:spacing w:before="0" w:beforeAutospacing="0" w:after="0" w:afterAutospacing="0" w:line="360" w:lineRule="auto"/>
        <w:ind w:firstLine="420"/>
        <w:rPr>
          <w:sz w:val="21"/>
          <w:szCs w:val="21"/>
        </w:rPr>
      </w:pPr>
      <w:bookmarkStart w:id="75" w:name="chapter_level1_9_58_section_1"/>
      <w:bookmarkEnd w:id="75"/>
      <w:r>
        <w:rPr>
          <w:rStyle w:val="11"/>
          <w:rFonts w:hint="eastAsia"/>
          <w:sz w:val="21"/>
          <w:szCs w:val="21"/>
        </w:rPr>
        <w:t>一、基金的募集</w:t>
      </w:r>
    </w:p>
    <w:p w14:paraId="023D1BAC">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6" w:name="field_2343_approveddate_2"/>
      <w:r>
        <w:rPr>
          <w:sz w:val="21"/>
          <w:szCs w:val="21"/>
        </w:rPr>
        <w:t>2015年11月2日</w:t>
      </w:r>
      <w:bookmarkEnd w:id="76"/>
      <w:r>
        <w:rPr>
          <w:rFonts w:hint="eastAsia"/>
          <w:sz w:val="21"/>
          <w:szCs w:val="21"/>
        </w:rPr>
        <w:t>经中国证监会证监许可</w:t>
      </w:r>
      <w:bookmarkStart w:id="77" w:name="field_2343_lotnumber_2"/>
      <w:r>
        <w:rPr>
          <w:sz w:val="21"/>
          <w:szCs w:val="21"/>
        </w:rPr>
        <w:t>[2015]2442</w:t>
      </w:r>
      <w:bookmarkEnd w:id="77"/>
      <w:r>
        <w:rPr>
          <w:rFonts w:hint="eastAsia"/>
          <w:sz w:val="21"/>
          <w:szCs w:val="21"/>
        </w:rPr>
        <w:t xml:space="preserve">号文准予募集注册。 </w:t>
      </w:r>
    </w:p>
    <w:p w14:paraId="53CFDC72">
      <w:pPr>
        <w:pStyle w:val="7"/>
        <w:spacing w:before="0" w:beforeAutospacing="0" w:after="0" w:afterAutospacing="0" w:line="360" w:lineRule="auto"/>
        <w:ind w:firstLine="420"/>
        <w:rPr>
          <w:sz w:val="21"/>
          <w:szCs w:val="21"/>
        </w:rPr>
      </w:pPr>
      <w:r>
        <w:rPr>
          <w:rFonts w:hint="eastAsia"/>
          <w:sz w:val="21"/>
          <w:szCs w:val="21"/>
        </w:rPr>
        <w:t>本基金募集期从</w:t>
      </w:r>
      <w:bookmarkStart w:id="78" w:name="field_58_raisebegindate_1"/>
      <w:r>
        <w:rPr>
          <w:sz w:val="21"/>
          <w:szCs w:val="21"/>
        </w:rPr>
        <w:t>2015年11月13日</w:t>
      </w:r>
      <w:bookmarkEnd w:id="78"/>
      <w:r>
        <w:rPr>
          <w:rFonts w:hint="eastAsia"/>
          <w:sz w:val="21"/>
          <w:szCs w:val="21"/>
        </w:rPr>
        <w:t>起至</w:t>
      </w:r>
      <w:bookmarkStart w:id="79" w:name="field_58_raiseenddate_1"/>
      <w:r>
        <w:rPr>
          <w:sz w:val="21"/>
          <w:szCs w:val="21"/>
        </w:rPr>
        <w:t>2015年11月16日</w:t>
      </w:r>
      <w:bookmarkEnd w:id="79"/>
      <w:r>
        <w:rPr>
          <w:rFonts w:hint="eastAsia"/>
          <w:sz w:val="21"/>
          <w:szCs w:val="21"/>
        </w:rPr>
        <w:t>止，基金份额共募集</w:t>
      </w:r>
      <w:bookmarkStart w:id="80" w:name="field_58_raisetotal_1"/>
      <w:r>
        <w:rPr>
          <w:sz w:val="21"/>
          <w:szCs w:val="21"/>
        </w:rPr>
        <w:t>200,160,078.19</w:t>
      </w:r>
      <w:bookmarkEnd w:id="80"/>
      <w:r>
        <w:rPr>
          <w:rFonts w:hint="eastAsia"/>
          <w:sz w:val="21"/>
          <w:szCs w:val="21"/>
        </w:rPr>
        <w:t>份（含利息结转的份额），有效认购户数为</w:t>
      </w:r>
      <w:bookmarkStart w:id="81" w:name="field_58_effectivetotal_1"/>
      <w:r>
        <w:rPr>
          <w:sz w:val="21"/>
          <w:szCs w:val="21"/>
        </w:rPr>
        <w:t>249</w:t>
      </w:r>
      <w:bookmarkEnd w:id="81"/>
      <w:r>
        <w:rPr>
          <w:rFonts w:hint="eastAsia"/>
          <w:sz w:val="21"/>
          <w:szCs w:val="21"/>
        </w:rPr>
        <w:t xml:space="preserve">户。 </w:t>
      </w:r>
    </w:p>
    <w:p w14:paraId="55232850">
      <w:pPr>
        <w:pStyle w:val="7"/>
        <w:spacing w:before="0" w:beforeAutospacing="0" w:after="0" w:afterAutospacing="0" w:line="360" w:lineRule="auto"/>
        <w:ind w:firstLine="420"/>
        <w:rPr>
          <w:sz w:val="21"/>
          <w:szCs w:val="21"/>
        </w:rPr>
      </w:pPr>
      <w:r>
        <w:rPr>
          <w:rFonts w:hint="eastAsia"/>
          <w:sz w:val="21"/>
          <w:szCs w:val="21"/>
        </w:rPr>
        <w:t xml:space="preserve">本基金运作方式为契约型开放式，存续期间为不定期。 </w:t>
      </w:r>
    </w:p>
    <w:p w14:paraId="4D463D1E">
      <w:pPr>
        <w:pStyle w:val="7"/>
        <w:spacing w:before="0" w:beforeAutospacing="0" w:after="0" w:afterAutospacing="0" w:line="360" w:lineRule="auto"/>
        <w:ind w:firstLine="420"/>
        <w:rPr>
          <w:sz w:val="21"/>
          <w:szCs w:val="21"/>
        </w:rPr>
      </w:pPr>
      <w:r>
        <w:rPr>
          <w:rStyle w:val="11"/>
          <w:rFonts w:hint="eastAsia"/>
          <w:sz w:val="21"/>
          <w:szCs w:val="21"/>
        </w:rPr>
        <w:t>二、基金合同的生效</w:t>
      </w:r>
    </w:p>
    <w:p w14:paraId="2E4BF620">
      <w:pPr>
        <w:pStyle w:val="7"/>
        <w:spacing w:before="0" w:beforeAutospacing="0" w:after="0" w:afterAutospacing="0" w:line="360" w:lineRule="auto"/>
        <w:ind w:firstLine="420"/>
        <w:rPr>
          <w:sz w:val="21"/>
          <w:szCs w:val="21"/>
        </w:rPr>
      </w:pPr>
      <w:bookmarkStart w:id="82" w:name="chapter_level1_9_58_section_1_end"/>
      <w:bookmarkEnd w:id="82"/>
      <w:r>
        <w:rPr>
          <w:rFonts w:hint="eastAsia"/>
          <w:sz w:val="21"/>
          <w:szCs w:val="21"/>
        </w:rPr>
        <w:t>本基金的基金合同已于</w:t>
      </w:r>
      <w:bookmarkStart w:id="83" w:name="field_0_foundday_1"/>
      <w:r>
        <w:rPr>
          <w:sz w:val="21"/>
          <w:szCs w:val="21"/>
        </w:rPr>
        <w:t>2015年11月19日</w:t>
      </w:r>
      <w:bookmarkEnd w:id="83"/>
      <w:r>
        <w:rPr>
          <w:rFonts w:hint="eastAsia"/>
          <w:sz w:val="21"/>
          <w:szCs w:val="21"/>
        </w:rPr>
        <w:t xml:space="preserve">正式生效。 </w:t>
      </w:r>
    </w:p>
    <w:p w14:paraId="444F9774">
      <w:pPr>
        <w:pStyle w:val="7"/>
        <w:spacing w:before="0" w:beforeAutospacing="0" w:after="0" w:afterAutospacing="0" w:line="360" w:lineRule="auto"/>
        <w:ind w:firstLine="420"/>
        <w:rPr>
          <w:sz w:val="21"/>
          <w:szCs w:val="21"/>
        </w:rPr>
      </w:pPr>
      <w:bookmarkStart w:id="84" w:name="chapter_level1_9_58_section_2"/>
      <w:bookmarkEnd w:id="84"/>
      <w:r>
        <w:rPr>
          <w:rStyle w:val="11"/>
          <w:rFonts w:hint="eastAsia"/>
          <w:sz w:val="21"/>
          <w:szCs w:val="21"/>
        </w:rPr>
        <w:t>三、基金存续期内的基金份额持有人数量和资产规模</w:t>
      </w:r>
    </w:p>
    <w:p w14:paraId="543BA178">
      <w:pPr>
        <w:pStyle w:val="7"/>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85" w:name="field_58_minsubnumber_1"/>
      <w:r>
        <w:rPr>
          <w:rFonts w:hint="eastAsia"/>
          <w:sz w:val="21"/>
          <w:szCs w:val="21"/>
        </w:rPr>
        <w:t>二百</w:t>
      </w:r>
      <w:bookmarkEnd w:id="85"/>
      <w:r>
        <w:rPr>
          <w:rFonts w:hint="eastAsia"/>
          <w:sz w:val="21"/>
          <w:szCs w:val="21"/>
        </w:rPr>
        <w:t xml:space="preserve">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14:paraId="6CB95027">
      <w:pPr>
        <w:pStyle w:val="7"/>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法律法规或监管机构另有规定时，从其规定。 </w:t>
      </w:r>
    </w:p>
    <w:p w14:paraId="51787EBD">
      <w:pPr>
        <w:widowControl/>
        <w:jc w:val="left"/>
        <w:rPr>
          <w:rFonts w:ascii="宋体" w:hAnsi="宋体" w:eastAsia="宋体"/>
        </w:rPr>
      </w:pPr>
      <w:r>
        <w:rPr>
          <w:rFonts w:ascii="宋体" w:hAnsi="宋体" w:eastAsia="宋体"/>
        </w:rPr>
        <w:br w:type="page"/>
      </w:r>
    </w:p>
    <w:p w14:paraId="5CC133CE">
      <w:pPr>
        <w:pStyle w:val="2"/>
        <w:jc w:val="center"/>
        <w:rPr>
          <w:rFonts w:ascii="宋体" w:hAnsi="宋体" w:eastAsia="宋体"/>
          <w:sz w:val="30"/>
        </w:rPr>
      </w:pPr>
      <w:bookmarkStart w:id="87" w:name="chapter_level1_10_59"/>
      <w:bookmarkStart w:id="88" w:name="_Toc207943817"/>
      <w:r>
        <w:rPr>
          <w:rFonts w:hint="eastAsia" w:ascii="宋体" w:hAnsi="宋体" w:eastAsia="宋体"/>
          <w:sz w:val="30"/>
        </w:rPr>
        <w:t>第七部分  基金份额的申购与赎回</w:t>
      </w:r>
      <w:bookmarkEnd w:id="87"/>
      <w:bookmarkEnd w:id="88"/>
    </w:p>
    <w:p w14:paraId="31C6FA4C">
      <w:pPr>
        <w:pStyle w:val="7"/>
        <w:spacing w:before="0" w:beforeAutospacing="0" w:after="0" w:afterAutospacing="0" w:line="360" w:lineRule="auto"/>
        <w:ind w:firstLine="420"/>
        <w:rPr>
          <w:sz w:val="21"/>
          <w:szCs w:val="21"/>
        </w:rPr>
      </w:pPr>
      <w:bookmarkStart w:id="89" w:name="chapter_level1_10_59_section_1"/>
      <w:bookmarkEnd w:id="89"/>
      <w:r>
        <w:rPr>
          <w:rStyle w:val="11"/>
          <w:rFonts w:hint="eastAsia"/>
          <w:sz w:val="21"/>
          <w:szCs w:val="21"/>
        </w:rPr>
        <w:t>一、申购与赎回的场所</w:t>
      </w:r>
    </w:p>
    <w:p w14:paraId="7F00030B">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其他销售机构。基金管理人可根据情况变更或增减销售机构，并在基金管理人网站公示。基金投资者应当在销售机构办理基金销售业务的营业场所或按销售机构提供的其他</w:t>
      </w:r>
      <w:bookmarkStart w:id="90" w:name="chapter_level1_10_59_section_1_end"/>
      <w:bookmarkEnd w:id="90"/>
      <w:r>
        <w:rPr>
          <w:rFonts w:hint="eastAsia"/>
          <w:sz w:val="21"/>
          <w:szCs w:val="21"/>
        </w:rPr>
        <w:t xml:space="preserve">方式办理基金份额的申购与赎回。 </w:t>
      </w:r>
    </w:p>
    <w:p w14:paraId="4B4C0725">
      <w:pPr>
        <w:pStyle w:val="7"/>
        <w:spacing w:before="0" w:beforeAutospacing="0" w:after="0" w:afterAutospacing="0" w:line="360" w:lineRule="auto"/>
        <w:ind w:firstLine="420"/>
        <w:rPr>
          <w:sz w:val="21"/>
          <w:szCs w:val="21"/>
        </w:rPr>
      </w:pPr>
      <w:bookmarkStart w:id="91" w:name="chapter_level1_10_59_section_2"/>
      <w:bookmarkEnd w:id="91"/>
      <w:r>
        <w:rPr>
          <w:rStyle w:val="11"/>
          <w:rFonts w:hint="eastAsia"/>
          <w:sz w:val="21"/>
          <w:szCs w:val="21"/>
        </w:rPr>
        <w:t>二、申购与赎回办理的开放日及时间</w:t>
      </w:r>
    </w:p>
    <w:p w14:paraId="03A0F3BF">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228F8E6A">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5D6AA1E7">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14:paraId="53152A35">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4B11109C">
      <w:pPr>
        <w:pStyle w:val="7"/>
        <w:spacing w:before="0" w:beforeAutospacing="0" w:after="0" w:afterAutospacing="0" w:line="360" w:lineRule="auto"/>
        <w:ind w:firstLine="420"/>
        <w:rPr>
          <w:sz w:val="21"/>
          <w:szCs w:val="21"/>
        </w:rPr>
      </w:pPr>
      <w:r>
        <w:rPr>
          <w:rFonts w:hint="eastAsia"/>
          <w:sz w:val="21"/>
          <w:szCs w:val="21"/>
        </w:rPr>
        <w:t xml:space="preserve">本基金于2015年12月3日起开放日常申购、赎回业务。 </w:t>
      </w:r>
    </w:p>
    <w:p w14:paraId="49F4C7A9">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2" w:name="chapter_level1_10_59_section_2_end"/>
      <w:bookmarkEnd w:id="92"/>
      <w:r>
        <w:rPr>
          <w:rFonts w:hint="eastAsia"/>
          <w:sz w:val="21"/>
          <w:szCs w:val="21"/>
        </w:rPr>
        <w:t xml:space="preserve">受的，其基金份额申购、赎回价格为下一开放日基金份额申购、赎回的价格。 </w:t>
      </w:r>
    </w:p>
    <w:p w14:paraId="52E5138A">
      <w:pPr>
        <w:pStyle w:val="7"/>
        <w:spacing w:before="0" w:beforeAutospacing="0" w:after="0" w:afterAutospacing="0" w:line="360" w:lineRule="auto"/>
        <w:ind w:firstLine="420"/>
        <w:rPr>
          <w:sz w:val="21"/>
          <w:szCs w:val="21"/>
        </w:rPr>
      </w:pPr>
      <w:bookmarkStart w:id="93" w:name="chapter_level1_10_59_section_3"/>
      <w:bookmarkEnd w:id="93"/>
      <w:r>
        <w:rPr>
          <w:rFonts w:hint="eastAsia"/>
          <w:b/>
          <w:bCs/>
          <w:sz w:val="21"/>
          <w:szCs w:val="21"/>
        </w:rPr>
        <w:t>三、申购与赎回的原则</w:t>
      </w:r>
    </w:p>
    <w:p w14:paraId="27E8411B">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1DE9FA21">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2C83DAB2">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523E1D38">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083161D">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14:paraId="4448D8F3">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6824EE88">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4A7EDDC4">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94" w:name="field_59_dealerfirstpurminamount_1"/>
      <w:r>
        <w:rPr>
          <w:sz w:val="21"/>
          <w:szCs w:val="21"/>
        </w:rPr>
        <w:t>1</w:t>
      </w:r>
      <w:bookmarkEnd w:id="94"/>
      <w:r>
        <w:rPr>
          <w:rFonts w:hint="eastAsia"/>
          <w:sz w:val="21"/>
          <w:szCs w:val="21"/>
        </w:rPr>
        <w:t>元，追加购买最低金额为</w:t>
      </w:r>
      <w:bookmarkStart w:id="95" w:name="field_59_dealerlaterpurminamount_1"/>
      <w:r>
        <w:rPr>
          <w:sz w:val="21"/>
          <w:szCs w:val="21"/>
        </w:rPr>
        <w:t>1</w:t>
      </w:r>
      <w:bookmarkEnd w:id="95"/>
      <w:r>
        <w:rPr>
          <w:rFonts w:hint="eastAsia"/>
          <w:sz w:val="21"/>
          <w:szCs w:val="21"/>
        </w:rPr>
        <w:t xml:space="preserve">元；详情请见当地销售机构公告；  </w:t>
      </w:r>
    </w:p>
    <w:p w14:paraId="33FE42D1">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6" w:name="field_59_minholdshare_1"/>
      <w:r>
        <w:rPr>
          <w:sz w:val="21"/>
          <w:szCs w:val="21"/>
        </w:rPr>
        <w:t>1</w:t>
      </w:r>
      <w:bookmarkEnd w:id="96"/>
      <w:r>
        <w:rPr>
          <w:rFonts w:hint="eastAsia"/>
          <w:sz w:val="21"/>
          <w:szCs w:val="21"/>
        </w:rPr>
        <w:t>份，若某笔赎回导致单个交易账户的基金份额余额少于</w:t>
      </w:r>
      <w:bookmarkStart w:id="97" w:name="field_59_minholdshare_2"/>
      <w:r>
        <w:rPr>
          <w:sz w:val="21"/>
          <w:szCs w:val="21"/>
        </w:rPr>
        <w:t>1</w:t>
      </w:r>
      <w:bookmarkEnd w:id="97"/>
      <w:r>
        <w:rPr>
          <w:rFonts w:hint="eastAsia"/>
          <w:sz w:val="21"/>
          <w:szCs w:val="21"/>
        </w:rPr>
        <w:t xml:space="preserve">份时，余额部分基金份额必须一同赎回；   </w:t>
      </w:r>
    </w:p>
    <w:p w14:paraId="77C4BDF5">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需符合法律法规、监管机构的规定或基金合同的约定；  </w:t>
      </w:r>
    </w:p>
    <w:p w14:paraId="3EB43385">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2FADFF50">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5、基金管理人可在法律法规允许的情况下，调整上述规定申购金额和赎回份额等数量限制。基金管理人必须在调整实施前依照《信息披露办法》的有关规定在指定媒介上公告。  </w:t>
      </w:r>
    </w:p>
    <w:p w14:paraId="2E04AC93">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0EB8F973">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05037796">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482EE56C">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0C8B2700">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4BEBF7D3">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14FB7CCC">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7806C673">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4004691D">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5A9D5102">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02816467">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0AC1ECAB">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0140F6B4">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7ED2439D">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4CC1E8F3">
      <w:pPr>
        <w:pStyle w:val="7"/>
        <w:spacing w:before="0" w:beforeAutospacing="0" w:after="0" w:afterAutospacing="0" w:line="360" w:lineRule="auto"/>
        <w:ind w:firstLine="420"/>
        <w:jc w:val="center"/>
        <w:rPr>
          <w:sz w:val="21"/>
          <w:szCs w:val="21"/>
        </w:rPr>
      </w:pPr>
      <w:r>
        <w:rPr>
          <w:rFonts w:hint="eastAsia"/>
          <w:sz w:val="21"/>
          <w:szCs w:val="21"/>
        </w:rPr>
        <w:t xml:space="preserve">表2：本基金份额的申购费率  </w:t>
      </w:r>
    </w:p>
    <w:tbl>
      <w:tblPr>
        <w:tblStyle w:val="9"/>
        <w:tblW w:w="32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7"/>
        <w:gridCol w:w="2878"/>
      </w:tblGrid>
      <w:tr w14:paraId="352B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pct"/>
            <w:shd w:val="clear" w:color="auto" w:fill="auto"/>
          </w:tcPr>
          <w:p w14:paraId="3CAACD92">
            <w:pPr>
              <w:pStyle w:val="7"/>
              <w:jc w:val="center"/>
            </w:pPr>
            <w:r>
              <w:rPr>
                <w:rFonts w:hint="eastAsia"/>
              </w:rPr>
              <w:t xml:space="preserve">金额（M）  </w:t>
            </w:r>
          </w:p>
        </w:tc>
        <w:tc>
          <w:tcPr>
            <w:tcW w:w="2600" w:type="pct"/>
            <w:shd w:val="clear" w:color="auto" w:fill="auto"/>
          </w:tcPr>
          <w:p w14:paraId="747BC7DB">
            <w:pPr>
              <w:pStyle w:val="7"/>
              <w:jc w:val="center"/>
            </w:pPr>
            <w:r>
              <w:rPr>
                <w:rFonts w:hint="eastAsia"/>
              </w:rPr>
              <w:t xml:space="preserve">申购费率  </w:t>
            </w:r>
          </w:p>
        </w:tc>
      </w:tr>
      <w:tr w14:paraId="2E97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pct"/>
            <w:shd w:val="clear" w:color="auto" w:fill="auto"/>
          </w:tcPr>
          <w:p w14:paraId="0DAB3012">
            <w:pPr>
              <w:pStyle w:val="7"/>
              <w:jc w:val="center"/>
            </w:pPr>
            <w:r>
              <w:rPr>
                <w:rFonts w:hint="eastAsia"/>
              </w:rPr>
              <w:t xml:space="preserve">M＜100万  </w:t>
            </w:r>
          </w:p>
        </w:tc>
        <w:tc>
          <w:tcPr>
            <w:tcW w:w="2600" w:type="pct"/>
            <w:shd w:val="clear" w:color="auto" w:fill="auto"/>
          </w:tcPr>
          <w:p w14:paraId="270AD389">
            <w:pPr>
              <w:pStyle w:val="7"/>
              <w:jc w:val="center"/>
            </w:pPr>
            <w:r>
              <w:rPr>
                <w:rFonts w:hint="eastAsia"/>
              </w:rPr>
              <w:t xml:space="preserve">0.80%  </w:t>
            </w:r>
          </w:p>
        </w:tc>
      </w:tr>
      <w:tr w14:paraId="2B31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pct"/>
            <w:shd w:val="clear" w:color="auto" w:fill="auto"/>
          </w:tcPr>
          <w:p w14:paraId="496D0BAC">
            <w:pPr>
              <w:pStyle w:val="7"/>
              <w:jc w:val="center"/>
            </w:pPr>
            <w:r>
              <w:rPr>
                <w:rFonts w:hint="eastAsia"/>
              </w:rPr>
              <w:t xml:space="preserve">100万≤M＜300万  </w:t>
            </w:r>
          </w:p>
        </w:tc>
        <w:tc>
          <w:tcPr>
            <w:tcW w:w="2600" w:type="pct"/>
            <w:shd w:val="clear" w:color="auto" w:fill="auto"/>
          </w:tcPr>
          <w:p w14:paraId="120E526C">
            <w:pPr>
              <w:pStyle w:val="7"/>
              <w:jc w:val="center"/>
            </w:pPr>
            <w:r>
              <w:rPr>
                <w:rFonts w:hint="eastAsia"/>
              </w:rPr>
              <w:t xml:space="preserve">0.50%  </w:t>
            </w:r>
          </w:p>
        </w:tc>
      </w:tr>
      <w:tr w14:paraId="3E9A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pct"/>
            <w:shd w:val="clear" w:color="auto" w:fill="auto"/>
          </w:tcPr>
          <w:p w14:paraId="772A8819">
            <w:pPr>
              <w:pStyle w:val="7"/>
              <w:jc w:val="center"/>
            </w:pPr>
            <w:r>
              <w:rPr>
                <w:rFonts w:hint="eastAsia"/>
              </w:rPr>
              <w:t xml:space="preserve">300万≤M＜500万  </w:t>
            </w:r>
          </w:p>
        </w:tc>
        <w:tc>
          <w:tcPr>
            <w:tcW w:w="2600" w:type="pct"/>
            <w:shd w:val="clear" w:color="auto" w:fill="auto"/>
          </w:tcPr>
          <w:p w14:paraId="1DC0776E">
            <w:pPr>
              <w:pStyle w:val="7"/>
              <w:jc w:val="center"/>
            </w:pPr>
            <w:r>
              <w:rPr>
                <w:rFonts w:hint="eastAsia"/>
              </w:rPr>
              <w:t xml:space="preserve">0.30%  </w:t>
            </w:r>
          </w:p>
        </w:tc>
      </w:tr>
      <w:tr w14:paraId="7AC2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pct"/>
            <w:shd w:val="clear" w:color="auto" w:fill="auto"/>
          </w:tcPr>
          <w:p w14:paraId="5C68C728">
            <w:pPr>
              <w:pStyle w:val="7"/>
              <w:jc w:val="center"/>
            </w:pPr>
            <w:r>
              <w:rPr>
                <w:rFonts w:hint="eastAsia"/>
              </w:rPr>
              <w:t xml:space="preserve">M≥500万  </w:t>
            </w:r>
          </w:p>
        </w:tc>
        <w:tc>
          <w:tcPr>
            <w:tcW w:w="2600" w:type="pct"/>
            <w:shd w:val="clear" w:color="auto" w:fill="auto"/>
          </w:tcPr>
          <w:p w14:paraId="3D0B751A">
            <w:pPr>
              <w:pStyle w:val="7"/>
              <w:jc w:val="center"/>
            </w:pPr>
            <w:r>
              <w:rPr>
                <w:rFonts w:hint="eastAsia"/>
              </w:rPr>
              <w:t xml:space="preserve">每笔1000元  </w:t>
            </w:r>
          </w:p>
        </w:tc>
      </w:tr>
    </w:tbl>
    <w:p w14:paraId="2995DB70">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5A32D357">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7F2168B0">
      <w:pPr>
        <w:pStyle w:val="7"/>
        <w:spacing w:before="0" w:beforeAutospacing="0" w:after="0" w:afterAutospacing="0" w:line="360" w:lineRule="auto"/>
        <w:ind w:firstLine="420"/>
        <w:jc w:val="center"/>
        <w:rPr>
          <w:sz w:val="21"/>
          <w:szCs w:val="21"/>
        </w:rPr>
      </w:pPr>
      <w:r>
        <w:rPr>
          <w:rFonts w:hint="eastAsia"/>
          <w:sz w:val="21"/>
          <w:szCs w:val="21"/>
        </w:rPr>
        <w:t xml:space="preserve">表3：本基金的赎回费率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355"/>
      </w:tblGrid>
      <w:tr w14:paraId="5028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shd w:val="clear" w:color="auto" w:fill="auto"/>
          </w:tcPr>
          <w:p w14:paraId="400B2D2E">
            <w:pPr>
              <w:pStyle w:val="7"/>
              <w:jc w:val="center"/>
            </w:pPr>
            <w:r>
              <w:rPr>
                <w:rFonts w:hint="eastAsia"/>
              </w:rPr>
              <w:t xml:space="preserve">持有期间（Y）  </w:t>
            </w:r>
          </w:p>
        </w:tc>
        <w:tc>
          <w:tcPr>
            <w:tcW w:w="2355" w:type="dxa"/>
            <w:shd w:val="clear" w:color="auto" w:fill="auto"/>
          </w:tcPr>
          <w:p w14:paraId="1C6E78FE">
            <w:pPr>
              <w:pStyle w:val="7"/>
              <w:jc w:val="center"/>
            </w:pPr>
            <w:r>
              <w:rPr>
                <w:rFonts w:hint="eastAsia"/>
              </w:rPr>
              <w:t xml:space="preserve">费率  </w:t>
            </w:r>
          </w:p>
        </w:tc>
      </w:tr>
      <w:tr w14:paraId="229D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shd w:val="clear" w:color="auto" w:fill="auto"/>
          </w:tcPr>
          <w:p w14:paraId="4BCB8FD9">
            <w:pPr>
              <w:pStyle w:val="7"/>
              <w:jc w:val="center"/>
            </w:pPr>
            <w:r>
              <w:rPr>
                <w:rFonts w:hint="eastAsia"/>
              </w:rPr>
              <w:t xml:space="preserve">Y＜7日  </w:t>
            </w:r>
          </w:p>
        </w:tc>
        <w:tc>
          <w:tcPr>
            <w:tcW w:w="2355" w:type="dxa"/>
            <w:shd w:val="clear" w:color="auto" w:fill="auto"/>
          </w:tcPr>
          <w:p w14:paraId="4FA951B3">
            <w:pPr>
              <w:pStyle w:val="7"/>
              <w:ind w:firstLine="420"/>
            </w:pPr>
            <w:r>
              <w:rPr>
                <w:rFonts w:hint="eastAsia"/>
              </w:rPr>
              <w:t xml:space="preserve">1.50%  </w:t>
            </w:r>
          </w:p>
        </w:tc>
      </w:tr>
      <w:tr w14:paraId="2C14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shd w:val="clear" w:color="auto" w:fill="auto"/>
          </w:tcPr>
          <w:p w14:paraId="69C36ACC">
            <w:pPr>
              <w:pStyle w:val="7"/>
              <w:jc w:val="center"/>
            </w:pPr>
            <w:r>
              <w:rPr>
                <w:rFonts w:hint="eastAsia"/>
              </w:rPr>
              <w:t xml:space="preserve">7日≤Y＜1年  </w:t>
            </w:r>
          </w:p>
        </w:tc>
        <w:tc>
          <w:tcPr>
            <w:tcW w:w="2355" w:type="dxa"/>
            <w:shd w:val="clear" w:color="auto" w:fill="auto"/>
          </w:tcPr>
          <w:p w14:paraId="3266D4D2">
            <w:pPr>
              <w:pStyle w:val="7"/>
              <w:ind w:firstLine="420"/>
            </w:pPr>
            <w:r>
              <w:rPr>
                <w:rFonts w:hint="eastAsia"/>
              </w:rPr>
              <w:t xml:space="preserve">0.10%  </w:t>
            </w:r>
          </w:p>
        </w:tc>
      </w:tr>
      <w:tr w14:paraId="4684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shd w:val="clear" w:color="auto" w:fill="auto"/>
          </w:tcPr>
          <w:p w14:paraId="41D710F6">
            <w:pPr>
              <w:pStyle w:val="7"/>
              <w:jc w:val="center"/>
            </w:pPr>
            <w:r>
              <w:rPr>
                <w:rFonts w:hint="eastAsia"/>
              </w:rPr>
              <w:t xml:space="preserve">1年≤Y＜2年  </w:t>
            </w:r>
          </w:p>
        </w:tc>
        <w:tc>
          <w:tcPr>
            <w:tcW w:w="2355" w:type="dxa"/>
            <w:shd w:val="clear" w:color="auto" w:fill="auto"/>
          </w:tcPr>
          <w:p w14:paraId="550B122F">
            <w:pPr>
              <w:pStyle w:val="7"/>
              <w:ind w:firstLine="420"/>
            </w:pPr>
            <w:r>
              <w:rPr>
                <w:rFonts w:hint="eastAsia"/>
              </w:rPr>
              <w:t xml:space="preserve">0.05%  </w:t>
            </w:r>
          </w:p>
        </w:tc>
      </w:tr>
      <w:tr w14:paraId="1683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shd w:val="clear" w:color="auto" w:fill="auto"/>
          </w:tcPr>
          <w:p w14:paraId="4B9B586A">
            <w:pPr>
              <w:pStyle w:val="7"/>
              <w:jc w:val="center"/>
            </w:pPr>
            <w:r>
              <w:rPr>
                <w:rFonts w:hint="eastAsia"/>
              </w:rPr>
              <w:t xml:space="preserve">Y≥2年  </w:t>
            </w:r>
          </w:p>
        </w:tc>
        <w:tc>
          <w:tcPr>
            <w:tcW w:w="2355" w:type="dxa"/>
            <w:shd w:val="clear" w:color="auto" w:fill="auto"/>
          </w:tcPr>
          <w:p w14:paraId="6B7EA2C0">
            <w:pPr>
              <w:pStyle w:val="7"/>
              <w:ind w:firstLine="420"/>
            </w:pPr>
            <w:r>
              <w:rPr>
                <w:rFonts w:hint="eastAsia"/>
              </w:rPr>
              <w:t xml:space="preserve">0%  </w:t>
            </w:r>
          </w:p>
        </w:tc>
      </w:tr>
    </w:tbl>
    <w:p w14:paraId="28C9A0A2">
      <w:pPr>
        <w:pStyle w:val="7"/>
        <w:spacing w:before="0" w:beforeAutospacing="0" w:after="0" w:afterAutospacing="0" w:line="360" w:lineRule="auto"/>
        <w:ind w:firstLine="420"/>
        <w:rPr>
          <w:sz w:val="21"/>
          <w:szCs w:val="21"/>
        </w:rPr>
      </w:pPr>
      <w:r>
        <w:rPr>
          <w:rFonts w:hint="eastAsia"/>
          <w:sz w:val="21"/>
          <w:szCs w:val="21"/>
        </w:rPr>
        <w:t xml:space="preserve">注：1年指365日  </w:t>
      </w:r>
    </w:p>
    <w:p w14:paraId="7D34B669">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63FC97E9">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本基金的赎回费用由基金份额持有人承担，赎回费100%计入基金财产。  </w:t>
      </w:r>
    </w:p>
    <w:p w14:paraId="7DE2E3B3">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237D9392">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4F93507B">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4DE2161F">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32C2A20C">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783D9D58">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436A252">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3A586862">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6A12FADC">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171D489F">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5B8E3A16">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08966443">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340E443C">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1D4BE876">
      <w:pPr>
        <w:pStyle w:val="7"/>
        <w:spacing w:before="0" w:beforeAutospacing="0" w:after="0" w:afterAutospacing="0" w:line="360" w:lineRule="auto"/>
        <w:ind w:firstLine="420"/>
        <w:rPr>
          <w:sz w:val="21"/>
          <w:szCs w:val="21"/>
        </w:rPr>
      </w:pPr>
      <w:r>
        <w:rPr>
          <w:rFonts w:hint="eastAsia"/>
          <w:sz w:val="21"/>
          <w:szCs w:val="21"/>
        </w:rPr>
        <w:t xml:space="preserve"> 例3：假定T日基金份额净值为1.056元，某投资人本次申购本基金40万元，对应的本次申购费率为0.80%，该投资人可得到的基金份额为：  </w:t>
      </w:r>
    </w:p>
    <w:p w14:paraId="71A2A4E4">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14:paraId="45D9929B">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14:paraId="1136E160">
      <w:pPr>
        <w:pStyle w:val="7"/>
        <w:spacing w:before="0" w:beforeAutospacing="0" w:after="0" w:afterAutospacing="0" w:line="360" w:lineRule="auto"/>
        <w:ind w:firstLine="420"/>
        <w:rPr>
          <w:sz w:val="21"/>
          <w:szCs w:val="21"/>
        </w:rPr>
      </w:pPr>
      <w:r>
        <w:rPr>
          <w:rFonts w:hint="eastAsia"/>
          <w:sz w:val="21"/>
          <w:szCs w:val="21"/>
        </w:rPr>
        <w:t xml:space="preserve">申购份额=396,825.40/1.056＝375,781.63份  </w:t>
      </w:r>
    </w:p>
    <w:p w14:paraId="2EA663B7">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即：投资人投资40万元申购本基金，假定申购当日基金份额净值为1.056元，可得到375,781.63份基金份额。  </w:t>
      </w:r>
    </w:p>
    <w:p w14:paraId="4DF351F9">
      <w:pPr>
        <w:pStyle w:val="7"/>
        <w:spacing w:before="0" w:beforeAutospacing="0" w:after="0" w:afterAutospacing="0" w:line="360" w:lineRule="auto"/>
        <w:ind w:firstLine="420"/>
        <w:rPr>
          <w:sz w:val="21"/>
          <w:szCs w:val="21"/>
        </w:rPr>
      </w:pPr>
      <w:r>
        <w:rPr>
          <w:rFonts w:hint="eastAsia"/>
          <w:sz w:val="21"/>
          <w:szCs w:val="21"/>
        </w:rPr>
        <w:t xml:space="preserve">例4：假定T日基金份额净值为1.056元，某投资人投资600万元申购本基金，其对应的申购费用为1000元，则其可得到的申购份额为：  </w:t>
      </w:r>
    </w:p>
    <w:p w14:paraId="1F6A4439">
      <w:pPr>
        <w:pStyle w:val="7"/>
        <w:spacing w:before="0" w:beforeAutospacing="0" w:after="0" w:afterAutospacing="0" w:line="360" w:lineRule="auto"/>
        <w:ind w:firstLine="420"/>
        <w:rPr>
          <w:sz w:val="21"/>
          <w:szCs w:val="21"/>
        </w:rPr>
      </w:pPr>
      <w:r>
        <w:rPr>
          <w:rFonts w:hint="eastAsia"/>
          <w:sz w:val="21"/>
          <w:szCs w:val="21"/>
        </w:rPr>
        <w:t xml:space="preserve">申购费用＝1000.00元  </w:t>
      </w:r>
    </w:p>
    <w:p w14:paraId="11A1077E">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71BA4A65">
      <w:pPr>
        <w:pStyle w:val="7"/>
        <w:spacing w:before="0" w:beforeAutospacing="0" w:after="0" w:afterAutospacing="0" w:line="360" w:lineRule="auto"/>
        <w:ind w:firstLine="420"/>
        <w:rPr>
          <w:sz w:val="21"/>
          <w:szCs w:val="21"/>
        </w:rPr>
      </w:pPr>
      <w:r>
        <w:rPr>
          <w:rFonts w:hint="eastAsia"/>
          <w:sz w:val="21"/>
          <w:szCs w:val="21"/>
        </w:rPr>
        <w:t xml:space="preserve">申购份额＝5,999,000/1.056＝5,680,871.21份  </w:t>
      </w:r>
    </w:p>
    <w:p w14:paraId="4BED3C92">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即，投资人投资600万元申购本基金，假定申购当日基金份额净值为1.056元，可得到5,680,871.21份基金份额。  </w:t>
      </w:r>
    </w:p>
    <w:p w14:paraId="70682A2F">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051E24E3">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064EA414">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4D399AFF">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BADE5B2">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3E404D65">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例5：某投资者赎回本基金1万份基金份额，持有时间为三年，对应的赎回费率为0%，假设赎回当日基金份额净值是1.250 元，则其可得到的赎回金额为：  </w:t>
      </w:r>
    </w:p>
    <w:p w14:paraId="5BC5604F">
      <w:pPr>
        <w:pStyle w:val="7"/>
        <w:spacing w:before="0" w:beforeAutospacing="0" w:after="0" w:afterAutospacing="0" w:line="360" w:lineRule="auto"/>
        <w:ind w:firstLine="420"/>
        <w:rPr>
          <w:sz w:val="21"/>
          <w:szCs w:val="21"/>
        </w:rPr>
      </w:pPr>
      <w:r>
        <w:rPr>
          <w:rFonts w:hint="eastAsia"/>
          <w:sz w:val="21"/>
          <w:szCs w:val="21"/>
        </w:rPr>
        <w:t xml:space="preserve">赎回总金额=10,000×1.250=12,500.00 元  </w:t>
      </w:r>
    </w:p>
    <w:p w14:paraId="15054CD7">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0E3381A9">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565BC16A">
      <w:pPr>
        <w:pStyle w:val="7"/>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即：投资者赎回本基金1万份基金份额，持有时间为三年，假设赎回当日基金份额净值是1.250元，则其可得到的赎回金额为12,500.00元。  </w:t>
      </w:r>
    </w:p>
    <w:p w14:paraId="378719DB">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基金份额净值在当天收市后计算，并按照基金合同约定公告。遇特殊情况，经中国证监会同意，可以适当延迟计算或公告。  </w:t>
      </w:r>
    </w:p>
    <w:p w14:paraId="57F45861">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和基金赎回费率，并进行公告。  </w:t>
      </w:r>
    </w:p>
    <w:p w14:paraId="58BF113C">
      <w:pPr>
        <w:pStyle w:val="7"/>
        <w:spacing w:before="0" w:beforeAutospacing="0" w:after="0" w:afterAutospacing="0" w:line="360" w:lineRule="auto"/>
        <w:ind w:firstLine="420"/>
        <w:rPr>
          <w:sz w:val="21"/>
          <w:szCs w:val="21"/>
        </w:rPr>
      </w:pPr>
      <w:r>
        <w:rPr>
          <w:rFonts w:hint="eastAsia"/>
          <w:b/>
          <w:bCs/>
          <w:sz w:val="21"/>
          <w:szCs w:val="21"/>
        </w:rPr>
        <w:t>八、申购与赎回的登记</w:t>
      </w:r>
    </w:p>
    <w:p w14:paraId="3F4B710F">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1FE6F375">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54CE9E6B">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01272162">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004938AC">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14:paraId="709F1856">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37E31E7">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3249B010">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738162D1">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0A618B80">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736148CB">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4BB863FD">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545DDBA8">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73D2062B">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26ECE01E">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D39BA9E">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55159D01">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 </w:t>
      </w:r>
    </w:p>
    <w:p w14:paraId="2009D0F7">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27A6A9CB">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7427D588">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3D2E0A1">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365D2E69">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0A63BA28">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54B8A8A0">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30606B55">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33E5D1AB">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52157542">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14:paraId="18BA8F07">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2F813F00">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8" w:name="field_49_mintredeemscale_2"/>
      <w:r>
        <w:rPr>
          <w:sz w:val="21"/>
          <w:szCs w:val="21"/>
        </w:rPr>
        <w:t>10</w:t>
      </w:r>
      <w:bookmarkEnd w:id="98"/>
      <w:r>
        <w:rPr>
          <w:rFonts w:hint="eastAsia"/>
          <w:sz w:val="21"/>
          <w:szCs w:val="21"/>
        </w:rPr>
        <w:t xml:space="preserve">%，即认为是发生了巨额赎回。  </w:t>
      </w:r>
    </w:p>
    <w:p w14:paraId="25F737D0">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A7E9881">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116ADA42">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BC3657F">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9" w:name="field_49_mintredeemscale_3"/>
      <w:r>
        <w:rPr>
          <w:sz w:val="21"/>
          <w:szCs w:val="21"/>
        </w:rPr>
        <w:t>10</w:t>
      </w:r>
      <w:bookmarkEnd w:id="99"/>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14:paraId="64ACD8E4">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0" w:name="field_49_mintredeemscale_4"/>
      <w:r>
        <w:rPr>
          <w:sz w:val="21"/>
          <w:szCs w:val="21"/>
        </w:rPr>
        <w:t>10</w:t>
      </w:r>
      <w:bookmarkEnd w:id="100"/>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10A9FE4C">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3ABC9EC4">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65A4508B">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6978A5D7">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4A8C002C">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53319A7C">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2、如发生暂停的时间为1日，基金管理人应于重新开放日，在指定媒介上刊登基金重新开放申购或赎回公告，并公布最近1个开放日的基金份额净值。  </w:t>
      </w:r>
    </w:p>
    <w:p w14:paraId="163FA1FD">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1" w:name="chapter_level1_10_59_section_3_end"/>
      <w:bookmarkEnd w:id="101"/>
      <w:r>
        <w:rPr>
          <w:rFonts w:hint="eastAsia"/>
          <w:sz w:val="21"/>
          <w:szCs w:val="21"/>
        </w:rPr>
        <w:t xml:space="preserve">开放的公告。 </w:t>
      </w:r>
    </w:p>
    <w:p w14:paraId="4AA91E63">
      <w:pPr>
        <w:pStyle w:val="7"/>
        <w:spacing w:before="0" w:beforeAutospacing="0" w:after="0" w:afterAutospacing="0" w:line="360" w:lineRule="auto"/>
        <w:ind w:firstLine="420"/>
        <w:rPr>
          <w:sz w:val="21"/>
          <w:szCs w:val="21"/>
        </w:rPr>
      </w:pPr>
      <w:bookmarkStart w:id="102" w:name="chapter_level1_10_59_section_4"/>
      <w:bookmarkEnd w:id="102"/>
      <w:r>
        <w:rPr>
          <w:rFonts w:hint="eastAsia"/>
          <w:b/>
          <w:bCs/>
          <w:sz w:val="21"/>
          <w:szCs w:val="21"/>
        </w:rPr>
        <w:t>十三、基金转换</w:t>
      </w:r>
    </w:p>
    <w:p w14:paraId="68862DB3">
      <w:pPr>
        <w:pStyle w:val="7"/>
        <w:spacing w:before="0" w:beforeAutospacing="0" w:after="0" w:afterAutospacing="0" w:line="360" w:lineRule="auto"/>
        <w:ind w:firstLine="420"/>
        <w:rPr>
          <w:sz w:val="21"/>
          <w:szCs w:val="21"/>
        </w:rPr>
      </w:pPr>
      <w:r>
        <w:rPr>
          <w:rFonts w:hint="eastAsia"/>
          <w:sz w:val="21"/>
          <w:szCs w:val="21"/>
        </w:rPr>
        <w:t xml:space="preserve">1、 业务开通时间 </w:t>
      </w:r>
    </w:p>
    <w:p w14:paraId="30093359">
      <w:pPr>
        <w:pStyle w:val="7"/>
        <w:spacing w:before="0" w:beforeAutospacing="0" w:after="0" w:afterAutospacing="0" w:line="360" w:lineRule="auto"/>
        <w:ind w:firstLine="420"/>
        <w:rPr>
          <w:sz w:val="21"/>
          <w:szCs w:val="21"/>
        </w:rPr>
      </w:pPr>
      <w:r>
        <w:rPr>
          <w:rFonts w:hint="eastAsia"/>
          <w:sz w:val="21"/>
          <w:szCs w:val="21"/>
        </w:rPr>
        <w:t xml:space="preserve">本基金已于2016年8月16日开通基金转换业务。 </w:t>
      </w:r>
    </w:p>
    <w:p w14:paraId="4283B403">
      <w:pPr>
        <w:pStyle w:val="7"/>
        <w:spacing w:before="0" w:beforeAutospacing="0" w:after="0" w:afterAutospacing="0" w:line="360" w:lineRule="auto"/>
        <w:ind w:firstLine="420"/>
        <w:rPr>
          <w:sz w:val="21"/>
          <w:szCs w:val="21"/>
        </w:rPr>
      </w:pPr>
      <w:r>
        <w:rPr>
          <w:rFonts w:hint="eastAsia"/>
          <w:sz w:val="21"/>
          <w:szCs w:val="21"/>
        </w:rPr>
        <w:t xml:space="preserve">2、日常转换业务的办理时间 </w:t>
      </w:r>
    </w:p>
    <w:p w14:paraId="3EE1C750">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日常转换和定期定额投资业务，具体办理时间为上海证券交易所、深圳证券交易所的正常交易日的交易时间。开放日对投资者的业务办理时间是9：30-15：00，具体以销售网点的公告和安排为准。 </w:t>
      </w:r>
    </w:p>
    <w:p w14:paraId="47B9E6C8">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3DC0BF65">
      <w:pPr>
        <w:pStyle w:val="7"/>
        <w:spacing w:before="0" w:beforeAutospacing="0" w:after="0" w:afterAutospacing="0" w:line="360" w:lineRule="auto"/>
        <w:ind w:firstLine="420"/>
        <w:rPr>
          <w:sz w:val="21"/>
          <w:szCs w:val="21"/>
        </w:rPr>
      </w:pPr>
      <w:r>
        <w:rPr>
          <w:rFonts w:hint="eastAsia"/>
          <w:sz w:val="21"/>
          <w:szCs w:val="21"/>
        </w:rPr>
        <w:t xml:space="preserve">（1）转换费用 </w:t>
      </w:r>
    </w:p>
    <w:p w14:paraId="00012F29">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97B430B">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61D5B0E5">
      <w:pPr>
        <w:pStyle w:val="7"/>
        <w:spacing w:before="0" w:beforeAutospacing="0" w:after="0" w:afterAutospacing="0" w:line="360" w:lineRule="auto"/>
        <w:ind w:firstLine="420"/>
        <w:rPr>
          <w:sz w:val="21"/>
          <w:szCs w:val="21"/>
        </w:rPr>
      </w:pPr>
      <w:r>
        <w:rPr>
          <w:rFonts w:hint="eastAsia"/>
          <w:sz w:val="21"/>
          <w:szCs w:val="21"/>
        </w:rPr>
        <w:t xml:space="preserve">1）、业务规则 </w:t>
      </w:r>
    </w:p>
    <w:p w14:paraId="4EE0A6D5">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49A6E876">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71A172DD">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1D606932">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1E098E53">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5D99B45A">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76507053">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79FB9119">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E6F9A84">
      <w:pPr>
        <w:pStyle w:val="7"/>
        <w:spacing w:before="0" w:beforeAutospacing="0" w:after="0" w:afterAutospacing="0" w:line="360" w:lineRule="auto"/>
        <w:ind w:firstLine="420"/>
        <w:rPr>
          <w:sz w:val="21"/>
          <w:szCs w:val="21"/>
        </w:rPr>
      </w:pPr>
      <w:r>
        <w:rPr>
          <w:rFonts w:hint="eastAsia"/>
          <w:sz w:val="21"/>
          <w:szCs w:val="21"/>
        </w:rPr>
        <w:t xml:space="preserve">3）重要提示 </w:t>
      </w:r>
    </w:p>
    <w:p w14:paraId="00099788">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①本基金转换业务适用于可以销售包括博时外延增长主题灵活配置混合型证券投资基金在内的两只以上（含两只），且基金注册登记机构为同一机构的博时旗下基金的销售机构。 </w:t>
      </w:r>
    </w:p>
    <w:p w14:paraId="3C9EB6EF">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03" w:name="field_0_managerorgfullname_6"/>
      <w:r>
        <w:rPr>
          <w:rFonts w:hint="eastAsia"/>
          <w:sz w:val="21"/>
          <w:szCs w:val="21"/>
        </w:rPr>
        <w:t>博时基金管理有限公司</w:t>
      </w:r>
      <w:bookmarkEnd w:id="103"/>
      <w:r>
        <w:rPr>
          <w:rFonts w:hint="eastAsia"/>
          <w:sz w:val="21"/>
          <w:szCs w:val="21"/>
        </w:rPr>
        <w:t xml:space="preserve">关于旗下开放式基金转换业务的公告》。 </w:t>
      </w:r>
    </w:p>
    <w:p w14:paraId="68DB4CDC">
      <w:pPr>
        <w:pStyle w:val="7"/>
        <w:spacing w:before="0" w:beforeAutospacing="0" w:after="0" w:afterAutospacing="0" w:line="360" w:lineRule="auto"/>
        <w:ind w:firstLine="420"/>
        <w:rPr>
          <w:sz w:val="21"/>
          <w:szCs w:val="21"/>
        </w:rPr>
      </w:pPr>
      <w:r>
        <w:rPr>
          <w:rFonts w:hint="eastAsia"/>
          <w:sz w:val="21"/>
          <w:szCs w:val="21"/>
        </w:rPr>
        <w:t xml:space="preserve">③本公司管理基金的转换业务的解释权归本公司 </w:t>
      </w:r>
    </w:p>
    <w:p w14:paraId="495AA5D4">
      <w:pPr>
        <w:pStyle w:val="7"/>
        <w:spacing w:before="0" w:beforeAutospacing="0" w:after="0" w:afterAutospacing="0" w:line="360" w:lineRule="auto"/>
        <w:ind w:firstLine="420"/>
        <w:rPr>
          <w:sz w:val="21"/>
          <w:szCs w:val="21"/>
        </w:rPr>
      </w:pPr>
      <w:r>
        <w:rPr>
          <w:rFonts w:hint="eastAsia"/>
          <w:sz w:val="21"/>
          <w:szCs w:val="21"/>
        </w:rPr>
        <w:t xml:space="preserve">4、 基金销售机构 </w:t>
      </w:r>
    </w:p>
    <w:p w14:paraId="0C5D924E">
      <w:pPr>
        <w:pStyle w:val="7"/>
        <w:spacing w:before="0" w:beforeAutospacing="0" w:after="0" w:afterAutospacing="0" w:line="360" w:lineRule="auto"/>
        <w:ind w:firstLine="420"/>
        <w:rPr>
          <w:sz w:val="21"/>
          <w:szCs w:val="21"/>
        </w:rPr>
      </w:pPr>
      <w:bookmarkStart w:id="104" w:name="field_0_managerorgfullname_7"/>
      <w:r>
        <w:rPr>
          <w:rFonts w:hint="eastAsia"/>
          <w:sz w:val="21"/>
          <w:szCs w:val="21"/>
        </w:rPr>
        <w:t>博时基金管理有限公司</w:t>
      </w:r>
      <w:bookmarkEnd w:id="104"/>
      <w:r>
        <w:rPr>
          <w:rFonts w:hint="eastAsia"/>
          <w:sz w:val="21"/>
          <w:szCs w:val="21"/>
        </w:rPr>
        <w:t xml:space="preserve">直销机构（含直销中心及直销网上交易）。投资者如需办理直销 </w:t>
      </w:r>
    </w:p>
    <w:p w14:paraId="33A76DB7">
      <w:pPr>
        <w:pStyle w:val="7"/>
        <w:spacing w:before="0" w:beforeAutospacing="0" w:after="0" w:afterAutospacing="0" w:line="360" w:lineRule="auto"/>
        <w:ind w:firstLine="420"/>
        <w:rPr>
          <w:sz w:val="21"/>
          <w:szCs w:val="21"/>
        </w:rPr>
      </w:pPr>
      <w:r>
        <w:rPr>
          <w:rFonts w:hint="eastAsia"/>
          <w:sz w:val="21"/>
          <w:szCs w:val="21"/>
        </w:rPr>
        <w:t>网上交易，可登录本公司网站www.bosera.com 参阅《</w:t>
      </w:r>
      <w:bookmarkStart w:id="105" w:name="field_0_managerorgfullname_8"/>
      <w:r>
        <w:rPr>
          <w:rFonts w:hint="eastAsia"/>
          <w:sz w:val="21"/>
          <w:szCs w:val="21"/>
        </w:rPr>
        <w:t>博时基金管理有限公司</w:t>
      </w:r>
      <w:bookmarkEnd w:id="105"/>
      <w:r>
        <w:rPr>
          <w:rFonts w:hint="eastAsia"/>
          <w:sz w:val="21"/>
          <w:szCs w:val="21"/>
        </w:rPr>
        <w:t>开放式基金业务规则》、《</w:t>
      </w:r>
      <w:bookmarkStart w:id="106" w:name="field_0_managerorgfullname_9"/>
      <w:r>
        <w:rPr>
          <w:rFonts w:hint="eastAsia"/>
          <w:sz w:val="21"/>
          <w:szCs w:val="21"/>
        </w:rPr>
        <w:t>博时基金管理有限公司</w:t>
      </w:r>
      <w:bookmarkEnd w:id="106"/>
      <w:r>
        <w:rPr>
          <w:rFonts w:hint="eastAsia"/>
          <w:sz w:val="21"/>
          <w:szCs w:val="21"/>
        </w:rPr>
        <w:t>网上交易业务规则》、《</w:t>
      </w:r>
      <w:bookmarkStart w:id="107" w:name="field_0_managerorgfullname_10"/>
      <w:r>
        <w:rPr>
          <w:rFonts w:hint="eastAsia"/>
          <w:sz w:val="21"/>
          <w:szCs w:val="21"/>
        </w:rPr>
        <w:t>博时基金管理有限公司</w:t>
      </w:r>
      <w:bookmarkEnd w:id="107"/>
      <w:r>
        <w:rPr>
          <w:rFonts w:hint="eastAsia"/>
          <w:sz w:val="21"/>
          <w:szCs w:val="21"/>
        </w:rPr>
        <w:t xml:space="preserve">直销定期投资业务规则》等办理相关开户、申购、赎回、基金转换、定期定额投资等业务。 </w:t>
      </w:r>
    </w:p>
    <w:p w14:paraId="569A42B6">
      <w:pPr>
        <w:pStyle w:val="7"/>
        <w:spacing w:before="0" w:beforeAutospacing="0" w:after="0" w:afterAutospacing="0" w:line="360" w:lineRule="auto"/>
        <w:ind w:firstLine="420"/>
        <w:rPr>
          <w:sz w:val="21"/>
          <w:szCs w:val="21"/>
        </w:rPr>
      </w:pPr>
      <w:r>
        <w:rPr>
          <w:rFonts w:hint="eastAsia"/>
          <w:sz w:val="21"/>
          <w:szCs w:val="21"/>
        </w:rPr>
        <w:t xml:space="preserve">5、基金份额净值公告/基金收益公告的披露安排 </w:t>
      </w:r>
    </w:p>
    <w:p w14:paraId="6044163A">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在开始办理基金份额申购或者赎回后，基金管理人应当在每个开放日的次日，通过网站、基金份额发售网点以及其他媒介，披露开放日的基金份额净值和基金份额累计净值。 </w:t>
      </w:r>
    </w:p>
    <w:p w14:paraId="74BE8286">
      <w:pPr>
        <w:pStyle w:val="7"/>
        <w:spacing w:before="0" w:beforeAutospacing="0" w:after="0" w:afterAutospacing="0" w:line="360" w:lineRule="auto"/>
        <w:ind w:firstLine="420"/>
        <w:rPr>
          <w:sz w:val="21"/>
          <w:szCs w:val="21"/>
        </w:rPr>
      </w:pPr>
      <w:r>
        <w:rPr>
          <w:rFonts w:hint="eastAsia"/>
          <w:sz w:val="21"/>
          <w:szCs w:val="21"/>
        </w:rPr>
        <w:t xml:space="preserve">6、其他需要提示的事项 </w:t>
      </w:r>
    </w:p>
    <w:p w14:paraId="0AC21FBB">
      <w:pPr>
        <w:pStyle w:val="7"/>
        <w:spacing w:before="0" w:beforeAutospacing="0" w:after="0" w:afterAutospacing="0" w:line="360" w:lineRule="auto"/>
        <w:ind w:firstLine="420"/>
        <w:rPr>
          <w:sz w:val="21"/>
          <w:szCs w:val="21"/>
        </w:rPr>
      </w:pPr>
      <w:r>
        <w:rPr>
          <w:rFonts w:hint="eastAsia"/>
          <w:sz w:val="21"/>
          <w:szCs w:val="21"/>
        </w:rPr>
        <w:t xml:space="preserve">1）上述代销机构和直销机构均受理投资者的开户、日常申购和赎回等业务。本基金若增加、调整直销网点或代销机构，本公司将及时公告，敬请投资者留意。 </w:t>
      </w:r>
    </w:p>
    <w:p w14:paraId="063E35BD">
      <w:pPr>
        <w:pStyle w:val="7"/>
        <w:spacing w:before="0" w:beforeAutospacing="0" w:after="0" w:afterAutospacing="0" w:line="360" w:lineRule="auto"/>
        <w:ind w:firstLine="420"/>
        <w:rPr>
          <w:sz w:val="21"/>
          <w:szCs w:val="21"/>
        </w:rPr>
      </w:pPr>
      <w:r>
        <w:rPr>
          <w:rFonts w:hint="eastAsia"/>
          <w:sz w:val="21"/>
          <w:szCs w:val="21"/>
        </w:rPr>
        <w:t>2）本公告仅对本基金份额发售的有关事项和规定予以说明。投资者欲了解本基金的详细情况，请详细阅读刊登在2015 年11 月10 日的《证券时报》上的</w:t>
      </w:r>
      <w:bookmarkStart w:id="108" w:name="chapter_level1_10_59_section_4_end"/>
      <w:bookmarkEnd w:id="108"/>
      <w:r>
        <w:rPr>
          <w:rFonts w:hint="eastAsia"/>
          <w:sz w:val="21"/>
          <w:szCs w:val="21"/>
        </w:rPr>
        <w:t>《</w:t>
      </w:r>
      <w:bookmarkStart w:id="109" w:name="field_0_productfullname_12"/>
      <w:r>
        <w:rPr>
          <w:rFonts w:hint="eastAsia"/>
          <w:sz w:val="21"/>
          <w:szCs w:val="21"/>
        </w:rPr>
        <w:t>博时裕泰纯债债券型证券投资基金</w:t>
      </w:r>
      <w:bookmarkEnd w:id="109"/>
      <w:r>
        <w:rPr>
          <w:rFonts w:hint="eastAsia"/>
          <w:sz w:val="21"/>
          <w:szCs w:val="21"/>
        </w:rPr>
        <w:t xml:space="preserve">招募说明书》。 </w:t>
      </w:r>
    </w:p>
    <w:p w14:paraId="09C8A297">
      <w:pPr>
        <w:pStyle w:val="7"/>
        <w:spacing w:before="0" w:beforeAutospacing="0" w:after="0" w:afterAutospacing="0" w:line="360" w:lineRule="auto"/>
        <w:ind w:firstLine="420"/>
        <w:rPr>
          <w:sz w:val="21"/>
          <w:szCs w:val="21"/>
        </w:rPr>
      </w:pPr>
      <w:bookmarkStart w:id="110" w:name="chapter_level1_10_59_section_5"/>
      <w:bookmarkEnd w:id="110"/>
      <w:r>
        <w:rPr>
          <w:rStyle w:val="11"/>
          <w:rFonts w:hint="eastAsia"/>
          <w:sz w:val="21"/>
          <w:szCs w:val="21"/>
        </w:rPr>
        <w:t>十四、基金份额的转让</w:t>
      </w:r>
    </w:p>
    <w:p w14:paraId="56C2410E">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25546866">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2C2782EA">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217B7F1">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3671B39">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752E4742">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1" w:name="chapter_level1_10_59_section_5_end"/>
      <w:bookmarkEnd w:id="111"/>
      <w:r>
        <w:rPr>
          <w:rFonts w:hint="eastAsia"/>
          <w:sz w:val="21"/>
          <w:szCs w:val="21"/>
        </w:rPr>
        <w:t xml:space="preserve">以按照规定的标准收取转托管费。 </w:t>
      </w:r>
    </w:p>
    <w:p w14:paraId="513710E4">
      <w:pPr>
        <w:pStyle w:val="7"/>
        <w:spacing w:before="0" w:beforeAutospacing="0" w:after="0" w:afterAutospacing="0" w:line="360" w:lineRule="auto"/>
        <w:ind w:firstLine="420"/>
        <w:rPr>
          <w:sz w:val="21"/>
          <w:szCs w:val="21"/>
        </w:rPr>
      </w:pPr>
      <w:bookmarkStart w:id="112" w:name="chapter_level1_10_59_section_6"/>
      <w:bookmarkEnd w:id="112"/>
      <w:r>
        <w:rPr>
          <w:rStyle w:val="11"/>
          <w:rFonts w:hint="eastAsia"/>
          <w:sz w:val="21"/>
          <w:szCs w:val="21"/>
        </w:rPr>
        <w:t>十七、定期定额投资计划</w:t>
      </w:r>
    </w:p>
    <w:p w14:paraId="55F4759C">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61863D50">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33DC2E1D">
      <w:pPr>
        <w:pStyle w:val="7"/>
        <w:spacing w:before="0" w:beforeAutospacing="0" w:after="0" w:afterAutospacing="0" w:line="360" w:lineRule="auto"/>
        <w:ind w:firstLine="420"/>
        <w:rPr>
          <w:sz w:val="21"/>
          <w:szCs w:val="21"/>
        </w:rPr>
      </w:pPr>
      <w:r>
        <w:rPr>
          <w:rFonts w:hint="eastAsia"/>
          <w:sz w:val="21"/>
          <w:szCs w:val="21"/>
        </w:rPr>
        <w:t xml:space="preserve">（2）申购费率 </w:t>
      </w:r>
    </w:p>
    <w:p w14:paraId="4977C4DB">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7951C892">
      <w:pPr>
        <w:pStyle w:val="7"/>
        <w:spacing w:before="0" w:beforeAutospacing="0" w:after="0" w:afterAutospacing="0" w:line="360" w:lineRule="auto"/>
        <w:ind w:firstLine="420"/>
        <w:rPr>
          <w:sz w:val="21"/>
          <w:szCs w:val="21"/>
        </w:rPr>
      </w:pPr>
      <w:r>
        <w:rPr>
          <w:rFonts w:hint="eastAsia"/>
          <w:sz w:val="21"/>
          <w:szCs w:val="21"/>
        </w:rPr>
        <w:t xml:space="preserve">表：本基金的申购费率结构表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3"/>
        <w:gridCol w:w="2850"/>
      </w:tblGrid>
      <w:tr w14:paraId="078C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C070DD">
            <w:pPr>
              <w:pStyle w:val="7"/>
            </w:pPr>
            <w:r>
              <w:rPr>
                <w:rFonts w:hint="eastAsia"/>
              </w:rPr>
              <w:t xml:space="preserve">金额（M） </w:t>
            </w:r>
          </w:p>
        </w:tc>
        <w:tc>
          <w:tcPr>
            <w:tcW w:w="0" w:type="auto"/>
            <w:shd w:val="clear" w:color="auto" w:fill="auto"/>
          </w:tcPr>
          <w:p w14:paraId="2DF05723">
            <w:pPr>
              <w:pStyle w:val="7"/>
            </w:pPr>
            <w:r>
              <w:rPr>
                <w:rFonts w:hint="eastAsia"/>
              </w:rPr>
              <w:t xml:space="preserve">申购费率 </w:t>
            </w:r>
          </w:p>
        </w:tc>
      </w:tr>
      <w:tr w14:paraId="5BB2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2D4380">
            <w:pPr>
              <w:pStyle w:val="7"/>
            </w:pPr>
            <w:r>
              <w:rPr>
                <w:rFonts w:hint="eastAsia"/>
              </w:rPr>
              <w:t xml:space="preserve">M＜100万 </w:t>
            </w:r>
          </w:p>
        </w:tc>
        <w:tc>
          <w:tcPr>
            <w:tcW w:w="0" w:type="auto"/>
            <w:shd w:val="clear" w:color="auto" w:fill="auto"/>
          </w:tcPr>
          <w:p w14:paraId="6AED4D45">
            <w:pPr>
              <w:pStyle w:val="7"/>
            </w:pPr>
            <w:r>
              <w:rPr>
                <w:rFonts w:hint="eastAsia"/>
              </w:rPr>
              <w:t xml:space="preserve">0.80% </w:t>
            </w:r>
          </w:p>
        </w:tc>
      </w:tr>
      <w:tr w14:paraId="6CC8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864016">
            <w:pPr>
              <w:pStyle w:val="7"/>
            </w:pPr>
            <w:r>
              <w:rPr>
                <w:rFonts w:hint="eastAsia"/>
              </w:rPr>
              <w:t xml:space="preserve">100万≤M＜300万 </w:t>
            </w:r>
          </w:p>
        </w:tc>
        <w:tc>
          <w:tcPr>
            <w:tcW w:w="0" w:type="auto"/>
            <w:shd w:val="clear" w:color="auto" w:fill="auto"/>
          </w:tcPr>
          <w:p w14:paraId="6B9DDB0E">
            <w:pPr>
              <w:pStyle w:val="7"/>
            </w:pPr>
            <w:r>
              <w:rPr>
                <w:rFonts w:hint="eastAsia"/>
              </w:rPr>
              <w:t xml:space="preserve">0.50% </w:t>
            </w:r>
          </w:p>
        </w:tc>
      </w:tr>
      <w:tr w14:paraId="2AF4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7430BD">
            <w:pPr>
              <w:pStyle w:val="7"/>
            </w:pPr>
            <w:r>
              <w:rPr>
                <w:rFonts w:hint="eastAsia"/>
              </w:rPr>
              <w:t xml:space="preserve">300万≤M＜500万 </w:t>
            </w:r>
          </w:p>
        </w:tc>
        <w:tc>
          <w:tcPr>
            <w:tcW w:w="0" w:type="auto"/>
            <w:shd w:val="clear" w:color="auto" w:fill="auto"/>
          </w:tcPr>
          <w:p w14:paraId="1135F28A">
            <w:pPr>
              <w:pStyle w:val="7"/>
            </w:pPr>
            <w:r>
              <w:rPr>
                <w:rFonts w:hint="eastAsia"/>
              </w:rPr>
              <w:t xml:space="preserve">0.30% </w:t>
            </w:r>
          </w:p>
        </w:tc>
      </w:tr>
      <w:tr w14:paraId="1B83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73070C">
            <w:pPr>
              <w:pStyle w:val="7"/>
            </w:pPr>
            <w:r>
              <w:rPr>
                <w:rFonts w:hint="eastAsia"/>
              </w:rPr>
              <w:t xml:space="preserve">M≥500万 </w:t>
            </w:r>
          </w:p>
        </w:tc>
        <w:tc>
          <w:tcPr>
            <w:tcW w:w="0" w:type="auto"/>
            <w:shd w:val="clear" w:color="auto" w:fill="auto"/>
          </w:tcPr>
          <w:p w14:paraId="048D575B">
            <w:pPr>
              <w:pStyle w:val="7"/>
            </w:pPr>
            <w:r>
              <w:rPr>
                <w:rFonts w:hint="eastAsia"/>
              </w:rPr>
              <w:t xml:space="preserve">每笔1000元 </w:t>
            </w:r>
          </w:p>
        </w:tc>
      </w:tr>
    </w:tbl>
    <w:p w14:paraId="07C346B8">
      <w:pPr>
        <w:pStyle w:val="7"/>
        <w:spacing w:before="0" w:beforeAutospacing="0" w:after="0" w:afterAutospacing="0" w:line="360" w:lineRule="auto"/>
        <w:ind w:firstLine="420"/>
        <w:rPr>
          <w:sz w:val="21"/>
          <w:szCs w:val="21"/>
        </w:rPr>
      </w:pPr>
      <w:r>
        <w:rPr>
          <w:rFonts w:hint="eastAsia"/>
          <w:sz w:val="21"/>
          <w:szCs w:val="21"/>
        </w:rPr>
        <w:t xml:space="preserve">来源：博时基金 </w:t>
      </w:r>
    </w:p>
    <w:p w14:paraId="188D197E">
      <w:pPr>
        <w:pStyle w:val="7"/>
        <w:spacing w:before="0" w:beforeAutospacing="0" w:after="0" w:afterAutospacing="0" w:line="360" w:lineRule="auto"/>
        <w:ind w:firstLine="420"/>
        <w:rPr>
          <w:sz w:val="21"/>
          <w:szCs w:val="21"/>
        </w:rPr>
      </w:pPr>
      <w:r>
        <w:rPr>
          <w:rFonts w:hint="eastAsia"/>
          <w:sz w:val="21"/>
          <w:szCs w:val="21"/>
        </w:rPr>
        <w:t xml:space="preserve">本基金的申购费用由投资者承担，主要用于本基金的市场推广、销售、注册登记等各项费用，不列入基金财产。 </w:t>
      </w:r>
    </w:p>
    <w:p w14:paraId="7D16166B">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0ABD323F">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投资者须遵循各销售机构有关扣款日期的规定，定投金额每次不少于人民币1元（含1元）。 </w:t>
      </w:r>
    </w:p>
    <w:p w14:paraId="443B130A">
      <w:pPr>
        <w:pStyle w:val="7"/>
        <w:spacing w:before="0" w:beforeAutospacing="0" w:after="0" w:afterAutospacing="0" w:line="360" w:lineRule="auto"/>
        <w:ind w:firstLine="420"/>
        <w:rPr>
          <w:sz w:val="21"/>
          <w:szCs w:val="21"/>
        </w:rPr>
      </w:pPr>
      <w:r>
        <w:rPr>
          <w:rFonts w:hint="eastAsia"/>
          <w:sz w:val="21"/>
          <w:szCs w:val="21"/>
        </w:rPr>
        <w:t xml:space="preserve">（4）重要提示 </w:t>
      </w:r>
    </w:p>
    <w:p w14:paraId="1018FAA0">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3AAD50C9">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 日起通过本定期定额投资计划办理网点、致电本公司客服电话或登录本公司网站查询其每次申购申请的确认情况。申购份额</w:t>
      </w:r>
      <w:bookmarkStart w:id="113" w:name="chapter_level1_10_59_section_6_end"/>
      <w:bookmarkEnd w:id="113"/>
      <w:r>
        <w:rPr>
          <w:rFonts w:hint="eastAsia"/>
          <w:sz w:val="21"/>
          <w:szCs w:val="21"/>
        </w:rPr>
        <w:t xml:space="preserve">将在确认成功后直接计入投资者的基金账户。 </w:t>
      </w:r>
    </w:p>
    <w:p w14:paraId="3A8F7C8E">
      <w:pPr>
        <w:pStyle w:val="7"/>
        <w:spacing w:before="0" w:beforeAutospacing="0" w:after="0" w:afterAutospacing="0" w:line="360" w:lineRule="auto"/>
        <w:ind w:firstLine="420"/>
        <w:rPr>
          <w:sz w:val="21"/>
          <w:szCs w:val="21"/>
        </w:rPr>
      </w:pPr>
      <w:bookmarkStart w:id="114" w:name="chapter_level1_10_59_section_7"/>
      <w:bookmarkEnd w:id="114"/>
      <w:r>
        <w:rPr>
          <w:rStyle w:val="11"/>
          <w:rFonts w:hint="eastAsia"/>
          <w:sz w:val="21"/>
          <w:szCs w:val="21"/>
        </w:rPr>
        <w:t>十八、基金份额的冻结、解冻和质押</w:t>
      </w:r>
    </w:p>
    <w:p w14:paraId="72C731B0">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3E3C23AB">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39103431">
      <w:pPr>
        <w:pStyle w:val="7"/>
        <w:spacing w:before="0" w:beforeAutospacing="0" w:after="0" w:afterAutospacing="0" w:line="360" w:lineRule="auto"/>
        <w:ind w:firstLine="420"/>
        <w:rPr>
          <w:sz w:val="21"/>
          <w:szCs w:val="21"/>
        </w:rPr>
      </w:pPr>
      <w:r>
        <w:rPr>
          <w:rFonts w:hint="eastAsia"/>
          <w:b/>
          <w:bCs/>
          <w:sz w:val="21"/>
          <w:szCs w:val="21"/>
        </w:rPr>
        <w:t>十九、实施侧袋机制期间本基金的申购与赎回</w:t>
      </w:r>
    </w:p>
    <w:p w14:paraId="1738FCB2">
      <w:pPr>
        <w:pStyle w:val="7"/>
        <w:spacing w:before="0" w:beforeAutospacing="0" w:after="0" w:afterAutospacing="0" w:line="360" w:lineRule="auto"/>
        <w:ind w:firstLine="420"/>
        <w:rPr>
          <w:sz w:val="21"/>
          <w:szCs w:val="21"/>
        </w:rPr>
      </w:pPr>
      <w:bookmarkStart w:id="115" w:name="chapter_level1_10_59_section_7_end"/>
      <w:bookmarkEnd w:id="115"/>
      <w:r>
        <w:rPr>
          <w:rFonts w:hint="eastAsia"/>
          <w:sz w:val="21"/>
          <w:szCs w:val="21"/>
        </w:rPr>
        <w:t xml:space="preserve">本基金实施侧袋机制的，本基金的申购和赎回安排详见招募说明书或相关公告。 </w:t>
      </w:r>
    </w:p>
    <w:p w14:paraId="4749DC1B">
      <w:pPr>
        <w:widowControl/>
        <w:jc w:val="left"/>
        <w:rPr>
          <w:rFonts w:ascii="宋体" w:hAnsi="宋体" w:eastAsia="宋体"/>
        </w:rPr>
      </w:pPr>
      <w:r>
        <w:rPr>
          <w:rFonts w:ascii="宋体" w:hAnsi="宋体" w:eastAsia="宋体"/>
        </w:rPr>
        <w:br w:type="page"/>
      </w:r>
    </w:p>
    <w:p w14:paraId="75BBA9A1">
      <w:pPr>
        <w:pStyle w:val="2"/>
        <w:jc w:val="center"/>
        <w:rPr>
          <w:rFonts w:ascii="宋体" w:hAnsi="宋体" w:eastAsia="宋体"/>
          <w:sz w:val="30"/>
        </w:rPr>
      </w:pPr>
      <w:bookmarkStart w:id="116" w:name="_Toc207943818"/>
      <w:bookmarkStart w:id="117" w:name="chapter_level1_11_60"/>
      <w:r>
        <w:rPr>
          <w:rFonts w:hint="eastAsia" w:ascii="宋体" w:hAnsi="宋体" w:eastAsia="宋体"/>
          <w:sz w:val="30"/>
        </w:rPr>
        <w:t>第八部分  基金的投资</w:t>
      </w:r>
      <w:bookmarkEnd w:id="116"/>
      <w:bookmarkEnd w:id="117"/>
    </w:p>
    <w:p w14:paraId="2CB9C315">
      <w:pPr>
        <w:pStyle w:val="7"/>
        <w:spacing w:before="0" w:beforeAutospacing="0" w:after="0" w:afterAutospacing="0" w:line="360" w:lineRule="auto"/>
        <w:ind w:firstLine="420"/>
        <w:rPr>
          <w:sz w:val="21"/>
          <w:szCs w:val="21"/>
        </w:rPr>
      </w:pPr>
      <w:bookmarkStart w:id="118" w:name="chapter_level1_11_60_section_1"/>
      <w:bookmarkEnd w:id="118"/>
      <w:r>
        <w:rPr>
          <w:rStyle w:val="11"/>
          <w:rFonts w:hint="eastAsia"/>
          <w:sz w:val="21"/>
          <w:szCs w:val="21"/>
        </w:rPr>
        <w:t>一、投资目标</w:t>
      </w:r>
    </w:p>
    <w:p w14:paraId="6AAAD788">
      <w:pPr>
        <w:pStyle w:val="7"/>
        <w:spacing w:before="0" w:beforeAutospacing="0" w:after="0" w:afterAutospacing="0" w:line="360" w:lineRule="auto"/>
        <w:ind w:firstLine="420"/>
        <w:rPr>
          <w:sz w:val="21"/>
          <w:szCs w:val="21"/>
        </w:rPr>
      </w:pPr>
      <w:bookmarkStart w:id="119" w:name="field_60_investmenttarget_1_start"/>
      <w:bookmarkEnd w:id="119"/>
      <w:r>
        <w:rPr>
          <w:rFonts w:hint="eastAsia"/>
          <w:sz w:val="21"/>
          <w:szCs w:val="21"/>
        </w:rPr>
        <w:t xml:space="preserve">在一定程度上控制组合净值波动率的前提下，力争长期内实现超越业绩比较基准的投资回报。  </w:t>
      </w:r>
      <w:bookmarkStart w:id="120" w:name="field_60_investmenttarget_1_end"/>
      <w:bookmarkEnd w:id="120"/>
      <w:r>
        <w:rPr>
          <w:rFonts w:hint="eastAsia"/>
          <w:sz w:val="21"/>
          <w:szCs w:val="21"/>
        </w:rPr>
        <w:t xml:space="preserve">  </w:t>
      </w:r>
    </w:p>
    <w:p w14:paraId="28DD1B4F">
      <w:pPr>
        <w:pStyle w:val="7"/>
        <w:spacing w:before="0" w:beforeAutospacing="0" w:after="0" w:afterAutospacing="0" w:line="360" w:lineRule="auto"/>
        <w:ind w:firstLine="420"/>
        <w:rPr>
          <w:sz w:val="21"/>
          <w:szCs w:val="21"/>
        </w:rPr>
      </w:pPr>
      <w:r>
        <w:rPr>
          <w:rStyle w:val="11"/>
          <w:rFonts w:hint="eastAsia"/>
          <w:sz w:val="21"/>
          <w:szCs w:val="21"/>
        </w:rPr>
        <w:t>二、投资范围</w:t>
      </w:r>
    </w:p>
    <w:p w14:paraId="74D420AA">
      <w:pPr>
        <w:pStyle w:val="7"/>
        <w:spacing w:before="0" w:beforeAutospacing="0" w:after="0" w:afterAutospacing="0" w:line="360" w:lineRule="auto"/>
        <w:ind w:firstLine="420"/>
        <w:rPr>
          <w:sz w:val="21"/>
          <w:szCs w:val="21"/>
        </w:rPr>
      </w:pPr>
      <w:bookmarkStart w:id="121" w:name="field_60_investmentrange_1_start"/>
      <w:bookmarkEnd w:id="121"/>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3587B8C1">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516B2582">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48C8C0F1">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22" w:name="field_60_investmentrange_1_end"/>
      <w:bookmarkEnd w:id="122"/>
      <w:r>
        <w:rPr>
          <w:rFonts w:hint="eastAsia"/>
          <w:sz w:val="21"/>
          <w:szCs w:val="21"/>
        </w:rPr>
        <w:t xml:space="preserve">  </w:t>
      </w:r>
    </w:p>
    <w:p w14:paraId="75843406">
      <w:pPr>
        <w:pStyle w:val="7"/>
        <w:spacing w:before="0" w:beforeAutospacing="0" w:after="0" w:afterAutospacing="0" w:line="360" w:lineRule="auto"/>
        <w:ind w:firstLine="420"/>
        <w:rPr>
          <w:sz w:val="21"/>
          <w:szCs w:val="21"/>
        </w:rPr>
      </w:pPr>
      <w:r>
        <w:rPr>
          <w:rStyle w:val="11"/>
          <w:rFonts w:hint="eastAsia"/>
          <w:sz w:val="21"/>
          <w:szCs w:val="21"/>
        </w:rPr>
        <w:t>三、投资策略</w:t>
      </w:r>
    </w:p>
    <w:p w14:paraId="09C12607">
      <w:pPr>
        <w:pStyle w:val="7"/>
        <w:spacing w:before="0" w:beforeAutospacing="0" w:after="0" w:afterAutospacing="0" w:line="360" w:lineRule="auto"/>
        <w:ind w:firstLine="420"/>
        <w:rPr>
          <w:sz w:val="21"/>
          <w:szCs w:val="21"/>
        </w:rPr>
      </w:pPr>
      <w:bookmarkStart w:id="123" w:name="field_60_investmentstrategy_1_start"/>
      <w:bookmarkEnd w:id="123"/>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14:paraId="68DE28F2">
      <w:pPr>
        <w:pStyle w:val="7"/>
        <w:spacing w:before="0" w:beforeAutospacing="0" w:after="0" w:afterAutospacing="0" w:line="360" w:lineRule="auto"/>
        <w:ind w:firstLine="420"/>
        <w:rPr>
          <w:sz w:val="21"/>
          <w:szCs w:val="21"/>
        </w:rPr>
      </w:pPr>
      <w:r>
        <w:rPr>
          <w:rFonts w:hint="eastAsia"/>
          <w:sz w:val="21"/>
          <w:szCs w:val="21"/>
        </w:rPr>
        <w:t xml:space="preserve">首先，本组合宏观周期研究的基础上，决定整体组合的久期、杠杆率策略。 </w:t>
      </w:r>
    </w:p>
    <w:p w14:paraId="0A5FD0AB">
      <w:pPr>
        <w:pStyle w:val="7"/>
        <w:spacing w:before="0" w:beforeAutospacing="0" w:after="0" w:afterAutospacing="0" w:line="360" w:lineRule="auto"/>
        <w:ind w:firstLine="420"/>
        <w:rPr>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14:paraId="666EF2E7">
      <w:pPr>
        <w:pStyle w:val="7"/>
        <w:spacing w:before="0" w:beforeAutospacing="0" w:after="0" w:afterAutospacing="0" w:line="360" w:lineRule="auto"/>
        <w:ind w:firstLine="420"/>
        <w:rPr>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14:paraId="061C0DE8">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582FDAED">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40606489">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6C95C6EC">
      <w:pPr>
        <w:pStyle w:val="7"/>
        <w:spacing w:before="0" w:beforeAutospacing="0" w:after="0" w:afterAutospacing="0" w:line="360" w:lineRule="auto"/>
        <w:ind w:firstLine="420"/>
        <w:rPr>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14:paraId="4A914EBF">
      <w:pPr>
        <w:pStyle w:val="7"/>
        <w:spacing w:before="0" w:beforeAutospacing="0" w:after="0" w:afterAutospacing="0" w:line="360" w:lineRule="auto"/>
        <w:ind w:firstLine="420"/>
        <w:rPr>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14:paraId="3F35EE6D">
      <w:pPr>
        <w:pStyle w:val="7"/>
        <w:spacing w:before="0" w:beforeAutospacing="0" w:after="0" w:afterAutospacing="0" w:line="360" w:lineRule="auto"/>
        <w:ind w:firstLine="420"/>
        <w:rPr>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14:paraId="2A9035DA">
      <w:pPr>
        <w:pStyle w:val="7"/>
        <w:spacing w:before="0" w:beforeAutospacing="0" w:after="0" w:afterAutospacing="0" w:line="360" w:lineRule="auto"/>
        <w:ind w:firstLine="420"/>
        <w:rPr>
          <w:sz w:val="21"/>
          <w:szCs w:val="21"/>
        </w:rPr>
      </w:pPr>
      <w:r>
        <w:rPr>
          <w:rFonts w:hint="eastAsia"/>
          <w:sz w:val="21"/>
          <w:szCs w:val="21"/>
        </w:rPr>
        <w:t xml:space="preserve">3、息差策略。通过正回购，融资买入收益率高于回购成本的债券，从而获得杠杆放大收益。 </w:t>
      </w:r>
    </w:p>
    <w:p w14:paraId="62D7F0EC">
      <w:pPr>
        <w:pStyle w:val="7"/>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14:paraId="0B9E90D7">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 </w:t>
      </w:r>
    </w:p>
    <w:p w14:paraId="7DEC88E3">
      <w:pPr>
        <w:pStyle w:val="7"/>
        <w:spacing w:before="0" w:beforeAutospacing="0" w:after="0" w:afterAutospacing="0" w:line="360" w:lineRule="auto"/>
        <w:ind w:firstLine="420"/>
        <w:rPr>
          <w:sz w:val="21"/>
          <w:szCs w:val="21"/>
        </w:rPr>
      </w:pPr>
      <w:r>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bookmarkStart w:id="124" w:name="field_60_investmentstrategy_1_end"/>
      <w:bookmarkEnd w:id="124"/>
      <w:r>
        <w:rPr>
          <w:rFonts w:hint="eastAsia"/>
          <w:sz w:val="21"/>
          <w:szCs w:val="21"/>
        </w:rPr>
        <w:t xml:space="preserve">  </w:t>
      </w:r>
    </w:p>
    <w:p w14:paraId="13C32F93">
      <w:pPr>
        <w:pStyle w:val="7"/>
        <w:spacing w:before="0" w:beforeAutospacing="0" w:after="0" w:afterAutospacing="0" w:line="360" w:lineRule="auto"/>
        <w:ind w:firstLine="420"/>
        <w:rPr>
          <w:sz w:val="21"/>
          <w:szCs w:val="21"/>
        </w:rPr>
      </w:pPr>
      <w:bookmarkStart w:id="125" w:name="chapter_level1_11_60_section_1_end"/>
      <w:bookmarkEnd w:id="125"/>
      <w:bookmarkStart w:id="126" w:name="chapter_level1_11_60_section_2"/>
      <w:bookmarkEnd w:id="126"/>
      <w:r>
        <w:rPr>
          <w:rStyle w:val="11"/>
          <w:rFonts w:hint="eastAsia"/>
          <w:sz w:val="21"/>
          <w:szCs w:val="21"/>
        </w:rPr>
        <w:t>四、投资决策流程</w:t>
      </w:r>
    </w:p>
    <w:p w14:paraId="2FC402F2">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2C746029">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34947B9F">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08C49671">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6304C7CB">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1EBC8450">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5AD095A8">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741BC58A">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1CA5B0F1">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29B4BB0F">
      <w:pPr>
        <w:pStyle w:val="7"/>
        <w:spacing w:before="0" w:beforeAutospacing="0" w:after="0" w:afterAutospacing="0" w:line="360" w:lineRule="auto"/>
        <w:ind w:firstLine="420"/>
        <w:rPr>
          <w:sz w:val="21"/>
          <w:szCs w:val="21"/>
        </w:rPr>
      </w:pPr>
      <w:r>
        <w:rPr>
          <w:rStyle w:val="11"/>
          <w:rFonts w:hint="eastAsia"/>
          <w:sz w:val="21"/>
          <w:szCs w:val="21"/>
        </w:rPr>
        <w:t>五、投资限制</w:t>
      </w:r>
    </w:p>
    <w:p w14:paraId="605D9D86">
      <w:pPr>
        <w:pStyle w:val="7"/>
        <w:spacing w:before="0" w:beforeAutospacing="0" w:after="0" w:afterAutospacing="0" w:line="360" w:lineRule="auto"/>
        <w:ind w:firstLine="420"/>
        <w:rPr>
          <w:sz w:val="21"/>
          <w:szCs w:val="21"/>
        </w:rPr>
      </w:pPr>
      <w:r>
        <w:rPr>
          <w:rFonts w:hint="eastAsia"/>
          <w:sz w:val="21"/>
          <w:szCs w:val="21"/>
        </w:rPr>
        <w:t xml:space="preserve">1、组合限制 </w:t>
      </w:r>
    </w:p>
    <w:p w14:paraId="193D16C5">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3E4A04A">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5826F003">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7454B127">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09A83952">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3CC99CD8">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082484C6">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73C4D50">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4E015A2E">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09E47A10">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7364745">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6AEB4EAD">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14:paraId="2514492A">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14:paraId="06558087">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14:paraId="08E2ADAB">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412307C5">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1C5C64B7">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4C5803A8">
      <w:pPr>
        <w:pStyle w:val="7"/>
        <w:spacing w:before="0" w:beforeAutospacing="0" w:after="0" w:afterAutospacing="0" w:line="360" w:lineRule="auto"/>
        <w:ind w:firstLine="420"/>
        <w:rPr>
          <w:sz w:val="21"/>
          <w:szCs w:val="21"/>
        </w:rPr>
      </w:pPr>
      <w:r>
        <w:rPr>
          <w:rFonts w:hint="eastAsia"/>
          <w:sz w:val="21"/>
          <w:szCs w:val="21"/>
        </w:rPr>
        <w:t xml:space="preserve">除上述第（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4187BBA">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20192B2">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14:paraId="7D46EA9A">
      <w:pPr>
        <w:pStyle w:val="7"/>
        <w:spacing w:before="0" w:beforeAutospacing="0" w:after="0" w:afterAutospacing="0" w:line="360" w:lineRule="auto"/>
        <w:ind w:firstLine="420"/>
        <w:rPr>
          <w:sz w:val="21"/>
          <w:szCs w:val="21"/>
        </w:rPr>
      </w:pPr>
      <w:r>
        <w:rPr>
          <w:rFonts w:hint="eastAsia"/>
          <w:sz w:val="21"/>
          <w:szCs w:val="21"/>
        </w:rPr>
        <w:t xml:space="preserve">2、禁止行为 </w:t>
      </w:r>
    </w:p>
    <w:p w14:paraId="326C4572">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15701C0">
      <w:pPr>
        <w:pStyle w:val="7"/>
        <w:spacing w:before="0" w:beforeAutospacing="0" w:after="0" w:afterAutospacing="0" w:line="360" w:lineRule="auto"/>
        <w:ind w:firstLine="420"/>
        <w:rPr>
          <w:sz w:val="21"/>
          <w:szCs w:val="21"/>
        </w:rPr>
      </w:pPr>
      <w:r>
        <w:rPr>
          <w:rFonts w:hint="eastAsia"/>
          <w:sz w:val="21"/>
          <w:szCs w:val="21"/>
        </w:rPr>
        <w:t xml:space="preserve">（1）承销证券； </w:t>
      </w:r>
    </w:p>
    <w:p w14:paraId="600F9A37">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4B97EE97">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643C58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74F826BE">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4598B586">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D96C629">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75BB2D7">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得到基金托管人的同意，并按法律法规予以披露。重大关联交易应提交基金管理人董事会审议，并经过三分之二以上的独立董事通过。基金管理人董事会应至少每半年对关联交易事项进行审查。 </w:t>
      </w:r>
    </w:p>
    <w:p w14:paraId="12BFE1E6">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4789368">
      <w:pPr>
        <w:pStyle w:val="7"/>
        <w:spacing w:before="0" w:beforeAutospacing="0" w:after="0" w:afterAutospacing="0" w:line="360" w:lineRule="auto"/>
        <w:ind w:firstLine="420"/>
        <w:rPr>
          <w:sz w:val="21"/>
          <w:szCs w:val="21"/>
        </w:rPr>
      </w:pPr>
      <w:bookmarkStart w:id="127" w:name="chapter_level1_11_60_section_2_end"/>
      <w:bookmarkEnd w:id="127"/>
      <w:r>
        <w:rPr>
          <w:rStyle w:val="11"/>
          <w:rFonts w:hint="eastAsia"/>
          <w:sz w:val="21"/>
          <w:szCs w:val="21"/>
        </w:rPr>
        <w:t>六、业绩比较基准</w:t>
      </w:r>
    </w:p>
    <w:p w14:paraId="7F6994E9">
      <w:pPr>
        <w:pStyle w:val="7"/>
        <w:spacing w:before="0" w:beforeAutospacing="0" w:after="0" w:afterAutospacing="0" w:line="360" w:lineRule="auto"/>
        <w:ind w:firstLine="420"/>
        <w:rPr>
          <w:sz w:val="21"/>
          <w:szCs w:val="21"/>
        </w:rPr>
      </w:pPr>
      <w:bookmarkStart w:id="128" w:name="chapter_level1_11_60_section_3"/>
      <w:bookmarkEnd w:id="128"/>
      <w:r>
        <w:rPr>
          <w:rFonts w:hint="eastAsia"/>
          <w:sz w:val="21"/>
          <w:szCs w:val="21"/>
        </w:rPr>
        <w:t>本基金的业绩比较基准为：</w:t>
      </w:r>
      <w:bookmarkStart w:id="129" w:name="field_60_benchmark_1_start"/>
      <w:bookmarkEnd w:id="129"/>
      <w:r>
        <w:rPr>
          <w:rFonts w:hint="eastAsia"/>
          <w:sz w:val="21"/>
          <w:szCs w:val="21"/>
        </w:rPr>
        <w:t xml:space="preserve">一年期银行定期存款收益率（税后）+1.2%。 </w:t>
      </w:r>
      <w:bookmarkStart w:id="130" w:name="field_60_benchmark_1_end"/>
      <w:bookmarkEnd w:id="130"/>
      <w:r>
        <w:rPr>
          <w:rFonts w:hint="eastAsia"/>
          <w:sz w:val="21"/>
          <w:szCs w:val="21"/>
        </w:rPr>
        <w:t xml:space="preserve">   </w:t>
      </w:r>
    </w:p>
    <w:p w14:paraId="16DCA401">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本基金选择上述业绩比较基准的原因为本基金是通过债券等固定收益资产来获取的收益，力争获取相对稳健的绝对回报，追求委托财产的保值增值。 </w:t>
      </w:r>
    </w:p>
    <w:p w14:paraId="798E6A6B">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1" w:name="chapter_level1_11_60_section_3_end"/>
      <w:bookmarkEnd w:id="131"/>
      <w:r>
        <w:rPr>
          <w:rFonts w:hint="eastAsia"/>
          <w:sz w:val="21"/>
          <w:szCs w:val="21"/>
        </w:rPr>
        <w:t xml:space="preserve">当调整业绩比较基准并及时公告，而无需召开基金份额持有人大会。 </w:t>
      </w:r>
    </w:p>
    <w:p w14:paraId="21C8E389">
      <w:pPr>
        <w:pStyle w:val="7"/>
        <w:spacing w:before="0" w:beforeAutospacing="0" w:after="0" w:afterAutospacing="0" w:line="360" w:lineRule="auto"/>
        <w:ind w:firstLine="420"/>
        <w:rPr>
          <w:sz w:val="21"/>
          <w:szCs w:val="21"/>
        </w:rPr>
      </w:pPr>
      <w:bookmarkStart w:id="132" w:name="chapter_level1_11_60_section_4"/>
      <w:bookmarkEnd w:id="132"/>
      <w:r>
        <w:rPr>
          <w:rStyle w:val="11"/>
          <w:rFonts w:hint="eastAsia"/>
          <w:sz w:val="21"/>
          <w:szCs w:val="21"/>
        </w:rPr>
        <w:t>七、风险收益特征</w:t>
      </w:r>
    </w:p>
    <w:p w14:paraId="1792DF2F">
      <w:pPr>
        <w:pStyle w:val="7"/>
        <w:spacing w:before="0" w:beforeAutospacing="0" w:after="0" w:afterAutospacing="0" w:line="360" w:lineRule="auto"/>
        <w:ind w:firstLine="420"/>
        <w:rPr>
          <w:sz w:val="21"/>
          <w:szCs w:val="21"/>
        </w:rPr>
      </w:pPr>
      <w:bookmarkStart w:id="133" w:name="field_60_riskyield_1_start"/>
      <w:bookmarkEnd w:id="133"/>
      <w:r>
        <w:rPr>
          <w:rFonts w:hint="eastAsia"/>
          <w:sz w:val="21"/>
          <w:szCs w:val="21"/>
        </w:rPr>
        <w:t xml:space="preserve">本基金为债券型基金，预期收益和预期风险高于货币市场基金，但低于混合型基金、股票型基金，属于较低预期风险/收益的产品。  </w:t>
      </w:r>
      <w:bookmarkStart w:id="134" w:name="field_60_riskyield_1_end"/>
      <w:bookmarkEnd w:id="134"/>
      <w:r>
        <w:rPr>
          <w:rFonts w:hint="eastAsia"/>
          <w:sz w:val="21"/>
          <w:szCs w:val="21"/>
        </w:rPr>
        <w:t xml:space="preserve">  </w:t>
      </w:r>
    </w:p>
    <w:p w14:paraId="35EC9551">
      <w:pPr>
        <w:pStyle w:val="7"/>
        <w:spacing w:before="0" w:beforeAutospacing="0" w:after="0" w:afterAutospacing="0" w:line="360" w:lineRule="auto"/>
        <w:ind w:firstLine="420"/>
        <w:rPr>
          <w:sz w:val="21"/>
          <w:szCs w:val="21"/>
        </w:rPr>
      </w:pPr>
      <w:r>
        <w:rPr>
          <w:rStyle w:val="11"/>
          <w:rFonts w:hint="eastAsia"/>
          <w:sz w:val="21"/>
          <w:szCs w:val="21"/>
        </w:rPr>
        <w:t>八、</w:t>
      </w:r>
      <w:r>
        <w:rPr>
          <w:rFonts w:hint="eastAsia"/>
          <w:b/>
          <w:bCs/>
          <w:sz w:val="21"/>
          <w:szCs w:val="21"/>
        </w:rPr>
        <w:t>侧袋机制的实施和投资运作安排</w:t>
      </w:r>
    </w:p>
    <w:p w14:paraId="5D271F74">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275BD551">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2E95749B">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侧袋账户的实施条件、实施程序、运作安排、投资安排、特定资产的处置变现和支付等对投资者权益有重大影响的事项详见本招募说明书“侧袋机制”章节的规定。</w:t>
      </w:r>
    </w:p>
    <w:p w14:paraId="7ACA57F5">
      <w:pPr>
        <w:pStyle w:val="7"/>
        <w:spacing w:before="0" w:beforeAutospacing="0" w:after="0" w:afterAutospacing="0" w:line="360" w:lineRule="auto"/>
        <w:ind w:firstLine="420"/>
        <w:rPr>
          <w:sz w:val="21"/>
          <w:szCs w:val="21"/>
        </w:rPr>
      </w:pPr>
      <w:r>
        <w:rPr>
          <w:rStyle w:val="11"/>
          <w:rFonts w:hint="eastAsia"/>
          <w:sz w:val="21"/>
          <w:szCs w:val="21"/>
        </w:rPr>
        <w:t>九、基金管理人代表基金行使相关权利的处理原则及方法</w:t>
      </w:r>
    </w:p>
    <w:p w14:paraId="6EE77D8D">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3080BCD7">
      <w:pPr>
        <w:pStyle w:val="7"/>
        <w:spacing w:before="0" w:beforeAutospacing="0" w:after="0" w:afterAutospacing="0" w:line="360" w:lineRule="auto"/>
        <w:ind w:firstLine="420"/>
        <w:rPr>
          <w:sz w:val="21"/>
          <w:szCs w:val="21"/>
        </w:rPr>
      </w:pPr>
      <w:r>
        <w:rPr>
          <w:rFonts w:hint="eastAsia"/>
          <w:sz w:val="21"/>
          <w:szCs w:val="21"/>
        </w:rPr>
        <w:t xml:space="preserve">2、有利于基金资产的安全与增值； </w:t>
      </w:r>
    </w:p>
    <w:p w14:paraId="68847B43">
      <w:pPr>
        <w:pStyle w:val="7"/>
        <w:spacing w:before="0" w:beforeAutospacing="0" w:after="0" w:afterAutospacing="0" w:line="360" w:lineRule="auto"/>
        <w:ind w:firstLine="420"/>
        <w:rPr>
          <w:sz w:val="21"/>
          <w:szCs w:val="21"/>
        </w:rPr>
      </w:pPr>
      <w:r>
        <w:rPr>
          <w:rFonts w:hint="eastAsia"/>
          <w:sz w:val="21"/>
          <w:szCs w:val="21"/>
        </w:rPr>
        <w:t>3、不通过关联交易为自身、雇员、授权代理人或任何存在利害关系的第三人牟取任何</w:t>
      </w:r>
      <w:bookmarkStart w:id="135" w:name="chapter_level1_11_60_section_4_end"/>
      <w:bookmarkEnd w:id="135"/>
      <w:r>
        <w:rPr>
          <w:rFonts w:hint="eastAsia"/>
          <w:sz w:val="21"/>
          <w:szCs w:val="21"/>
        </w:rPr>
        <w:t xml:space="preserve">不当利益。  </w:t>
      </w:r>
    </w:p>
    <w:p w14:paraId="1B621366">
      <w:pPr>
        <w:pStyle w:val="7"/>
        <w:spacing w:before="0" w:beforeAutospacing="0" w:after="0" w:afterAutospacing="0" w:line="360" w:lineRule="auto"/>
        <w:ind w:firstLine="420"/>
        <w:rPr>
          <w:sz w:val="21"/>
          <w:szCs w:val="21"/>
        </w:rPr>
      </w:pPr>
      <w:bookmarkStart w:id="136" w:name="chapter_level1_11_60_section_5_end"/>
      <w:bookmarkEnd w:id="136"/>
      <w:bookmarkStart w:id="137" w:name="chapter_level1_11_60_section_5"/>
      <w:bookmarkEnd w:id="137"/>
      <w:r>
        <w:rPr>
          <w:rStyle w:val="11"/>
          <w:rFonts w:hint="eastAsia"/>
          <w:sz w:val="21"/>
          <w:szCs w:val="21"/>
        </w:rPr>
        <w:t>十、基金投资组合报告</w:t>
      </w:r>
    </w:p>
    <w:p w14:paraId="083FC465">
      <w:pPr>
        <w:pStyle w:val="7"/>
        <w:spacing w:before="0" w:beforeAutospacing="0" w:after="0" w:afterAutospacing="0" w:line="360" w:lineRule="auto"/>
        <w:ind w:firstLine="420"/>
        <w:rPr>
          <w:sz w:val="21"/>
          <w:szCs w:val="21"/>
        </w:rPr>
      </w:pPr>
      <w:bookmarkStart w:id="138" w:name="chapter_level1_11_60_section_6"/>
      <w:bookmarkEnd w:id="138"/>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53B58709">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1DEFB762">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9" w:name="field_2343_financeendday_2"/>
      <w:r>
        <w:rPr>
          <w:sz w:val="21"/>
          <w:szCs w:val="21"/>
        </w:rPr>
        <w:t>2025年6月30日</w:t>
      </w:r>
      <w:bookmarkEnd w:id="139"/>
      <w:r>
        <w:rPr>
          <w:rFonts w:hint="eastAsia"/>
          <w:sz w:val="21"/>
          <w:szCs w:val="21"/>
        </w:rPr>
        <w:t xml:space="preserve">，本报告中所列财务数据未经审计。 </w:t>
      </w:r>
    </w:p>
    <w:p w14:paraId="65F6B691">
      <w:pPr>
        <w:pStyle w:val="7"/>
        <w:spacing w:before="0" w:beforeAutospacing="0" w:after="0" w:afterAutospacing="0" w:line="360" w:lineRule="auto"/>
        <w:ind w:firstLine="420"/>
        <w:rPr>
          <w:sz w:val="21"/>
          <w:szCs w:val="21"/>
        </w:rPr>
      </w:pPr>
      <w:bookmarkStart w:id="140" w:name="field_0_fundportfolio_1_start"/>
      <w:bookmarkEnd w:id="140"/>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6C7E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8A898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1BBDFB5">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818791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F76F93B">
            <w:pPr>
              <w:jc w:val="center"/>
              <w:rPr>
                <w:rFonts w:ascii="宋体" w:hAnsi="宋体" w:eastAsia="宋体" w:cs="宋体"/>
                <w:sz w:val="24"/>
                <w:szCs w:val="24"/>
              </w:rPr>
            </w:pPr>
            <w:r>
              <w:rPr>
                <w:rFonts w:hint="eastAsia" w:ascii="宋体" w:hAnsi="宋体" w:eastAsia="宋体"/>
              </w:rPr>
              <w:t>占基金总资产的比例(%)</w:t>
            </w:r>
          </w:p>
        </w:tc>
      </w:tr>
      <w:tr w14:paraId="781F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3E202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133FBC0">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222E530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EBEEAAD">
            <w:pPr>
              <w:jc w:val="right"/>
              <w:rPr>
                <w:rFonts w:ascii="宋体" w:hAnsi="宋体" w:eastAsia="宋体" w:cs="宋体"/>
                <w:sz w:val="24"/>
                <w:szCs w:val="24"/>
              </w:rPr>
            </w:pPr>
            <w:r>
              <w:rPr>
                <w:rFonts w:hint="eastAsia" w:ascii="宋体" w:hAnsi="宋体" w:eastAsia="宋体"/>
              </w:rPr>
              <w:t>-</w:t>
            </w:r>
          </w:p>
        </w:tc>
      </w:tr>
      <w:tr w14:paraId="4EFA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0784BD">
            <w:pPr>
              <w:jc w:val="center"/>
              <w:rPr>
                <w:rFonts w:ascii="宋体" w:hAnsi="宋体" w:eastAsia="宋体" w:cs="宋体"/>
                <w:sz w:val="24"/>
                <w:szCs w:val="24"/>
              </w:rPr>
            </w:pPr>
          </w:p>
        </w:tc>
        <w:tc>
          <w:tcPr>
            <w:tcW w:w="0" w:type="auto"/>
            <w:shd w:val="clear" w:color="auto" w:fill="auto"/>
          </w:tcPr>
          <w:p w14:paraId="27502774">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7B632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8B0E91">
            <w:pPr>
              <w:jc w:val="right"/>
              <w:rPr>
                <w:rFonts w:ascii="宋体" w:hAnsi="宋体" w:eastAsia="宋体" w:cs="宋体"/>
                <w:sz w:val="24"/>
                <w:szCs w:val="24"/>
              </w:rPr>
            </w:pPr>
            <w:r>
              <w:rPr>
                <w:rFonts w:hint="eastAsia" w:ascii="宋体" w:hAnsi="宋体" w:eastAsia="宋体"/>
              </w:rPr>
              <w:t>-</w:t>
            </w:r>
          </w:p>
        </w:tc>
      </w:tr>
      <w:tr w14:paraId="16B2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050EA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E9E2D3B">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CB4851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55A463">
            <w:pPr>
              <w:jc w:val="right"/>
              <w:rPr>
                <w:rFonts w:ascii="宋体" w:hAnsi="宋体" w:eastAsia="宋体" w:cs="宋体"/>
                <w:sz w:val="24"/>
                <w:szCs w:val="24"/>
              </w:rPr>
            </w:pPr>
            <w:r>
              <w:rPr>
                <w:rFonts w:hint="eastAsia" w:ascii="宋体" w:hAnsi="宋体" w:eastAsia="宋体"/>
              </w:rPr>
              <w:t>-</w:t>
            </w:r>
          </w:p>
        </w:tc>
      </w:tr>
      <w:tr w14:paraId="5FA52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5F22B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E16DB94">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6BAB0E6">
            <w:pPr>
              <w:jc w:val="right"/>
              <w:rPr>
                <w:rFonts w:ascii="宋体" w:hAnsi="宋体" w:eastAsia="宋体" w:cs="宋体"/>
                <w:sz w:val="24"/>
                <w:szCs w:val="24"/>
              </w:rPr>
            </w:pPr>
            <w:r>
              <w:rPr>
                <w:rFonts w:hint="eastAsia" w:ascii="宋体" w:hAnsi="宋体" w:eastAsia="宋体"/>
              </w:rPr>
              <w:t>1,069,280,854.25</w:t>
            </w:r>
          </w:p>
        </w:tc>
        <w:tc>
          <w:tcPr>
            <w:tcW w:w="0" w:type="auto"/>
            <w:shd w:val="clear" w:color="auto" w:fill="auto"/>
          </w:tcPr>
          <w:p w14:paraId="775F12E5">
            <w:pPr>
              <w:jc w:val="right"/>
              <w:rPr>
                <w:rFonts w:ascii="宋体" w:hAnsi="宋体" w:eastAsia="宋体" w:cs="宋体"/>
                <w:sz w:val="24"/>
                <w:szCs w:val="24"/>
              </w:rPr>
            </w:pPr>
            <w:r>
              <w:rPr>
                <w:rFonts w:hint="eastAsia" w:ascii="宋体" w:hAnsi="宋体" w:eastAsia="宋体"/>
              </w:rPr>
              <w:t>82.17</w:t>
            </w:r>
          </w:p>
        </w:tc>
      </w:tr>
      <w:tr w14:paraId="6CE3E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CCA9DA">
            <w:pPr>
              <w:jc w:val="center"/>
              <w:rPr>
                <w:rFonts w:ascii="宋体" w:hAnsi="宋体" w:eastAsia="宋体" w:cs="宋体"/>
                <w:sz w:val="24"/>
                <w:szCs w:val="24"/>
              </w:rPr>
            </w:pPr>
          </w:p>
        </w:tc>
        <w:tc>
          <w:tcPr>
            <w:tcW w:w="0" w:type="auto"/>
            <w:shd w:val="clear" w:color="auto" w:fill="auto"/>
          </w:tcPr>
          <w:p w14:paraId="44FDFF10">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7C07511">
            <w:pPr>
              <w:jc w:val="right"/>
              <w:rPr>
                <w:rFonts w:ascii="宋体" w:hAnsi="宋体" w:eastAsia="宋体" w:cs="宋体"/>
                <w:sz w:val="24"/>
                <w:szCs w:val="24"/>
              </w:rPr>
            </w:pPr>
            <w:r>
              <w:rPr>
                <w:rFonts w:hint="eastAsia" w:ascii="宋体" w:hAnsi="宋体" w:eastAsia="宋体"/>
              </w:rPr>
              <w:t>1,069,280,854.25</w:t>
            </w:r>
          </w:p>
        </w:tc>
        <w:tc>
          <w:tcPr>
            <w:tcW w:w="0" w:type="auto"/>
            <w:shd w:val="clear" w:color="auto" w:fill="auto"/>
          </w:tcPr>
          <w:p w14:paraId="39946803">
            <w:pPr>
              <w:jc w:val="right"/>
              <w:rPr>
                <w:rFonts w:ascii="宋体" w:hAnsi="宋体" w:eastAsia="宋体" w:cs="宋体"/>
                <w:sz w:val="24"/>
                <w:szCs w:val="24"/>
              </w:rPr>
            </w:pPr>
            <w:r>
              <w:rPr>
                <w:rFonts w:hint="eastAsia" w:ascii="宋体" w:hAnsi="宋体" w:eastAsia="宋体"/>
              </w:rPr>
              <w:t>82.17</w:t>
            </w:r>
          </w:p>
        </w:tc>
      </w:tr>
      <w:tr w14:paraId="47654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3B4762">
            <w:pPr>
              <w:jc w:val="center"/>
              <w:rPr>
                <w:rFonts w:ascii="宋体" w:hAnsi="宋体" w:eastAsia="宋体" w:cs="宋体"/>
                <w:sz w:val="24"/>
                <w:szCs w:val="24"/>
              </w:rPr>
            </w:pPr>
          </w:p>
        </w:tc>
        <w:tc>
          <w:tcPr>
            <w:tcW w:w="0" w:type="auto"/>
            <w:shd w:val="clear" w:color="auto" w:fill="auto"/>
          </w:tcPr>
          <w:p w14:paraId="79AE6159">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64F5CB5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E046DE">
            <w:pPr>
              <w:jc w:val="right"/>
              <w:rPr>
                <w:rFonts w:ascii="宋体" w:hAnsi="宋体" w:eastAsia="宋体" w:cs="宋体"/>
                <w:sz w:val="24"/>
                <w:szCs w:val="24"/>
              </w:rPr>
            </w:pPr>
            <w:r>
              <w:rPr>
                <w:rFonts w:hint="eastAsia" w:ascii="宋体" w:hAnsi="宋体" w:eastAsia="宋体"/>
              </w:rPr>
              <w:t>-</w:t>
            </w:r>
          </w:p>
        </w:tc>
      </w:tr>
      <w:tr w14:paraId="7C6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ED2A3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B7B3244">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B8A0CC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2FC8FF">
            <w:pPr>
              <w:jc w:val="right"/>
              <w:rPr>
                <w:rFonts w:ascii="宋体" w:hAnsi="宋体" w:eastAsia="宋体" w:cs="宋体"/>
                <w:sz w:val="24"/>
                <w:szCs w:val="24"/>
              </w:rPr>
            </w:pPr>
            <w:r>
              <w:rPr>
                <w:rFonts w:hint="eastAsia" w:ascii="宋体" w:hAnsi="宋体" w:eastAsia="宋体"/>
              </w:rPr>
              <w:t>-</w:t>
            </w:r>
          </w:p>
        </w:tc>
      </w:tr>
      <w:tr w14:paraId="5697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6141C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73B52DF">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B34AB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8D765B">
            <w:pPr>
              <w:jc w:val="right"/>
              <w:rPr>
                <w:rFonts w:ascii="宋体" w:hAnsi="宋体" w:eastAsia="宋体" w:cs="宋体"/>
                <w:sz w:val="24"/>
                <w:szCs w:val="24"/>
              </w:rPr>
            </w:pPr>
            <w:r>
              <w:rPr>
                <w:rFonts w:hint="eastAsia" w:ascii="宋体" w:hAnsi="宋体" w:eastAsia="宋体"/>
              </w:rPr>
              <w:t>-</w:t>
            </w:r>
          </w:p>
        </w:tc>
      </w:tr>
      <w:tr w14:paraId="0047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32A7A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46C2D08">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1ABED1EF">
            <w:pPr>
              <w:jc w:val="right"/>
              <w:rPr>
                <w:rFonts w:ascii="宋体" w:hAnsi="宋体" w:eastAsia="宋体" w:cs="宋体"/>
                <w:sz w:val="24"/>
                <w:szCs w:val="24"/>
              </w:rPr>
            </w:pPr>
            <w:r>
              <w:rPr>
                <w:rFonts w:hint="eastAsia" w:ascii="宋体" w:hAnsi="宋体" w:eastAsia="宋体"/>
              </w:rPr>
              <w:t>227,998,105.89</w:t>
            </w:r>
          </w:p>
        </w:tc>
        <w:tc>
          <w:tcPr>
            <w:tcW w:w="0" w:type="auto"/>
            <w:shd w:val="clear" w:color="auto" w:fill="auto"/>
          </w:tcPr>
          <w:p w14:paraId="62F5AA84">
            <w:pPr>
              <w:jc w:val="right"/>
              <w:rPr>
                <w:rFonts w:ascii="宋体" w:hAnsi="宋体" w:eastAsia="宋体" w:cs="宋体"/>
                <w:sz w:val="24"/>
                <w:szCs w:val="24"/>
              </w:rPr>
            </w:pPr>
            <w:r>
              <w:rPr>
                <w:rFonts w:hint="eastAsia" w:ascii="宋体" w:hAnsi="宋体" w:eastAsia="宋体"/>
              </w:rPr>
              <w:t>17.52</w:t>
            </w:r>
          </w:p>
        </w:tc>
      </w:tr>
      <w:tr w14:paraId="58A8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5AE610">
            <w:pPr>
              <w:jc w:val="center"/>
              <w:rPr>
                <w:rFonts w:ascii="宋体" w:hAnsi="宋体" w:eastAsia="宋体" w:cs="宋体"/>
                <w:sz w:val="24"/>
                <w:szCs w:val="24"/>
              </w:rPr>
            </w:pPr>
          </w:p>
        </w:tc>
        <w:tc>
          <w:tcPr>
            <w:tcW w:w="0" w:type="auto"/>
            <w:shd w:val="clear" w:color="auto" w:fill="auto"/>
          </w:tcPr>
          <w:p w14:paraId="47880219">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61E9F7E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0607469">
            <w:pPr>
              <w:jc w:val="right"/>
              <w:rPr>
                <w:rFonts w:ascii="宋体" w:hAnsi="宋体" w:eastAsia="宋体" w:cs="宋体"/>
                <w:sz w:val="24"/>
                <w:szCs w:val="24"/>
              </w:rPr>
            </w:pPr>
            <w:r>
              <w:rPr>
                <w:rFonts w:hint="eastAsia" w:ascii="宋体" w:hAnsi="宋体" w:eastAsia="宋体"/>
              </w:rPr>
              <w:t>-</w:t>
            </w:r>
          </w:p>
        </w:tc>
      </w:tr>
      <w:tr w14:paraId="2900B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CBE10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201FE8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75E54704">
            <w:pPr>
              <w:jc w:val="right"/>
              <w:rPr>
                <w:rFonts w:ascii="宋体" w:hAnsi="宋体" w:eastAsia="宋体" w:cs="宋体"/>
                <w:sz w:val="24"/>
                <w:szCs w:val="24"/>
              </w:rPr>
            </w:pPr>
            <w:r>
              <w:rPr>
                <w:rFonts w:hint="eastAsia" w:ascii="宋体" w:hAnsi="宋体" w:eastAsia="宋体"/>
              </w:rPr>
              <w:t>4,102,011.16</w:t>
            </w:r>
          </w:p>
        </w:tc>
        <w:tc>
          <w:tcPr>
            <w:tcW w:w="0" w:type="auto"/>
            <w:shd w:val="clear" w:color="auto" w:fill="auto"/>
          </w:tcPr>
          <w:p w14:paraId="348EEEAB">
            <w:pPr>
              <w:jc w:val="right"/>
              <w:rPr>
                <w:rFonts w:ascii="宋体" w:hAnsi="宋体" w:eastAsia="宋体" w:cs="宋体"/>
                <w:sz w:val="24"/>
                <w:szCs w:val="24"/>
              </w:rPr>
            </w:pPr>
            <w:r>
              <w:rPr>
                <w:rFonts w:hint="eastAsia" w:ascii="宋体" w:hAnsi="宋体" w:eastAsia="宋体"/>
              </w:rPr>
              <w:t>0.32</w:t>
            </w:r>
          </w:p>
        </w:tc>
      </w:tr>
      <w:tr w14:paraId="256FF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83BE8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3F261C4">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880282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A3205E">
            <w:pPr>
              <w:jc w:val="right"/>
              <w:rPr>
                <w:rFonts w:ascii="宋体" w:hAnsi="宋体" w:eastAsia="宋体" w:cs="宋体"/>
                <w:sz w:val="24"/>
                <w:szCs w:val="24"/>
              </w:rPr>
            </w:pPr>
            <w:r>
              <w:rPr>
                <w:rFonts w:hint="eastAsia" w:ascii="宋体" w:hAnsi="宋体" w:eastAsia="宋体"/>
              </w:rPr>
              <w:t>-</w:t>
            </w:r>
          </w:p>
        </w:tc>
      </w:tr>
      <w:tr w14:paraId="06304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5DA134">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B61951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AFA59F0">
            <w:pPr>
              <w:jc w:val="right"/>
              <w:rPr>
                <w:rFonts w:ascii="宋体" w:hAnsi="宋体" w:eastAsia="宋体" w:cs="宋体"/>
                <w:sz w:val="24"/>
                <w:szCs w:val="24"/>
              </w:rPr>
            </w:pPr>
            <w:r>
              <w:rPr>
                <w:rFonts w:hint="eastAsia" w:ascii="宋体" w:hAnsi="宋体" w:eastAsia="宋体"/>
              </w:rPr>
              <w:t>1,301,380,971.30</w:t>
            </w:r>
          </w:p>
        </w:tc>
        <w:tc>
          <w:tcPr>
            <w:tcW w:w="0" w:type="auto"/>
            <w:shd w:val="clear" w:color="auto" w:fill="auto"/>
          </w:tcPr>
          <w:p w14:paraId="476CD7D1">
            <w:pPr>
              <w:jc w:val="right"/>
              <w:rPr>
                <w:rFonts w:ascii="宋体" w:hAnsi="宋体" w:eastAsia="宋体" w:cs="宋体"/>
                <w:sz w:val="24"/>
                <w:szCs w:val="24"/>
              </w:rPr>
            </w:pPr>
            <w:r>
              <w:rPr>
                <w:rFonts w:hint="eastAsia" w:ascii="宋体" w:hAnsi="宋体" w:eastAsia="宋体"/>
              </w:rPr>
              <w:t>100.00</w:t>
            </w:r>
          </w:p>
        </w:tc>
      </w:tr>
    </w:tbl>
    <w:p w14:paraId="659D9580">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19A90681">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14:paraId="67B89EDD">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56DA661E">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14:paraId="04F35142">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62FC92D9">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14:paraId="7B91069A">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3288D57B">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74E2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AB8F5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4E999C9">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30465C2A">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DE884E4">
            <w:pPr>
              <w:jc w:val="center"/>
              <w:rPr>
                <w:rFonts w:ascii="宋体" w:hAnsi="宋体" w:eastAsia="宋体" w:cs="宋体"/>
                <w:sz w:val="24"/>
                <w:szCs w:val="24"/>
              </w:rPr>
            </w:pPr>
            <w:r>
              <w:rPr>
                <w:rFonts w:hint="eastAsia" w:ascii="宋体" w:hAnsi="宋体" w:eastAsia="宋体"/>
              </w:rPr>
              <w:t>占基金资产净值比例(％)</w:t>
            </w:r>
          </w:p>
        </w:tc>
      </w:tr>
      <w:tr w14:paraId="0846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52D8A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19436B1">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3279266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1DB331C">
            <w:pPr>
              <w:jc w:val="right"/>
              <w:rPr>
                <w:rFonts w:ascii="宋体" w:hAnsi="宋体" w:eastAsia="宋体" w:cs="宋体"/>
                <w:sz w:val="24"/>
                <w:szCs w:val="24"/>
              </w:rPr>
            </w:pPr>
            <w:r>
              <w:rPr>
                <w:rFonts w:hint="eastAsia" w:ascii="宋体" w:hAnsi="宋体" w:eastAsia="宋体"/>
              </w:rPr>
              <w:t>-</w:t>
            </w:r>
          </w:p>
        </w:tc>
      </w:tr>
      <w:tr w14:paraId="0252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5B8E0">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3E39E75">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69CD58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915560">
            <w:pPr>
              <w:jc w:val="right"/>
              <w:rPr>
                <w:rFonts w:ascii="宋体" w:hAnsi="宋体" w:eastAsia="宋体" w:cs="宋体"/>
                <w:sz w:val="24"/>
                <w:szCs w:val="24"/>
              </w:rPr>
            </w:pPr>
            <w:r>
              <w:rPr>
                <w:rFonts w:hint="eastAsia" w:ascii="宋体" w:hAnsi="宋体" w:eastAsia="宋体"/>
              </w:rPr>
              <w:t>-</w:t>
            </w:r>
          </w:p>
        </w:tc>
      </w:tr>
      <w:tr w14:paraId="1685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A53E1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D7B0732">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741AA147">
            <w:pPr>
              <w:jc w:val="right"/>
              <w:rPr>
                <w:rFonts w:ascii="宋体" w:hAnsi="宋体" w:eastAsia="宋体" w:cs="宋体"/>
                <w:sz w:val="24"/>
                <w:szCs w:val="24"/>
              </w:rPr>
            </w:pPr>
            <w:r>
              <w:rPr>
                <w:rFonts w:hint="eastAsia" w:ascii="宋体" w:hAnsi="宋体" w:eastAsia="宋体"/>
              </w:rPr>
              <w:t>457,847,865.74</w:t>
            </w:r>
          </w:p>
        </w:tc>
        <w:tc>
          <w:tcPr>
            <w:tcW w:w="0" w:type="auto"/>
            <w:shd w:val="clear" w:color="auto" w:fill="auto"/>
          </w:tcPr>
          <w:p w14:paraId="1FCDC756">
            <w:pPr>
              <w:jc w:val="right"/>
              <w:rPr>
                <w:rFonts w:ascii="宋体" w:hAnsi="宋体" w:eastAsia="宋体" w:cs="宋体"/>
                <w:sz w:val="24"/>
                <w:szCs w:val="24"/>
              </w:rPr>
            </w:pPr>
            <w:r>
              <w:rPr>
                <w:rFonts w:hint="eastAsia" w:ascii="宋体" w:hAnsi="宋体" w:eastAsia="宋体"/>
              </w:rPr>
              <w:t>35.20</w:t>
            </w:r>
          </w:p>
        </w:tc>
      </w:tr>
      <w:tr w14:paraId="4652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BCA4E1">
            <w:pPr>
              <w:jc w:val="center"/>
              <w:rPr>
                <w:rFonts w:ascii="宋体" w:hAnsi="宋体" w:eastAsia="宋体" w:cs="宋体"/>
                <w:sz w:val="24"/>
                <w:szCs w:val="24"/>
              </w:rPr>
            </w:pPr>
          </w:p>
        </w:tc>
        <w:tc>
          <w:tcPr>
            <w:tcW w:w="0" w:type="auto"/>
            <w:shd w:val="clear" w:color="auto" w:fill="auto"/>
          </w:tcPr>
          <w:p w14:paraId="24A2F46E">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68A677D8">
            <w:pPr>
              <w:jc w:val="right"/>
              <w:rPr>
                <w:rFonts w:ascii="宋体" w:hAnsi="宋体" w:eastAsia="宋体" w:cs="宋体"/>
                <w:sz w:val="24"/>
                <w:szCs w:val="24"/>
              </w:rPr>
            </w:pPr>
            <w:r>
              <w:rPr>
                <w:rFonts w:hint="eastAsia" w:ascii="宋体" w:hAnsi="宋体" w:eastAsia="宋体"/>
              </w:rPr>
              <w:t>457,847,865.74</w:t>
            </w:r>
          </w:p>
        </w:tc>
        <w:tc>
          <w:tcPr>
            <w:tcW w:w="0" w:type="auto"/>
            <w:shd w:val="clear" w:color="auto" w:fill="auto"/>
          </w:tcPr>
          <w:p w14:paraId="11CE1651">
            <w:pPr>
              <w:jc w:val="right"/>
              <w:rPr>
                <w:rFonts w:ascii="宋体" w:hAnsi="宋体" w:eastAsia="宋体" w:cs="宋体"/>
                <w:sz w:val="24"/>
                <w:szCs w:val="24"/>
              </w:rPr>
            </w:pPr>
            <w:r>
              <w:rPr>
                <w:rFonts w:hint="eastAsia" w:ascii="宋体" w:hAnsi="宋体" w:eastAsia="宋体"/>
              </w:rPr>
              <w:t>35.20</w:t>
            </w:r>
          </w:p>
        </w:tc>
      </w:tr>
      <w:tr w14:paraId="19C8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6E1DF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97F6B29">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077CAF23">
            <w:pPr>
              <w:jc w:val="right"/>
              <w:rPr>
                <w:rFonts w:ascii="宋体" w:hAnsi="宋体" w:eastAsia="宋体" w:cs="宋体"/>
                <w:sz w:val="24"/>
                <w:szCs w:val="24"/>
              </w:rPr>
            </w:pPr>
            <w:r>
              <w:rPr>
                <w:rFonts w:hint="eastAsia" w:ascii="宋体" w:hAnsi="宋体" w:eastAsia="宋体"/>
              </w:rPr>
              <w:t>313,117,637.81</w:t>
            </w:r>
          </w:p>
        </w:tc>
        <w:tc>
          <w:tcPr>
            <w:tcW w:w="0" w:type="auto"/>
            <w:shd w:val="clear" w:color="auto" w:fill="auto"/>
          </w:tcPr>
          <w:p w14:paraId="70A12988">
            <w:pPr>
              <w:jc w:val="right"/>
              <w:rPr>
                <w:rFonts w:ascii="宋体" w:hAnsi="宋体" w:eastAsia="宋体" w:cs="宋体"/>
                <w:sz w:val="24"/>
                <w:szCs w:val="24"/>
              </w:rPr>
            </w:pPr>
            <w:r>
              <w:rPr>
                <w:rFonts w:hint="eastAsia" w:ascii="宋体" w:hAnsi="宋体" w:eastAsia="宋体"/>
              </w:rPr>
              <w:t>24.07</w:t>
            </w:r>
          </w:p>
        </w:tc>
      </w:tr>
      <w:tr w14:paraId="012D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BDE121">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30E08F9">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3690DC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B814A9">
            <w:pPr>
              <w:jc w:val="right"/>
              <w:rPr>
                <w:rFonts w:ascii="宋体" w:hAnsi="宋体" w:eastAsia="宋体" w:cs="宋体"/>
                <w:sz w:val="24"/>
                <w:szCs w:val="24"/>
              </w:rPr>
            </w:pPr>
            <w:r>
              <w:rPr>
                <w:rFonts w:hint="eastAsia" w:ascii="宋体" w:hAnsi="宋体" w:eastAsia="宋体"/>
              </w:rPr>
              <w:t>-</w:t>
            </w:r>
          </w:p>
        </w:tc>
      </w:tr>
      <w:tr w14:paraId="7F66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99793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ED458A0">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3FB35DE2">
            <w:pPr>
              <w:jc w:val="right"/>
              <w:rPr>
                <w:rFonts w:ascii="宋体" w:hAnsi="宋体" w:eastAsia="宋体" w:cs="宋体"/>
                <w:sz w:val="24"/>
                <w:szCs w:val="24"/>
              </w:rPr>
            </w:pPr>
            <w:r>
              <w:rPr>
                <w:rFonts w:hint="eastAsia" w:ascii="宋体" w:hAnsi="宋体" w:eastAsia="宋体"/>
              </w:rPr>
              <w:t>298,315,350.70</w:t>
            </w:r>
          </w:p>
        </w:tc>
        <w:tc>
          <w:tcPr>
            <w:tcW w:w="0" w:type="auto"/>
            <w:shd w:val="clear" w:color="auto" w:fill="auto"/>
          </w:tcPr>
          <w:p w14:paraId="6600A1CF">
            <w:pPr>
              <w:jc w:val="right"/>
              <w:rPr>
                <w:rFonts w:ascii="宋体" w:hAnsi="宋体" w:eastAsia="宋体" w:cs="宋体"/>
                <w:sz w:val="24"/>
                <w:szCs w:val="24"/>
              </w:rPr>
            </w:pPr>
            <w:r>
              <w:rPr>
                <w:rFonts w:hint="eastAsia" w:ascii="宋体" w:hAnsi="宋体" w:eastAsia="宋体"/>
              </w:rPr>
              <w:t>22.93</w:t>
            </w:r>
          </w:p>
        </w:tc>
      </w:tr>
      <w:tr w14:paraId="2C19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4968D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F33FE63">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403F706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1C8F2D9">
            <w:pPr>
              <w:jc w:val="right"/>
              <w:rPr>
                <w:rFonts w:ascii="宋体" w:hAnsi="宋体" w:eastAsia="宋体" w:cs="宋体"/>
                <w:sz w:val="24"/>
                <w:szCs w:val="24"/>
              </w:rPr>
            </w:pPr>
            <w:r>
              <w:rPr>
                <w:rFonts w:hint="eastAsia" w:ascii="宋体" w:hAnsi="宋体" w:eastAsia="宋体"/>
              </w:rPr>
              <w:t>-</w:t>
            </w:r>
          </w:p>
        </w:tc>
      </w:tr>
      <w:tr w14:paraId="3BC5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73FC0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727BACB">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40FD05E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3F3291">
            <w:pPr>
              <w:jc w:val="right"/>
              <w:rPr>
                <w:rFonts w:ascii="宋体" w:hAnsi="宋体" w:eastAsia="宋体" w:cs="宋体"/>
                <w:sz w:val="24"/>
                <w:szCs w:val="24"/>
              </w:rPr>
            </w:pPr>
            <w:r>
              <w:rPr>
                <w:rFonts w:hint="eastAsia" w:ascii="宋体" w:hAnsi="宋体" w:eastAsia="宋体"/>
              </w:rPr>
              <w:t>-</w:t>
            </w:r>
          </w:p>
        </w:tc>
      </w:tr>
      <w:tr w14:paraId="247C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505EB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93E318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DB8D9D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2445A5">
            <w:pPr>
              <w:jc w:val="right"/>
              <w:rPr>
                <w:rFonts w:ascii="宋体" w:hAnsi="宋体" w:eastAsia="宋体" w:cs="宋体"/>
                <w:sz w:val="24"/>
                <w:szCs w:val="24"/>
              </w:rPr>
            </w:pPr>
            <w:r>
              <w:rPr>
                <w:rFonts w:hint="eastAsia" w:ascii="宋体" w:hAnsi="宋体" w:eastAsia="宋体"/>
              </w:rPr>
              <w:t>-</w:t>
            </w:r>
          </w:p>
        </w:tc>
      </w:tr>
      <w:tr w14:paraId="76505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5FF185">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D845AE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3F08043">
            <w:pPr>
              <w:jc w:val="right"/>
              <w:rPr>
                <w:rFonts w:ascii="宋体" w:hAnsi="宋体" w:eastAsia="宋体" w:cs="宋体"/>
                <w:sz w:val="24"/>
                <w:szCs w:val="24"/>
              </w:rPr>
            </w:pPr>
            <w:r>
              <w:rPr>
                <w:rFonts w:hint="eastAsia" w:ascii="宋体" w:hAnsi="宋体" w:eastAsia="宋体"/>
              </w:rPr>
              <w:t>1,069,280,854.25</w:t>
            </w:r>
          </w:p>
        </w:tc>
        <w:tc>
          <w:tcPr>
            <w:tcW w:w="0" w:type="auto"/>
            <w:shd w:val="clear" w:color="auto" w:fill="auto"/>
          </w:tcPr>
          <w:p w14:paraId="1E752ABA">
            <w:pPr>
              <w:jc w:val="right"/>
              <w:rPr>
                <w:rFonts w:ascii="宋体" w:hAnsi="宋体" w:eastAsia="宋体" w:cs="宋体"/>
                <w:sz w:val="24"/>
                <w:szCs w:val="24"/>
              </w:rPr>
            </w:pPr>
            <w:r>
              <w:rPr>
                <w:rFonts w:hint="eastAsia" w:ascii="宋体" w:hAnsi="宋体" w:eastAsia="宋体"/>
              </w:rPr>
              <w:t>82.21</w:t>
            </w:r>
          </w:p>
        </w:tc>
      </w:tr>
    </w:tbl>
    <w:p w14:paraId="2BAF0C41">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1161"/>
        <w:gridCol w:w="1648"/>
        <w:gridCol w:w="1161"/>
        <w:gridCol w:w="1686"/>
        <w:gridCol w:w="2256"/>
      </w:tblGrid>
      <w:tr w14:paraId="543B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16C93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D3B6EB3">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5EEAED86">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24188AF1">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2F00A72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1B6AB8C">
            <w:pPr>
              <w:jc w:val="center"/>
              <w:rPr>
                <w:rFonts w:ascii="宋体" w:hAnsi="宋体" w:eastAsia="宋体" w:cs="宋体"/>
                <w:sz w:val="24"/>
                <w:szCs w:val="24"/>
              </w:rPr>
            </w:pPr>
            <w:r>
              <w:rPr>
                <w:rFonts w:hint="eastAsia" w:ascii="宋体" w:hAnsi="宋体" w:eastAsia="宋体"/>
              </w:rPr>
              <w:t>占基金资产净值比例(％)</w:t>
            </w:r>
          </w:p>
        </w:tc>
      </w:tr>
      <w:tr w14:paraId="5DAE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DC393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5BD31E1">
            <w:pPr>
              <w:jc w:val="center"/>
              <w:rPr>
                <w:rFonts w:ascii="宋体" w:hAnsi="宋体" w:eastAsia="宋体" w:cs="宋体"/>
                <w:sz w:val="24"/>
                <w:szCs w:val="24"/>
              </w:rPr>
            </w:pPr>
            <w:r>
              <w:rPr>
                <w:rFonts w:hint="eastAsia" w:ascii="宋体" w:hAnsi="宋体" w:eastAsia="宋体"/>
              </w:rPr>
              <w:t>220406</w:t>
            </w:r>
          </w:p>
        </w:tc>
        <w:tc>
          <w:tcPr>
            <w:tcW w:w="0" w:type="auto"/>
            <w:shd w:val="clear" w:color="auto" w:fill="auto"/>
          </w:tcPr>
          <w:p w14:paraId="4CFF1BDC">
            <w:pPr>
              <w:jc w:val="center"/>
              <w:rPr>
                <w:rFonts w:ascii="宋体" w:hAnsi="宋体" w:eastAsia="宋体" w:cs="宋体"/>
                <w:sz w:val="24"/>
                <w:szCs w:val="24"/>
              </w:rPr>
            </w:pPr>
            <w:r>
              <w:rPr>
                <w:rFonts w:hint="eastAsia" w:ascii="宋体" w:hAnsi="宋体" w:eastAsia="宋体"/>
              </w:rPr>
              <w:t>22农发06</w:t>
            </w:r>
          </w:p>
        </w:tc>
        <w:tc>
          <w:tcPr>
            <w:tcW w:w="0" w:type="auto"/>
            <w:shd w:val="clear" w:color="auto" w:fill="auto"/>
          </w:tcPr>
          <w:p w14:paraId="47A4503E">
            <w:pPr>
              <w:jc w:val="right"/>
              <w:rPr>
                <w:rFonts w:ascii="宋体" w:hAnsi="宋体" w:eastAsia="宋体" w:cs="宋体"/>
                <w:sz w:val="24"/>
                <w:szCs w:val="24"/>
              </w:rPr>
            </w:pPr>
            <w:r>
              <w:rPr>
                <w:rFonts w:hint="eastAsia" w:ascii="宋体" w:hAnsi="宋体" w:eastAsia="宋体"/>
              </w:rPr>
              <w:t>2,200,000</w:t>
            </w:r>
          </w:p>
        </w:tc>
        <w:tc>
          <w:tcPr>
            <w:tcW w:w="0" w:type="auto"/>
            <w:shd w:val="clear" w:color="auto" w:fill="auto"/>
          </w:tcPr>
          <w:p w14:paraId="2170BA24">
            <w:pPr>
              <w:jc w:val="right"/>
              <w:rPr>
                <w:rFonts w:ascii="宋体" w:hAnsi="宋体" w:eastAsia="宋体" w:cs="宋体"/>
                <w:sz w:val="24"/>
                <w:szCs w:val="24"/>
              </w:rPr>
            </w:pPr>
            <w:r>
              <w:rPr>
                <w:rFonts w:hint="eastAsia" w:ascii="宋体" w:hAnsi="宋体" w:eastAsia="宋体"/>
              </w:rPr>
              <w:t>225,180,487.67</w:t>
            </w:r>
          </w:p>
        </w:tc>
        <w:tc>
          <w:tcPr>
            <w:tcW w:w="0" w:type="auto"/>
            <w:shd w:val="clear" w:color="auto" w:fill="auto"/>
          </w:tcPr>
          <w:p w14:paraId="151278CF">
            <w:pPr>
              <w:jc w:val="right"/>
              <w:rPr>
                <w:rFonts w:ascii="宋体" w:hAnsi="宋体" w:eastAsia="宋体" w:cs="宋体"/>
                <w:sz w:val="24"/>
                <w:szCs w:val="24"/>
              </w:rPr>
            </w:pPr>
            <w:r>
              <w:rPr>
                <w:rFonts w:hint="eastAsia" w:ascii="宋体" w:hAnsi="宋体" w:eastAsia="宋体"/>
              </w:rPr>
              <w:t>17.31</w:t>
            </w:r>
          </w:p>
        </w:tc>
      </w:tr>
      <w:tr w14:paraId="2759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2B7C2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F1D71BF">
            <w:pPr>
              <w:jc w:val="center"/>
              <w:rPr>
                <w:rFonts w:ascii="宋体" w:hAnsi="宋体" w:eastAsia="宋体" w:cs="宋体"/>
                <w:sz w:val="24"/>
                <w:szCs w:val="24"/>
              </w:rPr>
            </w:pPr>
            <w:r>
              <w:rPr>
                <w:rFonts w:hint="eastAsia" w:ascii="宋体" w:hAnsi="宋体" w:eastAsia="宋体"/>
              </w:rPr>
              <w:t>148968</w:t>
            </w:r>
          </w:p>
        </w:tc>
        <w:tc>
          <w:tcPr>
            <w:tcW w:w="0" w:type="auto"/>
            <w:shd w:val="clear" w:color="auto" w:fill="auto"/>
          </w:tcPr>
          <w:p w14:paraId="5AE46349">
            <w:pPr>
              <w:jc w:val="center"/>
              <w:rPr>
                <w:rFonts w:ascii="宋体" w:hAnsi="宋体" w:eastAsia="宋体" w:cs="宋体"/>
                <w:sz w:val="24"/>
                <w:szCs w:val="24"/>
              </w:rPr>
            </w:pPr>
            <w:r>
              <w:rPr>
                <w:rFonts w:hint="eastAsia" w:ascii="宋体" w:hAnsi="宋体" w:eastAsia="宋体"/>
              </w:rPr>
              <w:t>24赣水K1</w:t>
            </w:r>
          </w:p>
        </w:tc>
        <w:tc>
          <w:tcPr>
            <w:tcW w:w="0" w:type="auto"/>
            <w:shd w:val="clear" w:color="auto" w:fill="auto"/>
          </w:tcPr>
          <w:p w14:paraId="27C529BE">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4DF29453">
            <w:pPr>
              <w:jc w:val="right"/>
              <w:rPr>
                <w:rFonts w:ascii="宋体" w:hAnsi="宋体" w:eastAsia="宋体" w:cs="宋体"/>
                <w:sz w:val="24"/>
                <w:szCs w:val="24"/>
              </w:rPr>
            </w:pPr>
            <w:r>
              <w:rPr>
                <w:rFonts w:hint="eastAsia" w:ascii="宋体" w:hAnsi="宋体" w:eastAsia="宋体"/>
              </w:rPr>
              <w:t>102,184,794.52</w:t>
            </w:r>
          </w:p>
        </w:tc>
        <w:tc>
          <w:tcPr>
            <w:tcW w:w="0" w:type="auto"/>
            <w:shd w:val="clear" w:color="auto" w:fill="auto"/>
          </w:tcPr>
          <w:p w14:paraId="77A727C3">
            <w:pPr>
              <w:jc w:val="right"/>
              <w:rPr>
                <w:rFonts w:ascii="宋体" w:hAnsi="宋体" w:eastAsia="宋体" w:cs="宋体"/>
                <w:sz w:val="24"/>
                <w:szCs w:val="24"/>
              </w:rPr>
            </w:pPr>
            <w:r>
              <w:rPr>
                <w:rFonts w:hint="eastAsia" w:ascii="宋体" w:hAnsi="宋体" w:eastAsia="宋体"/>
              </w:rPr>
              <w:t>7.86</w:t>
            </w:r>
          </w:p>
        </w:tc>
      </w:tr>
      <w:tr w14:paraId="1C85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A5B23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58A06BC">
            <w:pPr>
              <w:jc w:val="center"/>
              <w:rPr>
                <w:rFonts w:ascii="宋体" w:hAnsi="宋体" w:eastAsia="宋体" w:cs="宋体"/>
                <w:sz w:val="24"/>
                <w:szCs w:val="24"/>
              </w:rPr>
            </w:pPr>
            <w:r>
              <w:rPr>
                <w:rFonts w:hint="eastAsia" w:ascii="宋体" w:hAnsi="宋体" w:eastAsia="宋体"/>
              </w:rPr>
              <w:t>102480714</w:t>
            </w:r>
          </w:p>
        </w:tc>
        <w:tc>
          <w:tcPr>
            <w:tcW w:w="0" w:type="auto"/>
            <w:shd w:val="clear" w:color="auto" w:fill="auto"/>
          </w:tcPr>
          <w:p w14:paraId="2E583EFB">
            <w:pPr>
              <w:jc w:val="center"/>
              <w:rPr>
                <w:rFonts w:ascii="宋体" w:hAnsi="宋体" w:eastAsia="宋体" w:cs="宋体"/>
                <w:sz w:val="24"/>
                <w:szCs w:val="24"/>
              </w:rPr>
            </w:pPr>
            <w:r>
              <w:rPr>
                <w:rFonts w:hint="eastAsia" w:ascii="宋体" w:hAnsi="宋体" w:eastAsia="宋体"/>
              </w:rPr>
              <w:t>24赣国资MTN001</w:t>
            </w:r>
          </w:p>
        </w:tc>
        <w:tc>
          <w:tcPr>
            <w:tcW w:w="0" w:type="auto"/>
            <w:shd w:val="clear" w:color="auto" w:fill="auto"/>
          </w:tcPr>
          <w:p w14:paraId="444DF8F9">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03F3B2F3">
            <w:pPr>
              <w:jc w:val="right"/>
              <w:rPr>
                <w:rFonts w:ascii="宋体" w:hAnsi="宋体" w:eastAsia="宋体" w:cs="宋体"/>
                <w:sz w:val="24"/>
                <w:szCs w:val="24"/>
              </w:rPr>
            </w:pPr>
            <w:r>
              <w:rPr>
                <w:rFonts w:hint="eastAsia" w:ascii="宋体" w:hAnsi="宋体" w:eastAsia="宋体"/>
              </w:rPr>
              <w:t>101,850,531.51</w:t>
            </w:r>
          </w:p>
        </w:tc>
        <w:tc>
          <w:tcPr>
            <w:tcW w:w="0" w:type="auto"/>
            <w:shd w:val="clear" w:color="auto" w:fill="auto"/>
          </w:tcPr>
          <w:p w14:paraId="6E5F92EA">
            <w:pPr>
              <w:jc w:val="right"/>
              <w:rPr>
                <w:rFonts w:ascii="宋体" w:hAnsi="宋体" w:eastAsia="宋体" w:cs="宋体"/>
                <w:sz w:val="24"/>
                <w:szCs w:val="24"/>
              </w:rPr>
            </w:pPr>
            <w:r>
              <w:rPr>
                <w:rFonts w:hint="eastAsia" w:ascii="宋体" w:hAnsi="宋体" w:eastAsia="宋体"/>
              </w:rPr>
              <w:t>7.83</w:t>
            </w:r>
          </w:p>
        </w:tc>
      </w:tr>
      <w:tr w14:paraId="493A2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02061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3854180">
            <w:pPr>
              <w:jc w:val="center"/>
              <w:rPr>
                <w:rFonts w:ascii="宋体" w:hAnsi="宋体" w:eastAsia="宋体" w:cs="宋体"/>
                <w:sz w:val="24"/>
                <w:szCs w:val="24"/>
              </w:rPr>
            </w:pPr>
            <w:r>
              <w:rPr>
                <w:rFonts w:hint="eastAsia" w:ascii="宋体" w:hAnsi="宋体" w:eastAsia="宋体"/>
              </w:rPr>
              <w:t>2080332</w:t>
            </w:r>
          </w:p>
        </w:tc>
        <w:tc>
          <w:tcPr>
            <w:tcW w:w="0" w:type="auto"/>
            <w:shd w:val="clear" w:color="auto" w:fill="auto"/>
          </w:tcPr>
          <w:p w14:paraId="25E37678">
            <w:pPr>
              <w:jc w:val="center"/>
              <w:rPr>
                <w:rFonts w:ascii="宋体" w:hAnsi="宋体" w:eastAsia="宋体" w:cs="宋体"/>
                <w:sz w:val="24"/>
                <w:szCs w:val="24"/>
              </w:rPr>
            </w:pPr>
            <w:r>
              <w:rPr>
                <w:rFonts w:hint="eastAsia" w:ascii="宋体" w:hAnsi="宋体" w:eastAsia="宋体"/>
              </w:rPr>
              <w:t>20吉安绿色债</w:t>
            </w:r>
          </w:p>
        </w:tc>
        <w:tc>
          <w:tcPr>
            <w:tcW w:w="0" w:type="auto"/>
            <w:shd w:val="clear" w:color="auto" w:fill="auto"/>
          </w:tcPr>
          <w:p w14:paraId="7E3F370F">
            <w:pPr>
              <w:jc w:val="right"/>
              <w:rPr>
                <w:rFonts w:ascii="宋体" w:hAnsi="宋体" w:eastAsia="宋体" w:cs="宋体"/>
                <w:sz w:val="24"/>
                <w:szCs w:val="24"/>
              </w:rPr>
            </w:pPr>
            <w:r>
              <w:rPr>
                <w:rFonts w:hint="eastAsia" w:ascii="宋体" w:hAnsi="宋体" w:eastAsia="宋体"/>
              </w:rPr>
              <w:t>1,200,000</w:t>
            </w:r>
          </w:p>
        </w:tc>
        <w:tc>
          <w:tcPr>
            <w:tcW w:w="0" w:type="auto"/>
            <w:shd w:val="clear" w:color="auto" w:fill="auto"/>
          </w:tcPr>
          <w:p w14:paraId="0884F231">
            <w:pPr>
              <w:jc w:val="right"/>
              <w:rPr>
                <w:rFonts w:ascii="宋体" w:hAnsi="宋体" w:eastAsia="宋体" w:cs="宋体"/>
                <w:sz w:val="24"/>
                <w:szCs w:val="24"/>
              </w:rPr>
            </w:pPr>
            <w:r>
              <w:rPr>
                <w:rFonts w:hint="eastAsia" w:ascii="宋体" w:hAnsi="宋体" w:eastAsia="宋体"/>
              </w:rPr>
              <w:t>77,663,684.38</w:t>
            </w:r>
          </w:p>
        </w:tc>
        <w:tc>
          <w:tcPr>
            <w:tcW w:w="0" w:type="auto"/>
            <w:shd w:val="clear" w:color="auto" w:fill="auto"/>
          </w:tcPr>
          <w:p w14:paraId="787A40F2">
            <w:pPr>
              <w:jc w:val="right"/>
              <w:rPr>
                <w:rFonts w:ascii="宋体" w:hAnsi="宋体" w:eastAsia="宋体" w:cs="宋体"/>
                <w:sz w:val="24"/>
                <w:szCs w:val="24"/>
              </w:rPr>
            </w:pPr>
            <w:r>
              <w:rPr>
                <w:rFonts w:hint="eastAsia" w:ascii="宋体" w:hAnsi="宋体" w:eastAsia="宋体"/>
              </w:rPr>
              <w:t>5.97</w:t>
            </w:r>
          </w:p>
        </w:tc>
      </w:tr>
      <w:tr w14:paraId="4BCB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5095F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C7313C2">
            <w:pPr>
              <w:jc w:val="center"/>
              <w:rPr>
                <w:rFonts w:ascii="宋体" w:hAnsi="宋体" w:eastAsia="宋体" w:cs="宋体"/>
                <w:sz w:val="24"/>
                <w:szCs w:val="24"/>
              </w:rPr>
            </w:pPr>
            <w:r>
              <w:rPr>
                <w:rFonts w:hint="eastAsia" w:ascii="宋体" w:hAnsi="宋体" w:eastAsia="宋体"/>
              </w:rPr>
              <w:t>230407</w:t>
            </w:r>
          </w:p>
        </w:tc>
        <w:tc>
          <w:tcPr>
            <w:tcW w:w="0" w:type="auto"/>
            <w:shd w:val="clear" w:color="auto" w:fill="auto"/>
          </w:tcPr>
          <w:p w14:paraId="62CB83D8">
            <w:pPr>
              <w:jc w:val="center"/>
              <w:rPr>
                <w:rFonts w:ascii="宋体" w:hAnsi="宋体" w:eastAsia="宋体" w:cs="宋体"/>
                <w:sz w:val="24"/>
                <w:szCs w:val="24"/>
              </w:rPr>
            </w:pPr>
            <w:r>
              <w:rPr>
                <w:rFonts w:hint="eastAsia" w:ascii="宋体" w:hAnsi="宋体" w:eastAsia="宋体"/>
              </w:rPr>
              <w:t>23农发07</w:t>
            </w:r>
          </w:p>
        </w:tc>
        <w:tc>
          <w:tcPr>
            <w:tcW w:w="0" w:type="auto"/>
            <w:shd w:val="clear" w:color="auto" w:fill="auto"/>
          </w:tcPr>
          <w:p w14:paraId="47BA88A5">
            <w:pPr>
              <w:jc w:val="right"/>
              <w:rPr>
                <w:rFonts w:ascii="宋体" w:hAnsi="宋体" w:eastAsia="宋体" w:cs="宋体"/>
                <w:sz w:val="24"/>
                <w:szCs w:val="24"/>
              </w:rPr>
            </w:pPr>
            <w:r>
              <w:rPr>
                <w:rFonts w:hint="eastAsia" w:ascii="宋体" w:hAnsi="宋体" w:eastAsia="宋体"/>
              </w:rPr>
              <w:t>700,000</w:t>
            </w:r>
          </w:p>
        </w:tc>
        <w:tc>
          <w:tcPr>
            <w:tcW w:w="0" w:type="auto"/>
            <w:shd w:val="clear" w:color="auto" w:fill="auto"/>
          </w:tcPr>
          <w:p w14:paraId="6F4AE01E">
            <w:pPr>
              <w:jc w:val="right"/>
              <w:rPr>
                <w:rFonts w:ascii="宋体" w:hAnsi="宋体" w:eastAsia="宋体" w:cs="宋体"/>
                <w:sz w:val="24"/>
                <w:szCs w:val="24"/>
              </w:rPr>
            </w:pPr>
            <w:r>
              <w:rPr>
                <w:rFonts w:hint="eastAsia" w:ascii="宋体" w:hAnsi="宋体" w:eastAsia="宋体"/>
              </w:rPr>
              <w:t>72,193,052.05</w:t>
            </w:r>
          </w:p>
        </w:tc>
        <w:tc>
          <w:tcPr>
            <w:tcW w:w="0" w:type="auto"/>
            <w:shd w:val="clear" w:color="auto" w:fill="auto"/>
          </w:tcPr>
          <w:p w14:paraId="6D62BAB5">
            <w:pPr>
              <w:jc w:val="right"/>
              <w:rPr>
                <w:rFonts w:ascii="宋体" w:hAnsi="宋体" w:eastAsia="宋体" w:cs="宋体"/>
                <w:sz w:val="24"/>
                <w:szCs w:val="24"/>
              </w:rPr>
            </w:pPr>
            <w:r>
              <w:rPr>
                <w:rFonts w:hint="eastAsia" w:ascii="宋体" w:hAnsi="宋体" w:eastAsia="宋体"/>
              </w:rPr>
              <w:t>5.55</w:t>
            </w:r>
          </w:p>
        </w:tc>
      </w:tr>
    </w:tbl>
    <w:p w14:paraId="1F751338">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1B7A2DFB">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3CA3E8F">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14:paraId="7910E9B3">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68A6F66A">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34152973">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BBFECF0">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D23CD16">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20323D7B">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2E935FDA">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4AEA5CD2">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60D5172">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65FCF860">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2904F25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32F3CCCC">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71A539E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AB9E100">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64068B4">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39016085">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9DC8794">
      <w:pPr>
        <w:pStyle w:val="7"/>
        <w:spacing w:before="0" w:beforeAutospacing="0" w:after="0" w:afterAutospacing="0" w:line="360" w:lineRule="auto"/>
        <w:ind w:firstLine="420"/>
        <w:rPr>
          <w:sz w:val="21"/>
          <w:szCs w:val="21"/>
        </w:rPr>
      </w:pPr>
      <w:r>
        <w:rPr>
          <w:rStyle w:val="11"/>
          <w:rFonts w:hint="eastAsia"/>
          <w:sz w:val="21"/>
          <w:szCs w:val="21"/>
        </w:rPr>
        <w:t>11.2其他资产构成</w:t>
      </w:r>
    </w:p>
    <w:p w14:paraId="4814BACC">
      <w:pPr>
        <w:pStyle w:val="7"/>
        <w:spacing w:before="0" w:beforeAutospacing="0" w:after="0" w:afterAutospacing="0" w:line="360" w:lineRule="auto"/>
        <w:ind w:firstLine="420"/>
        <w:rPr>
          <w:sz w:val="21"/>
          <w:szCs w:val="21"/>
        </w:rPr>
      </w:pPr>
      <w:r>
        <w:rPr>
          <w:rFonts w:hint="eastAsia"/>
          <w:sz w:val="21"/>
          <w:szCs w:val="21"/>
        </w:rPr>
        <w:t>本基金本报告期末未持有其他资产。</w:t>
      </w:r>
    </w:p>
    <w:p w14:paraId="2BC5C09B">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14:paraId="4D88CE0C">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1977F74D">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762D2A11">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2183D13A">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6915030B">
      <w:pPr>
        <w:pStyle w:val="7"/>
        <w:spacing w:before="0" w:beforeAutospacing="0" w:after="0" w:afterAutospacing="0" w:line="360" w:lineRule="auto"/>
        <w:ind w:firstLine="420"/>
        <w:rPr>
          <w:sz w:val="21"/>
          <w:szCs w:val="21"/>
        </w:rPr>
      </w:pPr>
      <w:bookmarkStart w:id="141" w:name="chapter_level1_11_60_section_6_end"/>
      <w:bookmarkEnd w:id="141"/>
      <w:r>
        <w:rPr>
          <w:rFonts w:hint="eastAsia"/>
          <w:sz w:val="21"/>
          <w:szCs w:val="21"/>
        </w:rPr>
        <w:t>由于四舍五入的原因，分项之和与合计项之间可能存在尾差。</w:t>
      </w:r>
      <w:bookmarkStart w:id="142" w:name="field_0_fundportfolio_1_end"/>
      <w:bookmarkEnd w:id="142"/>
      <w:r>
        <w:rPr>
          <w:rFonts w:hint="eastAsia"/>
          <w:sz w:val="21"/>
          <w:szCs w:val="21"/>
        </w:rPr>
        <w:t xml:space="preserve"> </w:t>
      </w:r>
    </w:p>
    <w:p w14:paraId="315585C5">
      <w:pPr>
        <w:widowControl/>
        <w:jc w:val="left"/>
        <w:rPr>
          <w:rFonts w:ascii="宋体" w:hAnsi="宋体" w:eastAsia="宋体"/>
        </w:rPr>
      </w:pPr>
      <w:r>
        <w:rPr>
          <w:rFonts w:ascii="宋体" w:hAnsi="宋体" w:eastAsia="宋体"/>
        </w:rPr>
        <w:br w:type="page"/>
      </w:r>
    </w:p>
    <w:p w14:paraId="5C267D00">
      <w:pPr>
        <w:pStyle w:val="2"/>
        <w:jc w:val="center"/>
        <w:rPr>
          <w:rFonts w:ascii="宋体" w:hAnsi="宋体" w:eastAsia="宋体"/>
          <w:sz w:val="30"/>
        </w:rPr>
      </w:pPr>
      <w:bookmarkStart w:id="143" w:name="chapter_level1_12_3500"/>
      <w:bookmarkStart w:id="144" w:name="_Toc207943819"/>
      <w:r>
        <w:rPr>
          <w:rFonts w:hint="eastAsia" w:ascii="宋体" w:hAnsi="宋体" w:eastAsia="宋体"/>
          <w:sz w:val="30"/>
        </w:rPr>
        <w:t>第九部分 基金的业绩</w:t>
      </w:r>
      <w:bookmarkEnd w:id="143"/>
      <w:bookmarkEnd w:id="144"/>
    </w:p>
    <w:p w14:paraId="0DD71643">
      <w:pPr>
        <w:pStyle w:val="7"/>
        <w:spacing w:before="0" w:beforeAutospacing="0" w:after="0" w:afterAutospacing="0" w:line="360" w:lineRule="auto"/>
        <w:ind w:firstLine="420"/>
        <w:rPr>
          <w:sz w:val="21"/>
          <w:szCs w:val="21"/>
        </w:rPr>
      </w:pPr>
      <w:bookmarkStart w:id="145" w:name="chapter_level1_12_3500_section_1"/>
      <w:bookmarkEnd w:id="14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4365A487">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1771D88">
      <w:pPr>
        <w:pStyle w:val="7"/>
        <w:spacing w:before="0" w:beforeAutospacing="0" w:after="0" w:afterAutospacing="0" w:line="360" w:lineRule="auto"/>
        <w:ind w:firstLine="420"/>
        <w:rPr>
          <w:sz w:val="21"/>
          <w:szCs w:val="21"/>
        </w:rPr>
      </w:pPr>
      <w:bookmarkStart w:id="146" w:name="field_0_indatatable_1_start"/>
      <w:bookmarkEnd w:id="146"/>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846"/>
        <w:gridCol w:w="741"/>
      </w:tblGrid>
      <w:tr w14:paraId="540AF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94B18F">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F82B762">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E7692CC">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216544A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2384E86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96780D7">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686F5B1">
            <w:pPr>
              <w:jc w:val="center"/>
              <w:rPr>
                <w:rFonts w:ascii="宋体" w:hAnsi="宋体" w:eastAsia="宋体" w:cs="宋体"/>
                <w:sz w:val="24"/>
                <w:szCs w:val="24"/>
              </w:rPr>
            </w:pPr>
            <w:r>
              <w:rPr>
                <w:rFonts w:hint="eastAsia" w:ascii="宋体" w:hAnsi="宋体" w:eastAsia="宋体"/>
              </w:rPr>
              <w:t>②-④</w:t>
            </w:r>
          </w:p>
        </w:tc>
      </w:tr>
      <w:tr w14:paraId="161A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F43F4E">
            <w:pPr>
              <w:jc w:val="center"/>
              <w:rPr>
                <w:rFonts w:ascii="宋体" w:hAnsi="宋体" w:eastAsia="宋体" w:cs="宋体"/>
                <w:sz w:val="24"/>
                <w:szCs w:val="24"/>
              </w:rPr>
            </w:pPr>
            <w:r>
              <w:rPr>
                <w:rFonts w:hint="eastAsia" w:ascii="宋体" w:hAnsi="宋体" w:eastAsia="宋体"/>
              </w:rPr>
              <w:t>2015.11.19-2015.12.31</w:t>
            </w:r>
          </w:p>
        </w:tc>
        <w:tc>
          <w:tcPr>
            <w:tcW w:w="0" w:type="auto"/>
            <w:shd w:val="clear" w:color="auto" w:fill="auto"/>
          </w:tcPr>
          <w:p w14:paraId="793061AA">
            <w:pPr>
              <w:jc w:val="center"/>
              <w:rPr>
                <w:rFonts w:ascii="宋体" w:hAnsi="宋体" w:eastAsia="宋体" w:cs="宋体"/>
                <w:sz w:val="24"/>
                <w:szCs w:val="24"/>
              </w:rPr>
            </w:pPr>
            <w:r>
              <w:rPr>
                <w:rFonts w:hint="eastAsia" w:ascii="宋体" w:hAnsi="宋体" w:eastAsia="宋体"/>
              </w:rPr>
              <w:t>2.20%</w:t>
            </w:r>
          </w:p>
        </w:tc>
        <w:tc>
          <w:tcPr>
            <w:tcW w:w="0" w:type="auto"/>
            <w:shd w:val="clear" w:color="auto" w:fill="auto"/>
          </w:tcPr>
          <w:p w14:paraId="76787FB4">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2ACD3C46">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14:paraId="5DF22A1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C2E0AB0">
            <w:pPr>
              <w:jc w:val="center"/>
              <w:rPr>
                <w:rFonts w:ascii="宋体" w:hAnsi="宋体" w:eastAsia="宋体" w:cs="宋体"/>
                <w:sz w:val="24"/>
                <w:szCs w:val="24"/>
              </w:rPr>
            </w:pPr>
            <w:r>
              <w:rPr>
                <w:rFonts w:hint="eastAsia" w:ascii="宋体" w:hAnsi="宋体" w:eastAsia="宋体"/>
              </w:rPr>
              <w:t>1.88%</w:t>
            </w:r>
          </w:p>
        </w:tc>
        <w:tc>
          <w:tcPr>
            <w:tcW w:w="0" w:type="auto"/>
            <w:shd w:val="clear" w:color="auto" w:fill="auto"/>
          </w:tcPr>
          <w:p w14:paraId="5FCD95FC">
            <w:pPr>
              <w:jc w:val="center"/>
              <w:rPr>
                <w:rFonts w:ascii="宋体" w:hAnsi="宋体" w:eastAsia="宋体" w:cs="宋体"/>
                <w:sz w:val="24"/>
                <w:szCs w:val="24"/>
              </w:rPr>
            </w:pPr>
            <w:r>
              <w:rPr>
                <w:rFonts w:hint="eastAsia" w:ascii="宋体" w:hAnsi="宋体" w:eastAsia="宋体"/>
              </w:rPr>
              <w:t>0.17%</w:t>
            </w:r>
          </w:p>
        </w:tc>
      </w:tr>
      <w:tr w14:paraId="4210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5D12BA">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05C45A9E">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65AFC9FC">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2D0FE81F">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10B7147F">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21FCB17">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51B5307F">
            <w:pPr>
              <w:jc w:val="center"/>
              <w:rPr>
                <w:rFonts w:ascii="宋体" w:hAnsi="宋体" w:eastAsia="宋体" w:cs="宋体"/>
                <w:sz w:val="24"/>
                <w:szCs w:val="24"/>
              </w:rPr>
            </w:pPr>
            <w:r>
              <w:rPr>
                <w:rFonts w:hint="eastAsia" w:ascii="宋体" w:hAnsi="宋体" w:eastAsia="宋体"/>
              </w:rPr>
              <w:t>0.09%</w:t>
            </w:r>
          </w:p>
        </w:tc>
      </w:tr>
      <w:tr w14:paraId="2C23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3F069E">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1B8E241D">
            <w:pPr>
              <w:jc w:val="center"/>
              <w:rPr>
                <w:rFonts w:ascii="宋体" w:hAnsi="宋体" w:eastAsia="宋体" w:cs="宋体"/>
                <w:sz w:val="24"/>
                <w:szCs w:val="24"/>
              </w:rPr>
            </w:pPr>
            <w:r>
              <w:rPr>
                <w:rFonts w:hint="eastAsia" w:ascii="宋体" w:hAnsi="宋体" w:eastAsia="宋体"/>
              </w:rPr>
              <w:t>2.34%</w:t>
            </w:r>
          </w:p>
        </w:tc>
        <w:tc>
          <w:tcPr>
            <w:tcW w:w="0" w:type="auto"/>
            <w:shd w:val="clear" w:color="auto" w:fill="auto"/>
          </w:tcPr>
          <w:p w14:paraId="4A8A598F">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4CE897CF">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26DCB727">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1FB71E2B">
            <w:pPr>
              <w:jc w:val="center"/>
              <w:rPr>
                <w:rFonts w:ascii="宋体" w:hAnsi="宋体" w:eastAsia="宋体" w:cs="宋体"/>
                <w:sz w:val="24"/>
                <w:szCs w:val="24"/>
              </w:rPr>
            </w:pPr>
            <w:r>
              <w:rPr>
                <w:rFonts w:hint="eastAsia" w:ascii="宋体" w:hAnsi="宋体" w:eastAsia="宋体"/>
              </w:rPr>
              <w:t>-0.36%</w:t>
            </w:r>
          </w:p>
        </w:tc>
        <w:tc>
          <w:tcPr>
            <w:tcW w:w="0" w:type="auto"/>
            <w:shd w:val="clear" w:color="auto" w:fill="auto"/>
          </w:tcPr>
          <w:p w14:paraId="44C700C4">
            <w:pPr>
              <w:jc w:val="center"/>
              <w:rPr>
                <w:rFonts w:ascii="宋体" w:hAnsi="宋体" w:eastAsia="宋体" w:cs="宋体"/>
                <w:sz w:val="24"/>
                <w:szCs w:val="24"/>
              </w:rPr>
            </w:pPr>
            <w:r>
              <w:rPr>
                <w:rFonts w:hint="eastAsia" w:ascii="宋体" w:hAnsi="宋体" w:eastAsia="宋体"/>
              </w:rPr>
              <w:t>0.06%</w:t>
            </w:r>
          </w:p>
        </w:tc>
      </w:tr>
      <w:tr w14:paraId="09BB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BF4610">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4798C2D5">
            <w:pPr>
              <w:jc w:val="center"/>
              <w:rPr>
                <w:rFonts w:ascii="宋体" w:hAnsi="宋体" w:eastAsia="宋体" w:cs="宋体"/>
                <w:sz w:val="24"/>
                <w:szCs w:val="24"/>
              </w:rPr>
            </w:pPr>
            <w:r>
              <w:rPr>
                <w:rFonts w:hint="eastAsia" w:ascii="宋体" w:hAnsi="宋体" w:eastAsia="宋体"/>
              </w:rPr>
              <w:t>7.02%</w:t>
            </w:r>
          </w:p>
        </w:tc>
        <w:tc>
          <w:tcPr>
            <w:tcW w:w="0" w:type="auto"/>
            <w:shd w:val="clear" w:color="auto" w:fill="auto"/>
          </w:tcPr>
          <w:p w14:paraId="1FEC846F">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DBD473C">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4A35301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14A5A17">
            <w:pPr>
              <w:jc w:val="center"/>
              <w:rPr>
                <w:rFonts w:ascii="宋体" w:hAnsi="宋体" w:eastAsia="宋体" w:cs="宋体"/>
                <w:sz w:val="24"/>
                <w:szCs w:val="24"/>
              </w:rPr>
            </w:pPr>
            <w:r>
              <w:rPr>
                <w:rFonts w:hint="eastAsia" w:ascii="宋体" w:hAnsi="宋体" w:eastAsia="宋体"/>
              </w:rPr>
              <w:t>4.32%</w:t>
            </w:r>
          </w:p>
        </w:tc>
        <w:tc>
          <w:tcPr>
            <w:tcW w:w="0" w:type="auto"/>
            <w:shd w:val="clear" w:color="auto" w:fill="auto"/>
          </w:tcPr>
          <w:p w14:paraId="789417BB">
            <w:pPr>
              <w:jc w:val="center"/>
              <w:rPr>
                <w:rFonts w:ascii="宋体" w:hAnsi="宋体" w:eastAsia="宋体" w:cs="宋体"/>
                <w:sz w:val="24"/>
                <w:szCs w:val="24"/>
              </w:rPr>
            </w:pPr>
            <w:r>
              <w:rPr>
                <w:rFonts w:hint="eastAsia" w:ascii="宋体" w:hAnsi="宋体" w:eastAsia="宋体"/>
              </w:rPr>
              <w:t>0.03%</w:t>
            </w:r>
          </w:p>
        </w:tc>
      </w:tr>
      <w:tr w14:paraId="17A9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1C24A4">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3FB2D479">
            <w:pPr>
              <w:jc w:val="center"/>
              <w:rPr>
                <w:rFonts w:ascii="宋体" w:hAnsi="宋体" w:eastAsia="宋体" w:cs="宋体"/>
                <w:sz w:val="24"/>
                <w:szCs w:val="24"/>
              </w:rPr>
            </w:pPr>
            <w:r>
              <w:rPr>
                <w:rFonts w:hint="eastAsia" w:ascii="宋体" w:hAnsi="宋体" w:eastAsia="宋体"/>
              </w:rPr>
              <w:t>5.80%</w:t>
            </w:r>
          </w:p>
        </w:tc>
        <w:tc>
          <w:tcPr>
            <w:tcW w:w="0" w:type="auto"/>
            <w:shd w:val="clear" w:color="auto" w:fill="auto"/>
          </w:tcPr>
          <w:p w14:paraId="5C5F61EA">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AEE5304">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436D6D4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5AFA6F0">
            <w:pPr>
              <w:jc w:val="center"/>
              <w:rPr>
                <w:rFonts w:ascii="宋体" w:hAnsi="宋体" w:eastAsia="宋体" w:cs="宋体"/>
                <w:sz w:val="24"/>
                <w:szCs w:val="24"/>
              </w:rPr>
            </w:pPr>
            <w:r>
              <w:rPr>
                <w:rFonts w:hint="eastAsia" w:ascii="宋体" w:hAnsi="宋体" w:eastAsia="宋体"/>
              </w:rPr>
              <w:t>3.10%</w:t>
            </w:r>
          </w:p>
        </w:tc>
        <w:tc>
          <w:tcPr>
            <w:tcW w:w="0" w:type="auto"/>
            <w:shd w:val="clear" w:color="auto" w:fill="auto"/>
          </w:tcPr>
          <w:p w14:paraId="3BB3A482">
            <w:pPr>
              <w:jc w:val="center"/>
              <w:rPr>
                <w:rFonts w:ascii="宋体" w:hAnsi="宋体" w:eastAsia="宋体" w:cs="宋体"/>
                <w:sz w:val="24"/>
                <w:szCs w:val="24"/>
              </w:rPr>
            </w:pPr>
            <w:r>
              <w:rPr>
                <w:rFonts w:hint="eastAsia" w:ascii="宋体" w:hAnsi="宋体" w:eastAsia="宋体"/>
              </w:rPr>
              <w:t>0.05%</w:t>
            </w:r>
          </w:p>
        </w:tc>
      </w:tr>
      <w:tr w14:paraId="3866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D8E85D">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318D0E2B">
            <w:pPr>
              <w:jc w:val="center"/>
              <w:rPr>
                <w:rFonts w:ascii="宋体" w:hAnsi="宋体" w:eastAsia="宋体" w:cs="宋体"/>
                <w:sz w:val="24"/>
                <w:szCs w:val="24"/>
              </w:rPr>
            </w:pPr>
            <w:r>
              <w:rPr>
                <w:rFonts w:hint="eastAsia" w:ascii="宋体" w:hAnsi="宋体" w:eastAsia="宋体"/>
              </w:rPr>
              <w:t>4.33%</w:t>
            </w:r>
          </w:p>
        </w:tc>
        <w:tc>
          <w:tcPr>
            <w:tcW w:w="0" w:type="auto"/>
            <w:shd w:val="clear" w:color="auto" w:fill="auto"/>
          </w:tcPr>
          <w:p w14:paraId="55A9946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AD17241">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0F44933B">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C484BD5">
            <w:pPr>
              <w:jc w:val="center"/>
              <w:rPr>
                <w:rFonts w:ascii="宋体" w:hAnsi="宋体" w:eastAsia="宋体" w:cs="宋体"/>
                <w:sz w:val="24"/>
                <w:szCs w:val="24"/>
              </w:rPr>
            </w:pPr>
            <w:r>
              <w:rPr>
                <w:rFonts w:hint="eastAsia" w:ascii="宋体" w:hAnsi="宋体" w:eastAsia="宋体"/>
              </w:rPr>
              <w:t>1.63%</w:t>
            </w:r>
          </w:p>
        </w:tc>
        <w:tc>
          <w:tcPr>
            <w:tcW w:w="0" w:type="auto"/>
            <w:shd w:val="clear" w:color="auto" w:fill="auto"/>
          </w:tcPr>
          <w:p w14:paraId="20C20A2D">
            <w:pPr>
              <w:jc w:val="center"/>
              <w:rPr>
                <w:rFonts w:ascii="宋体" w:hAnsi="宋体" w:eastAsia="宋体" w:cs="宋体"/>
                <w:sz w:val="24"/>
                <w:szCs w:val="24"/>
              </w:rPr>
            </w:pPr>
            <w:r>
              <w:rPr>
                <w:rFonts w:hint="eastAsia" w:ascii="宋体" w:hAnsi="宋体" w:eastAsia="宋体"/>
              </w:rPr>
              <w:t>0.05%</w:t>
            </w:r>
          </w:p>
        </w:tc>
      </w:tr>
      <w:tr w14:paraId="6E2C7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DC3874">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544F9D1D">
            <w:pPr>
              <w:jc w:val="center"/>
              <w:rPr>
                <w:rFonts w:ascii="宋体" w:hAnsi="宋体" w:eastAsia="宋体" w:cs="宋体"/>
                <w:sz w:val="24"/>
                <w:szCs w:val="24"/>
              </w:rPr>
            </w:pPr>
            <w:r>
              <w:rPr>
                <w:rFonts w:hint="eastAsia" w:ascii="宋体" w:hAnsi="宋体" w:eastAsia="宋体"/>
              </w:rPr>
              <w:t>6.00%</w:t>
            </w:r>
          </w:p>
        </w:tc>
        <w:tc>
          <w:tcPr>
            <w:tcW w:w="0" w:type="auto"/>
            <w:shd w:val="clear" w:color="auto" w:fill="auto"/>
          </w:tcPr>
          <w:p w14:paraId="2760BE3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379B3D0">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4DF2F5B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2954056">
            <w:pPr>
              <w:jc w:val="center"/>
              <w:rPr>
                <w:rFonts w:ascii="宋体" w:hAnsi="宋体" w:eastAsia="宋体" w:cs="宋体"/>
                <w:sz w:val="24"/>
                <w:szCs w:val="24"/>
              </w:rPr>
            </w:pPr>
            <w:r>
              <w:rPr>
                <w:rFonts w:hint="eastAsia" w:ascii="宋体" w:hAnsi="宋体" w:eastAsia="宋体"/>
              </w:rPr>
              <w:t>3.30%</w:t>
            </w:r>
          </w:p>
        </w:tc>
        <w:tc>
          <w:tcPr>
            <w:tcW w:w="0" w:type="auto"/>
            <w:shd w:val="clear" w:color="auto" w:fill="auto"/>
          </w:tcPr>
          <w:p w14:paraId="29FBB8A2">
            <w:pPr>
              <w:jc w:val="center"/>
              <w:rPr>
                <w:rFonts w:ascii="宋体" w:hAnsi="宋体" w:eastAsia="宋体" w:cs="宋体"/>
                <w:sz w:val="24"/>
                <w:szCs w:val="24"/>
              </w:rPr>
            </w:pPr>
            <w:r>
              <w:rPr>
                <w:rFonts w:hint="eastAsia" w:ascii="宋体" w:hAnsi="宋体" w:eastAsia="宋体"/>
              </w:rPr>
              <w:t>0.03%</w:t>
            </w:r>
          </w:p>
        </w:tc>
      </w:tr>
      <w:tr w14:paraId="479B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9661F9">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990BBD8">
            <w:pPr>
              <w:jc w:val="center"/>
              <w:rPr>
                <w:rFonts w:ascii="宋体" w:hAnsi="宋体" w:eastAsia="宋体" w:cs="宋体"/>
                <w:sz w:val="24"/>
                <w:szCs w:val="24"/>
              </w:rPr>
            </w:pPr>
            <w:r>
              <w:rPr>
                <w:rFonts w:hint="eastAsia" w:ascii="宋体" w:hAnsi="宋体" w:eastAsia="宋体"/>
              </w:rPr>
              <w:t>3.63%</w:t>
            </w:r>
          </w:p>
        </w:tc>
        <w:tc>
          <w:tcPr>
            <w:tcW w:w="0" w:type="auto"/>
            <w:shd w:val="clear" w:color="auto" w:fill="auto"/>
          </w:tcPr>
          <w:p w14:paraId="7031198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791DB7B">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5DA52461">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A46326F">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7BCCF094">
            <w:pPr>
              <w:jc w:val="center"/>
              <w:rPr>
                <w:rFonts w:ascii="宋体" w:hAnsi="宋体" w:eastAsia="宋体" w:cs="宋体"/>
                <w:sz w:val="24"/>
                <w:szCs w:val="24"/>
              </w:rPr>
            </w:pPr>
            <w:r>
              <w:rPr>
                <w:rFonts w:hint="eastAsia" w:ascii="宋体" w:hAnsi="宋体" w:eastAsia="宋体"/>
              </w:rPr>
              <w:t>0.05%</w:t>
            </w:r>
          </w:p>
        </w:tc>
      </w:tr>
      <w:tr w14:paraId="4028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2888F">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11D57AD">
            <w:pPr>
              <w:jc w:val="center"/>
              <w:rPr>
                <w:rFonts w:ascii="宋体" w:hAnsi="宋体" w:eastAsia="宋体" w:cs="宋体"/>
                <w:sz w:val="24"/>
                <w:szCs w:val="24"/>
              </w:rPr>
            </w:pPr>
            <w:r>
              <w:rPr>
                <w:rFonts w:hint="eastAsia" w:ascii="宋体" w:hAnsi="宋体" w:eastAsia="宋体"/>
              </w:rPr>
              <w:t>5.14%</w:t>
            </w:r>
          </w:p>
        </w:tc>
        <w:tc>
          <w:tcPr>
            <w:tcW w:w="0" w:type="auto"/>
            <w:shd w:val="clear" w:color="auto" w:fill="auto"/>
          </w:tcPr>
          <w:p w14:paraId="34E62CBF">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30D58497">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05039F7E">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7386FE">
            <w:pPr>
              <w:jc w:val="center"/>
              <w:rPr>
                <w:rFonts w:ascii="宋体" w:hAnsi="宋体" w:eastAsia="宋体" w:cs="宋体"/>
                <w:sz w:val="24"/>
                <w:szCs w:val="24"/>
              </w:rPr>
            </w:pPr>
            <w:r>
              <w:rPr>
                <w:rFonts w:hint="eastAsia" w:ascii="宋体" w:hAnsi="宋体" w:eastAsia="宋体"/>
              </w:rPr>
              <w:t>2.44%</w:t>
            </w:r>
          </w:p>
        </w:tc>
        <w:tc>
          <w:tcPr>
            <w:tcW w:w="0" w:type="auto"/>
            <w:shd w:val="clear" w:color="auto" w:fill="auto"/>
          </w:tcPr>
          <w:p w14:paraId="4EF60344">
            <w:pPr>
              <w:jc w:val="center"/>
              <w:rPr>
                <w:rFonts w:ascii="宋体" w:hAnsi="宋体" w:eastAsia="宋体" w:cs="宋体"/>
                <w:sz w:val="24"/>
                <w:szCs w:val="24"/>
              </w:rPr>
            </w:pPr>
            <w:r>
              <w:rPr>
                <w:rFonts w:hint="eastAsia" w:ascii="宋体" w:hAnsi="宋体" w:eastAsia="宋体"/>
              </w:rPr>
              <w:t>0.02%</w:t>
            </w:r>
          </w:p>
        </w:tc>
      </w:tr>
      <w:tr w14:paraId="4914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BDA03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DC9FBE1">
            <w:pPr>
              <w:jc w:val="center"/>
              <w:rPr>
                <w:rFonts w:ascii="宋体" w:hAnsi="宋体" w:eastAsia="宋体" w:cs="宋体"/>
                <w:sz w:val="24"/>
                <w:szCs w:val="24"/>
              </w:rPr>
            </w:pPr>
            <w:r>
              <w:rPr>
                <w:rFonts w:hint="eastAsia" w:ascii="宋体" w:hAnsi="宋体" w:eastAsia="宋体"/>
              </w:rPr>
              <w:t>3.50%</w:t>
            </w:r>
          </w:p>
        </w:tc>
        <w:tc>
          <w:tcPr>
            <w:tcW w:w="0" w:type="auto"/>
            <w:shd w:val="clear" w:color="auto" w:fill="auto"/>
          </w:tcPr>
          <w:p w14:paraId="073EE9B3">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639613A6">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14:paraId="7521672E">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14141988">
            <w:pPr>
              <w:jc w:val="center"/>
              <w:rPr>
                <w:rFonts w:ascii="宋体" w:hAnsi="宋体" w:eastAsia="宋体" w:cs="宋体"/>
                <w:sz w:val="24"/>
                <w:szCs w:val="24"/>
              </w:rPr>
            </w:pPr>
            <w:r>
              <w:rPr>
                <w:rFonts w:hint="eastAsia" w:ascii="宋体" w:hAnsi="宋体" w:eastAsia="宋体"/>
              </w:rPr>
              <w:t>0.80%</w:t>
            </w:r>
          </w:p>
        </w:tc>
        <w:tc>
          <w:tcPr>
            <w:tcW w:w="0" w:type="auto"/>
            <w:shd w:val="clear" w:color="auto" w:fill="auto"/>
          </w:tcPr>
          <w:p w14:paraId="1DEA0FC2">
            <w:pPr>
              <w:jc w:val="center"/>
              <w:rPr>
                <w:rFonts w:ascii="宋体" w:hAnsi="宋体" w:eastAsia="宋体" w:cs="宋体"/>
                <w:sz w:val="24"/>
                <w:szCs w:val="24"/>
              </w:rPr>
            </w:pPr>
            <w:r>
              <w:rPr>
                <w:rFonts w:hint="eastAsia" w:ascii="宋体" w:hAnsi="宋体" w:eastAsia="宋体"/>
              </w:rPr>
              <w:t>0.02%</w:t>
            </w:r>
          </w:p>
        </w:tc>
      </w:tr>
      <w:tr w14:paraId="755E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F46FD4">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7F59B52D">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1FDC0522">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65EE8A9A">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14:paraId="347D309D">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1E5E1F2B">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3473DC62">
            <w:pPr>
              <w:jc w:val="center"/>
              <w:rPr>
                <w:rFonts w:ascii="宋体" w:hAnsi="宋体" w:eastAsia="宋体" w:cs="宋体"/>
                <w:sz w:val="24"/>
                <w:szCs w:val="24"/>
              </w:rPr>
            </w:pPr>
            <w:r>
              <w:rPr>
                <w:rFonts w:hint="eastAsia" w:ascii="宋体" w:hAnsi="宋体" w:eastAsia="宋体"/>
              </w:rPr>
              <w:t>0.01%</w:t>
            </w:r>
          </w:p>
        </w:tc>
      </w:tr>
      <w:tr w14:paraId="0492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E02B11">
            <w:pPr>
              <w:jc w:val="center"/>
              <w:rPr>
                <w:rFonts w:ascii="宋体" w:hAnsi="宋体" w:eastAsia="宋体" w:cs="宋体"/>
                <w:sz w:val="24"/>
                <w:szCs w:val="24"/>
              </w:rPr>
            </w:pPr>
            <w:r>
              <w:rPr>
                <w:rFonts w:hint="eastAsia" w:ascii="宋体" w:hAnsi="宋体" w:eastAsia="宋体"/>
              </w:rPr>
              <w:t>2015.11.19-2025.06.30</w:t>
            </w:r>
          </w:p>
        </w:tc>
        <w:tc>
          <w:tcPr>
            <w:tcW w:w="0" w:type="auto"/>
            <w:shd w:val="clear" w:color="auto" w:fill="auto"/>
          </w:tcPr>
          <w:p w14:paraId="5CACFEA7">
            <w:pPr>
              <w:jc w:val="center"/>
              <w:rPr>
                <w:rFonts w:ascii="宋体" w:hAnsi="宋体" w:eastAsia="宋体" w:cs="宋体"/>
                <w:sz w:val="24"/>
                <w:szCs w:val="24"/>
              </w:rPr>
            </w:pPr>
            <w:r>
              <w:rPr>
                <w:rFonts w:hint="eastAsia" w:ascii="宋体" w:hAnsi="宋体" w:eastAsia="宋体"/>
              </w:rPr>
              <w:t>53.33%</w:t>
            </w:r>
          </w:p>
        </w:tc>
        <w:tc>
          <w:tcPr>
            <w:tcW w:w="0" w:type="auto"/>
            <w:shd w:val="clear" w:color="auto" w:fill="auto"/>
          </w:tcPr>
          <w:p w14:paraId="4D1C79AB">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6298435">
            <w:pPr>
              <w:jc w:val="center"/>
              <w:rPr>
                <w:rFonts w:ascii="宋体" w:hAnsi="宋体" w:eastAsia="宋体" w:cs="宋体"/>
                <w:sz w:val="24"/>
                <w:szCs w:val="24"/>
              </w:rPr>
            </w:pPr>
            <w:r>
              <w:rPr>
                <w:rFonts w:hint="eastAsia" w:ascii="宋体" w:hAnsi="宋体" w:eastAsia="宋体"/>
              </w:rPr>
              <w:t>25.96%</w:t>
            </w:r>
          </w:p>
        </w:tc>
        <w:tc>
          <w:tcPr>
            <w:tcW w:w="0" w:type="auto"/>
            <w:shd w:val="clear" w:color="auto" w:fill="auto"/>
          </w:tcPr>
          <w:p w14:paraId="3687BEA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151CB9BE">
            <w:pPr>
              <w:jc w:val="center"/>
              <w:rPr>
                <w:rFonts w:ascii="宋体" w:hAnsi="宋体" w:eastAsia="宋体" w:cs="宋体"/>
                <w:sz w:val="24"/>
                <w:szCs w:val="24"/>
              </w:rPr>
            </w:pPr>
            <w:r>
              <w:rPr>
                <w:rFonts w:hint="eastAsia" w:ascii="宋体" w:hAnsi="宋体" w:eastAsia="宋体"/>
              </w:rPr>
              <w:t>27.37%</w:t>
            </w:r>
          </w:p>
        </w:tc>
        <w:tc>
          <w:tcPr>
            <w:tcW w:w="0" w:type="auto"/>
            <w:shd w:val="clear" w:color="auto" w:fill="auto"/>
          </w:tcPr>
          <w:p w14:paraId="62C54C54">
            <w:pPr>
              <w:jc w:val="center"/>
              <w:rPr>
                <w:rFonts w:ascii="宋体" w:hAnsi="宋体" w:eastAsia="宋体" w:cs="宋体"/>
                <w:sz w:val="24"/>
                <w:szCs w:val="24"/>
              </w:rPr>
            </w:pPr>
            <w:r>
              <w:rPr>
                <w:rFonts w:hint="eastAsia" w:ascii="宋体" w:hAnsi="宋体" w:eastAsia="宋体"/>
              </w:rPr>
              <w:t>0.05%</w:t>
            </w:r>
          </w:p>
        </w:tc>
      </w:tr>
    </w:tbl>
    <w:p w14:paraId="302A95BC">
      <w:pPr>
        <w:pStyle w:val="7"/>
        <w:spacing w:before="0" w:beforeAutospacing="0" w:after="0" w:afterAutospacing="0" w:line="360" w:lineRule="auto"/>
        <w:ind w:firstLine="420"/>
        <w:rPr>
          <w:sz w:val="21"/>
          <w:szCs w:val="21"/>
        </w:rPr>
      </w:pPr>
      <w:bookmarkStart w:id="147" w:name="chapter_level1_12_3500_section_1_end"/>
      <w:bookmarkEnd w:id="147"/>
      <w:bookmarkStart w:id="148" w:name="field_0_indatatable_1_end"/>
      <w:bookmarkEnd w:id="148"/>
      <w:r>
        <w:rPr>
          <w:rFonts w:hint="eastAsia"/>
          <w:sz w:val="21"/>
          <w:szCs w:val="21"/>
        </w:rPr>
        <w:t xml:space="preserve">  </w:t>
      </w:r>
    </w:p>
    <w:p w14:paraId="0CF08BBD">
      <w:pPr>
        <w:widowControl/>
        <w:jc w:val="left"/>
        <w:rPr>
          <w:rFonts w:ascii="宋体" w:hAnsi="宋体" w:eastAsia="宋体"/>
        </w:rPr>
      </w:pPr>
      <w:r>
        <w:rPr>
          <w:rFonts w:ascii="宋体" w:hAnsi="宋体" w:eastAsia="宋体"/>
        </w:rPr>
        <w:br w:type="page"/>
      </w:r>
    </w:p>
    <w:p w14:paraId="352BB3B8">
      <w:pPr>
        <w:pStyle w:val="2"/>
        <w:jc w:val="center"/>
        <w:rPr>
          <w:rFonts w:ascii="宋体" w:hAnsi="宋体" w:eastAsia="宋体"/>
          <w:sz w:val="30"/>
        </w:rPr>
      </w:pPr>
      <w:bookmarkStart w:id="149" w:name="_Toc207943820"/>
      <w:bookmarkStart w:id="150" w:name="chapter_level1_13_62"/>
      <w:r>
        <w:rPr>
          <w:rFonts w:hint="eastAsia" w:ascii="宋体" w:hAnsi="宋体" w:eastAsia="宋体"/>
          <w:sz w:val="30"/>
        </w:rPr>
        <w:t>第十部分  基金的财产</w:t>
      </w:r>
      <w:bookmarkEnd w:id="149"/>
      <w:bookmarkEnd w:id="150"/>
    </w:p>
    <w:p w14:paraId="622482CB">
      <w:pPr>
        <w:pStyle w:val="7"/>
        <w:spacing w:before="0" w:beforeAutospacing="0" w:after="0" w:afterAutospacing="0" w:line="360" w:lineRule="auto"/>
        <w:ind w:firstLine="420"/>
        <w:rPr>
          <w:sz w:val="21"/>
          <w:szCs w:val="21"/>
        </w:rPr>
      </w:pPr>
      <w:bookmarkStart w:id="151" w:name="chapter_level1_13_62_section_1"/>
      <w:bookmarkEnd w:id="151"/>
      <w:r>
        <w:rPr>
          <w:rStyle w:val="11"/>
          <w:rFonts w:hint="eastAsia"/>
          <w:sz w:val="21"/>
          <w:szCs w:val="21"/>
        </w:rPr>
        <w:t>一、基金资产总值</w:t>
      </w:r>
    </w:p>
    <w:p w14:paraId="5BF387CA">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2D0C5CCF">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21A7CAB5">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D29513A">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30836B2F">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547C08DA">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0EC09EE3">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D9815AE">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2" w:name="chapter_level1_13_62_section_1_end"/>
      <w:bookmarkEnd w:id="152"/>
      <w:r>
        <w:rPr>
          <w:rFonts w:hint="eastAsia"/>
          <w:sz w:val="21"/>
          <w:szCs w:val="21"/>
        </w:rPr>
        <w:t xml:space="preserve">得相互抵销。 </w:t>
      </w:r>
    </w:p>
    <w:p w14:paraId="5AC9A481">
      <w:pPr>
        <w:widowControl/>
        <w:jc w:val="left"/>
        <w:rPr>
          <w:rFonts w:ascii="宋体" w:hAnsi="宋体" w:eastAsia="宋体"/>
        </w:rPr>
      </w:pPr>
      <w:r>
        <w:rPr>
          <w:rFonts w:ascii="宋体" w:hAnsi="宋体" w:eastAsia="宋体"/>
        </w:rPr>
        <w:br w:type="page"/>
      </w:r>
    </w:p>
    <w:p w14:paraId="30E860CE">
      <w:pPr>
        <w:pStyle w:val="2"/>
        <w:jc w:val="center"/>
        <w:rPr>
          <w:rFonts w:ascii="宋体" w:hAnsi="宋体" w:eastAsia="宋体"/>
          <w:sz w:val="30"/>
        </w:rPr>
      </w:pPr>
      <w:bookmarkStart w:id="153" w:name="_Toc207943821"/>
      <w:bookmarkStart w:id="154" w:name="chapter_level1_14_63"/>
      <w:r>
        <w:rPr>
          <w:rFonts w:hint="eastAsia" w:ascii="宋体" w:hAnsi="宋体" w:eastAsia="宋体"/>
          <w:sz w:val="30"/>
        </w:rPr>
        <w:t>第十一部分  基金资产的估值</w:t>
      </w:r>
      <w:bookmarkEnd w:id="153"/>
      <w:bookmarkEnd w:id="154"/>
    </w:p>
    <w:p w14:paraId="792C1C2D">
      <w:pPr>
        <w:pStyle w:val="7"/>
        <w:spacing w:before="0" w:beforeAutospacing="0" w:after="0" w:afterAutospacing="0" w:line="360" w:lineRule="auto"/>
        <w:ind w:firstLine="420"/>
        <w:rPr>
          <w:sz w:val="21"/>
          <w:szCs w:val="21"/>
        </w:rPr>
      </w:pPr>
      <w:bookmarkStart w:id="155" w:name="chapter_level1_14_63_section_1"/>
      <w:bookmarkEnd w:id="155"/>
      <w:r>
        <w:rPr>
          <w:rStyle w:val="11"/>
          <w:rFonts w:hint="eastAsia"/>
          <w:sz w:val="21"/>
          <w:szCs w:val="21"/>
        </w:rPr>
        <w:t>一、估值日</w:t>
      </w:r>
    </w:p>
    <w:p w14:paraId="5C84409B">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50CDFB7">
      <w:pPr>
        <w:pStyle w:val="7"/>
        <w:spacing w:before="0" w:beforeAutospacing="0" w:after="0" w:afterAutospacing="0" w:line="360" w:lineRule="auto"/>
        <w:ind w:firstLine="420"/>
        <w:rPr>
          <w:sz w:val="21"/>
          <w:szCs w:val="21"/>
        </w:rPr>
      </w:pPr>
      <w:r>
        <w:rPr>
          <w:rStyle w:val="11"/>
          <w:rFonts w:hint="eastAsia"/>
          <w:sz w:val="21"/>
          <w:szCs w:val="21"/>
        </w:rPr>
        <w:t>二、估值对象</w:t>
      </w:r>
    </w:p>
    <w:p w14:paraId="11EB376E">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7D7B3510">
      <w:pPr>
        <w:pStyle w:val="7"/>
        <w:spacing w:before="0" w:beforeAutospacing="0" w:after="0" w:afterAutospacing="0" w:line="360" w:lineRule="auto"/>
        <w:ind w:firstLine="420"/>
        <w:rPr>
          <w:sz w:val="21"/>
          <w:szCs w:val="21"/>
        </w:rPr>
      </w:pPr>
      <w:r>
        <w:rPr>
          <w:rStyle w:val="11"/>
          <w:rFonts w:hint="eastAsia"/>
          <w:sz w:val="21"/>
          <w:szCs w:val="21"/>
        </w:rPr>
        <w:t>三、估值方法</w:t>
      </w:r>
    </w:p>
    <w:p w14:paraId="2C52D45E">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7142677">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1634A0C4">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70F80FA3">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5C1B80B6">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5DCE4DC3">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1C0FC591">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22A403F5">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3AEBDA26">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2830ADBD">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20ADE610">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5587DCD">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6" w:name="chapter_level1_14_63_section_1_end"/>
      <w:bookmarkEnd w:id="156"/>
      <w:r>
        <w:rPr>
          <w:rFonts w:hint="eastAsia"/>
          <w:sz w:val="21"/>
          <w:szCs w:val="21"/>
        </w:rPr>
        <w:t xml:space="preserve">予以公布。 </w:t>
      </w:r>
    </w:p>
    <w:p w14:paraId="64187B4E">
      <w:pPr>
        <w:pStyle w:val="7"/>
        <w:spacing w:before="0" w:beforeAutospacing="0" w:after="0" w:afterAutospacing="0" w:line="360" w:lineRule="auto"/>
        <w:ind w:firstLine="420"/>
        <w:rPr>
          <w:sz w:val="21"/>
          <w:szCs w:val="21"/>
        </w:rPr>
      </w:pPr>
      <w:bookmarkStart w:id="157" w:name="chapter_level1_14_63_section_2"/>
      <w:bookmarkEnd w:id="157"/>
      <w:r>
        <w:rPr>
          <w:rStyle w:val="11"/>
          <w:rFonts w:hint="eastAsia"/>
          <w:sz w:val="21"/>
          <w:szCs w:val="21"/>
        </w:rPr>
        <w:t>四、估值程序</w:t>
      </w:r>
    </w:p>
    <w:p w14:paraId="64E6CE02">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8" w:name="field_63_netdecimalvalue_1"/>
      <w:r>
        <w:rPr>
          <w:sz w:val="21"/>
          <w:szCs w:val="21"/>
        </w:rPr>
        <w:t>0.0001</w:t>
      </w:r>
      <w:bookmarkEnd w:id="158"/>
      <w:r>
        <w:rPr>
          <w:rFonts w:hint="eastAsia"/>
          <w:sz w:val="21"/>
          <w:szCs w:val="21"/>
        </w:rPr>
        <w:t xml:space="preserve">元，小数点后第5位四舍五入。国家另有规定的，从其规定。 </w:t>
      </w:r>
    </w:p>
    <w:p w14:paraId="285DBA66">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14:paraId="731FE155">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468286B3">
      <w:pPr>
        <w:pStyle w:val="7"/>
        <w:spacing w:before="0" w:beforeAutospacing="0" w:after="0" w:afterAutospacing="0" w:line="360" w:lineRule="auto"/>
        <w:ind w:firstLine="420"/>
        <w:rPr>
          <w:sz w:val="21"/>
          <w:szCs w:val="21"/>
        </w:rPr>
      </w:pPr>
      <w:r>
        <w:rPr>
          <w:rStyle w:val="11"/>
          <w:rFonts w:hint="eastAsia"/>
          <w:sz w:val="21"/>
          <w:szCs w:val="21"/>
        </w:rPr>
        <w:t>五、估值错误的处理</w:t>
      </w:r>
    </w:p>
    <w:p w14:paraId="75D0FE7B">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59" w:name="field_63_netdecimal_1"/>
      <w:r>
        <w:rPr>
          <w:sz w:val="21"/>
          <w:szCs w:val="21"/>
        </w:rPr>
        <w:t>4</w:t>
      </w:r>
      <w:bookmarkEnd w:id="159"/>
      <w:r>
        <w:rPr>
          <w:rFonts w:hint="eastAsia"/>
          <w:sz w:val="21"/>
          <w:szCs w:val="21"/>
        </w:rPr>
        <w:t>位以内（含第</w:t>
      </w:r>
      <w:bookmarkStart w:id="160" w:name="field_63_netdecimal_2"/>
      <w:r>
        <w:rPr>
          <w:sz w:val="21"/>
          <w:szCs w:val="21"/>
        </w:rPr>
        <w:t>4</w:t>
      </w:r>
      <w:bookmarkEnd w:id="160"/>
      <w:r>
        <w:rPr>
          <w:rFonts w:hint="eastAsia"/>
          <w:sz w:val="21"/>
          <w:szCs w:val="21"/>
        </w:rPr>
        <w:t xml:space="preserve">位）发生估值错误时，视为基金份额净值错误。 </w:t>
      </w:r>
    </w:p>
    <w:p w14:paraId="113FFA3B">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EDD29CF">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15C6C264">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6D2255A7">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2FCA3CD">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2B799B0B">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2FCFA9A0">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75ADBDCF">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8B1F68B">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B78AE59">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4D11424E">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14959D1">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D28D67F">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D3E3F53">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2677C4D">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06E64B2">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711B78A">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B45EE61">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 </w:t>
      </w:r>
    </w:p>
    <w:p w14:paraId="5C45C494">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32D34709">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90FF5A1">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 </w:t>
      </w:r>
    </w:p>
    <w:p w14:paraId="197D3F9A">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18D0A1C8">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39632CB5">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14931D9A">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（5）前述内容如法律法规或监管机关另有规定的，从其规定处理。如果行业另有通行做法，双方当事人应本着平等和保护基金份额持有人利益的原则进行协商。 </w:t>
      </w:r>
    </w:p>
    <w:p w14:paraId="0BBD8495">
      <w:pPr>
        <w:pStyle w:val="7"/>
        <w:spacing w:before="0" w:beforeAutospacing="0" w:after="0" w:afterAutospacing="0" w:line="360" w:lineRule="auto"/>
        <w:ind w:firstLine="420"/>
        <w:rPr>
          <w:sz w:val="21"/>
          <w:szCs w:val="21"/>
        </w:rPr>
      </w:pPr>
      <w:r>
        <w:rPr>
          <w:rStyle w:val="11"/>
          <w:rFonts w:hint="eastAsia"/>
          <w:sz w:val="21"/>
          <w:szCs w:val="21"/>
        </w:rPr>
        <w:t>六、暂停估值的情形</w:t>
      </w:r>
    </w:p>
    <w:p w14:paraId="7B6A9312">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37F64B04">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0447B654">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3、占基金相当比例的投资品种的估值出现重大转变，基金管理人为保障投资人的利益，决定延迟估值； </w:t>
      </w:r>
    </w:p>
    <w:p w14:paraId="323B422D">
      <w:pPr>
        <w:pStyle w:val="7"/>
        <w:spacing w:before="0" w:beforeAutospacing="0" w:after="0" w:afterAutospacing="0" w:line="360" w:lineRule="auto"/>
        <w:ind w:firstLine="420"/>
        <w:rPr>
          <w:sz w:val="21"/>
          <w:szCs w:val="21"/>
        </w:rPr>
      </w:pPr>
      <w:r>
        <w:rPr>
          <w:rFonts w:hint="eastAsia"/>
          <w:sz w:val="21"/>
          <w:szCs w:val="21"/>
        </w:rPr>
        <w:t xml:space="preserve">4、当特定资产占前一估值日基金资产净值50%以上的，经与基金托管人协商确认后，基金管理人应当暂停估值； </w:t>
      </w:r>
    </w:p>
    <w:p w14:paraId="67003E39">
      <w:pPr>
        <w:pStyle w:val="7"/>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5、法律法规规定、中国证监会和基金合同认定的其它情形。 </w:t>
      </w:r>
    </w:p>
    <w:p w14:paraId="25266371">
      <w:pPr>
        <w:pStyle w:val="7"/>
        <w:spacing w:before="0" w:beforeAutospacing="0" w:after="0" w:afterAutospacing="0" w:line="360" w:lineRule="auto"/>
        <w:ind w:firstLine="420"/>
        <w:rPr>
          <w:sz w:val="21"/>
          <w:szCs w:val="21"/>
        </w:rPr>
      </w:pPr>
      <w:r>
        <w:rPr>
          <w:rStyle w:val="11"/>
          <w:rFonts w:hint="eastAsia"/>
          <w:sz w:val="21"/>
          <w:szCs w:val="21"/>
        </w:rPr>
        <w:t>七、基金净值的确认</w:t>
      </w:r>
    </w:p>
    <w:p w14:paraId="0C83B7DE">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14:paraId="11D236AB">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14:paraId="29681E10">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14:paraId="3E249B7D">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067E2283">
      <w:pPr>
        <w:pStyle w:val="7"/>
        <w:spacing w:before="0" w:beforeAutospacing="0" w:after="0" w:afterAutospacing="0" w:line="360" w:lineRule="auto"/>
        <w:ind w:firstLine="420"/>
        <w:rPr>
          <w:sz w:val="21"/>
          <w:szCs w:val="21"/>
        </w:rPr>
      </w:pPr>
      <w:r>
        <w:rPr>
          <w:rFonts w:hint="eastAsia"/>
          <w:b/>
          <w:bCs/>
          <w:sz w:val="21"/>
          <w:szCs w:val="21"/>
        </w:rPr>
        <w:t>九、实施侧袋机制期间的基金资产估值</w:t>
      </w:r>
    </w:p>
    <w:p w14:paraId="05120F05">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1" w:name="chapter_level1_14_63_section_2_end"/>
      <w:bookmarkEnd w:id="161"/>
      <w:r>
        <w:rPr>
          <w:rFonts w:hint="eastAsia"/>
          <w:sz w:val="21"/>
          <w:szCs w:val="21"/>
        </w:rPr>
        <w:t xml:space="preserve">的基金净值信息，暂停披露侧袋账户基金净值信息。 </w:t>
      </w:r>
    </w:p>
    <w:p w14:paraId="1E239BC7">
      <w:pPr>
        <w:widowControl/>
        <w:jc w:val="left"/>
        <w:rPr>
          <w:rFonts w:ascii="宋体" w:hAnsi="宋体" w:eastAsia="宋体"/>
        </w:rPr>
      </w:pPr>
      <w:r>
        <w:rPr>
          <w:rFonts w:ascii="宋体" w:hAnsi="宋体" w:eastAsia="宋体"/>
        </w:rPr>
        <w:br w:type="page"/>
      </w:r>
    </w:p>
    <w:p w14:paraId="32261196">
      <w:pPr>
        <w:pStyle w:val="2"/>
        <w:jc w:val="center"/>
        <w:rPr>
          <w:rFonts w:ascii="宋体" w:hAnsi="宋体" w:eastAsia="宋体"/>
          <w:sz w:val="30"/>
        </w:rPr>
      </w:pPr>
      <w:bookmarkStart w:id="162" w:name="chapter_level1_15_64"/>
      <w:bookmarkStart w:id="163" w:name="_Toc207943822"/>
      <w:r>
        <w:rPr>
          <w:rFonts w:hint="eastAsia" w:ascii="宋体" w:hAnsi="宋体" w:eastAsia="宋体"/>
          <w:sz w:val="30"/>
        </w:rPr>
        <w:t>第十二部分  基金的收益分配</w:t>
      </w:r>
      <w:bookmarkEnd w:id="162"/>
      <w:bookmarkEnd w:id="163"/>
    </w:p>
    <w:p w14:paraId="487AAE7B">
      <w:pPr>
        <w:pStyle w:val="7"/>
        <w:spacing w:before="0" w:beforeAutospacing="0" w:after="0" w:afterAutospacing="0" w:line="360" w:lineRule="auto"/>
        <w:ind w:firstLine="420"/>
        <w:rPr>
          <w:sz w:val="21"/>
          <w:szCs w:val="21"/>
        </w:rPr>
      </w:pPr>
      <w:bookmarkStart w:id="164" w:name="chapter_level1_15_64_section_1"/>
      <w:bookmarkEnd w:id="164"/>
      <w:r>
        <w:rPr>
          <w:rStyle w:val="11"/>
          <w:rFonts w:hint="eastAsia"/>
          <w:sz w:val="21"/>
          <w:szCs w:val="21"/>
        </w:rPr>
        <w:t>一、基金利润的构成</w:t>
      </w:r>
    </w:p>
    <w:p w14:paraId="14095761">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AD5D349">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7C4C2B83">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718C227">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4398AA2E">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0154D52C">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2A08F326">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3CDCC4AD">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51FBD3D2">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5" w:name="chapter_level1_15_64_section_1_end"/>
      <w:bookmarkEnd w:id="165"/>
      <w:r>
        <w:rPr>
          <w:rFonts w:hint="eastAsia"/>
          <w:sz w:val="21"/>
          <w:szCs w:val="21"/>
        </w:rPr>
        <w:t xml:space="preserve">基金管理人可对基金收益分配原则和支付方式进行调整，不需召开基金份额持有人大会。 </w:t>
      </w:r>
    </w:p>
    <w:p w14:paraId="0B83F972">
      <w:pPr>
        <w:pStyle w:val="7"/>
        <w:spacing w:before="0" w:beforeAutospacing="0" w:after="0" w:afterAutospacing="0" w:line="360" w:lineRule="auto"/>
        <w:ind w:firstLine="420"/>
        <w:rPr>
          <w:sz w:val="21"/>
          <w:szCs w:val="21"/>
        </w:rPr>
      </w:pPr>
      <w:bookmarkStart w:id="166" w:name="chapter_level1_15_64_section_2"/>
      <w:bookmarkEnd w:id="166"/>
      <w:r>
        <w:rPr>
          <w:rStyle w:val="11"/>
          <w:rFonts w:hint="eastAsia"/>
          <w:sz w:val="21"/>
          <w:szCs w:val="21"/>
        </w:rPr>
        <w:t>四、收益分配方案</w:t>
      </w:r>
    </w:p>
    <w:p w14:paraId="72E2737B">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5B172870">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A7C8579">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15EAF153">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421D2264">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567DEA17">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 </w:t>
      </w:r>
    </w:p>
    <w:p w14:paraId="34C216AA">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14:paraId="326FFEE9">
      <w:pPr>
        <w:pStyle w:val="7"/>
        <w:spacing w:before="0" w:beforeAutospacing="0" w:after="0" w:afterAutospacing="0" w:line="360" w:lineRule="auto"/>
        <w:ind w:firstLine="420"/>
        <w:rPr>
          <w:sz w:val="21"/>
          <w:szCs w:val="21"/>
        </w:rPr>
      </w:pPr>
      <w:bookmarkStart w:id="167" w:name="chapter_level1_15_64_section_2_end"/>
      <w:bookmarkEnd w:id="167"/>
      <w:r>
        <w:rPr>
          <w:rFonts w:hint="eastAsia"/>
          <w:sz w:val="21"/>
          <w:szCs w:val="21"/>
        </w:rPr>
        <w:t xml:space="preserve">本基金实施侧袋机制的，侧袋账户不进行收益分配，详见招募说明书的规定。 </w:t>
      </w:r>
    </w:p>
    <w:p w14:paraId="18984F55">
      <w:pPr>
        <w:widowControl/>
        <w:jc w:val="left"/>
        <w:rPr>
          <w:rFonts w:ascii="宋体" w:hAnsi="宋体" w:eastAsia="宋体"/>
        </w:rPr>
      </w:pPr>
      <w:r>
        <w:rPr>
          <w:rFonts w:ascii="宋体" w:hAnsi="宋体" w:eastAsia="宋体"/>
        </w:rPr>
        <w:br w:type="page"/>
      </w:r>
    </w:p>
    <w:p w14:paraId="559784F4">
      <w:pPr>
        <w:pStyle w:val="2"/>
        <w:jc w:val="center"/>
        <w:rPr>
          <w:rFonts w:ascii="宋体" w:hAnsi="宋体" w:eastAsia="宋体"/>
          <w:sz w:val="30"/>
        </w:rPr>
      </w:pPr>
      <w:bookmarkStart w:id="168" w:name="_Toc207943823"/>
      <w:bookmarkStart w:id="169" w:name="chapter_level1_16_65"/>
      <w:r>
        <w:rPr>
          <w:rFonts w:hint="eastAsia" w:ascii="宋体" w:hAnsi="宋体" w:eastAsia="宋体"/>
          <w:sz w:val="30"/>
        </w:rPr>
        <w:t>第十三部分  基金费用与税收</w:t>
      </w:r>
      <w:bookmarkEnd w:id="168"/>
      <w:bookmarkEnd w:id="169"/>
    </w:p>
    <w:p w14:paraId="39E41D7A">
      <w:pPr>
        <w:pStyle w:val="7"/>
        <w:spacing w:before="0" w:beforeAutospacing="0" w:after="0" w:afterAutospacing="0" w:line="360" w:lineRule="auto"/>
        <w:ind w:firstLine="420"/>
        <w:rPr>
          <w:sz w:val="21"/>
          <w:szCs w:val="21"/>
        </w:rPr>
      </w:pPr>
      <w:bookmarkStart w:id="170" w:name="chapter_level1_16_65_section_1"/>
      <w:bookmarkEnd w:id="170"/>
      <w:r>
        <w:rPr>
          <w:rStyle w:val="11"/>
          <w:rFonts w:hint="eastAsia"/>
          <w:sz w:val="21"/>
          <w:szCs w:val="21"/>
        </w:rPr>
        <w:t>一、基金费用的种类</w:t>
      </w:r>
    </w:p>
    <w:p w14:paraId="182667E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6A4FA38">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0A099F2">
      <w:pPr>
        <w:pStyle w:val="7"/>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67022BFD">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A2D4E0B">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520D609E">
      <w:pPr>
        <w:pStyle w:val="7"/>
        <w:spacing w:before="0" w:beforeAutospacing="0" w:after="0" w:afterAutospacing="0" w:line="360" w:lineRule="auto"/>
        <w:ind w:firstLine="420"/>
        <w:rPr>
          <w:sz w:val="21"/>
          <w:szCs w:val="21"/>
        </w:rPr>
      </w:pPr>
      <w:r>
        <w:rPr>
          <w:rFonts w:hint="eastAsia"/>
          <w:sz w:val="21"/>
          <w:szCs w:val="21"/>
        </w:rPr>
        <w:t xml:space="preserve">6、基金的证券交易费用； </w:t>
      </w:r>
    </w:p>
    <w:p w14:paraId="08753D8C">
      <w:pPr>
        <w:pStyle w:val="7"/>
        <w:spacing w:before="0" w:beforeAutospacing="0" w:after="0" w:afterAutospacing="0" w:line="360" w:lineRule="auto"/>
        <w:ind w:firstLine="420"/>
        <w:rPr>
          <w:sz w:val="21"/>
          <w:szCs w:val="21"/>
        </w:rPr>
      </w:pPr>
      <w:r>
        <w:rPr>
          <w:rFonts w:hint="eastAsia"/>
          <w:sz w:val="21"/>
          <w:szCs w:val="21"/>
        </w:rPr>
        <w:t xml:space="preserve">7、基金的银行汇划费用； </w:t>
      </w:r>
    </w:p>
    <w:p w14:paraId="269F6E56">
      <w:pPr>
        <w:pStyle w:val="7"/>
        <w:spacing w:before="0" w:beforeAutospacing="0" w:after="0" w:afterAutospacing="0" w:line="360" w:lineRule="auto"/>
        <w:ind w:firstLine="420"/>
        <w:rPr>
          <w:sz w:val="21"/>
          <w:szCs w:val="21"/>
        </w:rPr>
      </w:pPr>
      <w:r>
        <w:rPr>
          <w:rFonts w:hint="eastAsia"/>
          <w:sz w:val="21"/>
          <w:szCs w:val="21"/>
        </w:rPr>
        <w:t xml:space="preserve">8、基金的账户开户费用、账户维护费用； </w:t>
      </w:r>
    </w:p>
    <w:p w14:paraId="2B287728">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14:paraId="3CA53A61">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7AACB006">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5B5AE8EB">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1" w:name="field_0_managementrate_1"/>
      <w:r>
        <w:rPr>
          <w:sz w:val="21"/>
          <w:szCs w:val="21"/>
        </w:rPr>
        <w:t>0.30</w:t>
      </w:r>
      <w:bookmarkEnd w:id="171"/>
      <w:r>
        <w:rPr>
          <w:rFonts w:hint="eastAsia"/>
          <w:sz w:val="21"/>
          <w:szCs w:val="21"/>
        </w:rPr>
        <w:t xml:space="preserve">%年费率计提。管理费的计算方法如下： </w:t>
      </w:r>
    </w:p>
    <w:p w14:paraId="340475F4">
      <w:pPr>
        <w:pStyle w:val="7"/>
        <w:spacing w:before="0" w:beforeAutospacing="0" w:after="0" w:afterAutospacing="0" w:line="360" w:lineRule="auto"/>
        <w:ind w:firstLine="420"/>
        <w:rPr>
          <w:sz w:val="21"/>
          <w:szCs w:val="21"/>
        </w:rPr>
      </w:pPr>
      <w:r>
        <w:rPr>
          <w:rFonts w:hint="eastAsia"/>
          <w:sz w:val="21"/>
          <w:szCs w:val="21"/>
        </w:rPr>
        <w:t>H＝E×</w:t>
      </w:r>
      <w:bookmarkStart w:id="172" w:name="field_0_managementrate_2"/>
      <w:r>
        <w:rPr>
          <w:sz w:val="21"/>
          <w:szCs w:val="21"/>
        </w:rPr>
        <w:t>0.30</w:t>
      </w:r>
      <w:bookmarkEnd w:id="172"/>
      <w:r>
        <w:rPr>
          <w:rFonts w:hint="eastAsia"/>
          <w:sz w:val="21"/>
          <w:szCs w:val="21"/>
        </w:rPr>
        <w:t xml:space="preserve">%÷当年天数 </w:t>
      </w:r>
    </w:p>
    <w:p w14:paraId="538A6E72">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2B989C60">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F707150">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5个工作日内从基金财产中一次性支付给基金管理人。若遇法定节假日、公休假或不可抗力等，支付日期顺延。 </w:t>
      </w:r>
    </w:p>
    <w:p w14:paraId="79A2C9B6">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67BC9EF8">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3" w:name="field_0_trusteerate_1"/>
      <w:r>
        <w:rPr>
          <w:sz w:val="21"/>
          <w:szCs w:val="21"/>
        </w:rPr>
        <w:t>0.08</w:t>
      </w:r>
      <w:bookmarkEnd w:id="173"/>
      <w:r>
        <w:rPr>
          <w:rFonts w:hint="eastAsia"/>
          <w:sz w:val="21"/>
          <w:szCs w:val="21"/>
        </w:rPr>
        <w:t xml:space="preserve">%的年费率计提。托管费的计算方法如下： </w:t>
      </w:r>
    </w:p>
    <w:p w14:paraId="15B3CBA4">
      <w:pPr>
        <w:pStyle w:val="7"/>
        <w:spacing w:before="0" w:beforeAutospacing="0" w:after="0" w:afterAutospacing="0" w:line="360" w:lineRule="auto"/>
        <w:ind w:firstLine="420"/>
        <w:rPr>
          <w:sz w:val="21"/>
          <w:szCs w:val="21"/>
        </w:rPr>
      </w:pPr>
      <w:r>
        <w:rPr>
          <w:rFonts w:hint="eastAsia"/>
          <w:sz w:val="21"/>
          <w:szCs w:val="21"/>
        </w:rPr>
        <w:t>H＝E×</w:t>
      </w:r>
      <w:bookmarkStart w:id="174" w:name="field_0_trusteerate_2"/>
      <w:r>
        <w:rPr>
          <w:sz w:val="21"/>
          <w:szCs w:val="21"/>
        </w:rPr>
        <w:t>0.08</w:t>
      </w:r>
      <w:bookmarkEnd w:id="174"/>
      <w:r>
        <w:rPr>
          <w:rFonts w:hint="eastAsia"/>
          <w:sz w:val="21"/>
          <w:szCs w:val="21"/>
        </w:rPr>
        <w:t xml:space="preserve">%÷当年天数 </w:t>
      </w:r>
    </w:p>
    <w:p w14:paraId="6A596002">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6DF45A6">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7159553">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5个工作日内从基金财产中一次性支取。若遇法定节假日、公休假或不可抗力等，支付日期顺延。 </w:t>
      </w:r>
    </w:p>
    <w:p w14:paraId="6B300837">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14:paraId="2B2A8689">
      <w:pPr>
        <w:pStyle w:val="7"/>
        <w:spacing w:before="0" w:beforeAutospacing="0" w:after="0" w:afterAutospacing="0" w:line="360" w:lineRule="auto"/>
        <w:ind w:firstLine="420"/>
        <w:rPr>
          <w:sz w:val="21"/>
          <w:szCs w:val="21"/>
        </w:rPr>
      </w:pPr>
      <w:r>
        <w:rPr>
          <w:rFonts w:hint="eastAsia"/>
          <w:sz w:val="21"/>
          <w:szCs w:val="21"/>
        </w:rPr>
        <w:t xml:space="preserve">3、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14:paraId="0E25188B">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76BD4185">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4044EB9A">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3B9203F">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811C46D">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1192F8ED">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2FD0019">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34B56663">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E7231E2">
      <w:pPr>
        <w:pStyle w:val="7"/>
        <w:spacing w:before="0" w:beforeAutospacing="0" w:after="0" w:afterAutospacing="0" w:line="360" w:lineRule="auto"/>
        <w:ind w:firstLine="420"/>
        <w:rPr>
          <w:sz w:val="21"/>
          <w:szCs w:val="21"/>
        </w:rPr>
      </w:pPr>
      <w:r>
        <w:rPr>
          <w:rStyle w:val="11"/>
          <w:rFonts w:hint="eastAsia"/>
          <w:sz w:val="21"/>
          <w:szCs w:val="21"/>
        </w:rPr>
        <w:t>五、基金税收</w:t>
      </w:r>
    </w:p>
    <w:p w14:paraId="34CCD525">
      <w:pPr>
        <w:pStyle w:val="7"/>
        <w:spacing w:before="0" w:beforeAutospacing="0" w:after="0" w:afterAutospacing="0" w:line="360" w:lineRule="auto"/>
        <w:ind w:firstLine="420"/>
        <w:rPr>
          <w:sz w:val="21"/>
          <w:szCs w:val="21"/>
        </w:rPr>
      </w:pPr>
      <w:bookmarkStart w:id="175" w:name="chapter_level1_16_65_section_1_end"/>
      <w:bookmarkEnd w:id="175"/>
      <w:r>
        <w:rPr>
          <w:rFonts w:hint="eastAsia"/>
          <w:sz w:val="21"/>
          <w:szCs w:val="21"/>
        </w:rPr>
        <w:t xml:space="preserve">本基金运作过程中涉及的各纳税主体，其纳税义务按国家税收法律、法规执行。 </w:t>
      </w:r>
    </w:p>
    <w:p w14:paraId="5180C673">
      <w:pPr>
        <w:widowControl/>
        <w:jc w:val="left"/>
        <w:rPr>
          <w:rFonts w:ascii="宋体" w:hAnsi="宋体" w:eastAsia="宋体"/>
        </w:rPr>
      </w:pPr>
      <w:r>
        <w:rPr>
          <w:rFonts w:ascii="宋体" w:hAnsi="宋体" w:eastAsia="宋体"/>
        </w:rPr>
        <w:br w:type="page"/>
      </w:r>
    </w:p>
    <w:p w14:paraId="5F0B30D3">
      <w:pPr>
        <w:pStyle w:val="2"/>
        <w:jc w:val="center"/>
        <w:rPr>
          <w:rFonts w:ascii="宋体" w:hAnsi="宋体" w:eastAsia="宋体"/>
          <w:sz w:val="30"/>
        </w:rPr>
      </w:pPr>
      <w:bookmarkStart w:id="176" w:name="_Toc207943824"/>
      <w:bookmarkStart w:id="177" w:name="chapter_level1_17_66"/>
      <w:r>
        <w:rPr>
          <w:rFonts w:hint="eastAsia" w:ascii="宋体" w:hAnsi="宋体" w:eastAsia="宋体"/>
          <w:sz w:val="30"/>
        </w:rPr>
        <w:t>第十四部分  基金的会计与审计</w:t>
      </w:r>
      <w:bookmarkEnd w:id="176"/>
      <w:bookmarkEnd w:id="177"/>
    </w:p>
    <w:p w14:paraId="7CA0E5F3">
      <w:pPr>
        <w:pStyle w:val="7"/>
        <w:spacing w:before="0" w:beforeAutospacing="0" w:after="0" w:afterAutospacing="0" w:line="360" w:lineRule="auto"/>
        <w:ind w:firstLine="420"/>
        <w:rPr>
          <w:sz w:val="21"/>
          <w:szCs w:val="21"/>
        </w:rPr>
      </w:pPr>
      <w:bookmarkStart w:id="178" w:name="chapter_level1_17_66_section_1"/>
      <w:bookmarkEnd w:id="178"/>
      <w:r>
        <w:rPr>
          <w:rStyle w:val="11"/>
          <w:rFonts w:hint="eastAsia"/>
          <w:sz w:val="21"/>
          <w:szCs w:val="21"/>
        </w:rPr>
        <w:t>一、基金会计政策</w:t>
      </w:r>
    </w:p>
    <w:p w14:paraId="6DC0C646">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2CEDACB6">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75B03E6">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535B4DE9">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64EA0AB2">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4171063B">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6C603BBF">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284BEC4C">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152517D7">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63AF2859">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C65063D">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9" w:name="chapter_level1_17_66_section_1_end"/>
      <w:bookmarkEnd w:id="179"/>
      <w:r>
        <w:rPr>
          <w:rFonts w:hint="eastAsia"/>
          <w:sz w:val="21"/>
          <w:szCs w:val="21"/>
        </w:rPr>
        <w:t xml:space="preserve">务所需按照《信息披露办法》的有关规定在指定媒介公告。 </w:t>
      </w:r>
    </w:p>
    <w:p w14:paraId="7AE2D2FB">
      <w:pPr>
        <w:widowControl/>
        <w:jc w:val="left"/>
        <w:rPr>
          <w:rFonts w:ascii="宋体" w:hAnsi="宋体" w:eastAsia="宋体"/>
        </w:rPr>
      </w:pPr>
      <w:r>
        <w:rPr>
          <w:rFonts w:ascii="宋体" w:hAnsi="宋体" w:eastAsia="宋体"/>
        </w:rPr>
        <w:br w:type="page"/>
      </w:r>
    </w:p>
    <w:p w14:paraId="21D04AF0">
      <w:pPr>
        <w:pStyle w:val="2"/>
        <w:jc w:val="center"/>
        <w:rPr>
          <w:rFonts w:ascii="宋体" w:hAnsi="宋体" w:eastAsia="宋体"/>
          <w:sz w:val="30"/>
        </w:rPr>
      </w:pPr>
      <w:bookmarkStart w:id="180" w:name="chapter_level1_18_67"/>
      <w:bookmarkStart w:id="181" w:name="_Toc207943825"/>
      <w:r>
        <w:rPr>
          <w:rFonts w:hint="eastAsia" w:ascii="宋体" w:hAnsi="宋体" w:eastAsia="宋体"/>
          <w:sz w:val="30"/>
        </w:rPr>
        <w:t>第十五部分  基金的信息披露</w:t>
      </w:r>
      <w:bookmarkEnd w:id="180"/>
      <w:bookmarkEnd w:id="181"/>
    </w:p>
    <w:p w14:paraId="2703D8D7">
      <w:pPr>
        <w:pStyle w:val="7"/>
        <w:spacing w:before="0" w:beforeAutospacing="0" w:after="0" w:afterAutospacing="0" w:line="360" w:lineRule="auto"/>
        <w:ind w:firstLine="420"/>
        <w:rPr>
          <w:sz w:val="21"/>
          <w:szCs w:val="21"/>
        </w:rPr>
      </w:pPr>
      <w:bookmarkStart w:id="182" w:name="chapter_level1_18_67_section_1"/>
      <w:bookmarkEnd w:id="182"/>
      <w:r>
        <w:rPr>
          <w:rStyle w:val="11"/>
          <w:rFonts w:hint="eastAsia"/>
          <w:sz w:val="21"/>
          <w:szCs w:val="21"/>
        </w:rPr>
        <w:t>一、本基金的信息披露应符合《基金法》、《运作办法》、《信息披露办法》、《基金合同》及其他有关规定。相关法律法规关于信息披露的规定发生变化时，本基金从其最新规定。 </w:t>
      </w:r>
    </w:p>
    <w:p w14:paraId="289C419B">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14:paraId="46C877CF">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36DD433">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23962BF">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43C44866">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14:paraId="20F6DF08">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0605C4B3">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2DE4CA5">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56AAA6E4">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1852B975">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3A3322DA">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67C45485">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 </w:t>
      </w:r>
    </w:p>
    <w:p w14:paraId="6D212F68">
      <w:pPr>
        <w:pStyle w:val="7"/>
        <w:spacing w:before="0" w:beforeAutospacing="0" w:after="0" w:afterAutospacing="0" w:line="360" w:lineRule="auto"/>
        <w:ind w:firstLine="420"/>
        <w:rPr>
          <w:sz w:val="21"/>
          <w:szCs w:val="21"/>
        </w:rPr>
      </w:pPr>
      <w:bookmarkStart w:id="183" w:name="chapter_level1_18_67_section_1_end"/>
      <w:bookmarkEnd w:id="183"/>
      <w:r>
        <w:rPr>
          <w:rFonts w:hint="eastAsia"/>
          <w:sz w:val="21"/>
          <w:szCs w:val="21"/>
        </w:rPr>
        <w:t xml:space="preserve">本基金公开披露的信息采用阿拉伯数字；除特别说明外，货币单位为人民币元。 </w:t>
      </w:r>
    </w:p>
    <w:p w14:paraId="71FB60A9">
      <w:pPr>
        <w:pStyle w:val="7"/>
        <w:spacing w:before="0" w:beforeAutospacing="0" w:after="0" w:afterAutospacing="0" w:line="360" w:lineRule="auto"/>
        <w:ind w:firstLine="420"/>
        <w:rPr>
          <w:sz w:val="21"/>
          <w:szCs w:val="21"/>
        </w:rPr>
      </w:pPr>
      <w:bookmarkStart w:id="184" w:name="chapter_level1_18_67_section_2"/>
      <w:bookmarkEnd w:id="184"/>
      <w:r>
        <w:rPr>
          <w:rStyle w:val="11"/>
          <w:rFonts w:hint="eastAsia"/>
          <w:sz w:val="21"/>
          <w:szCs w:val="21"/>
        </w:rPr>
        <w:t>五、公开披露的基金信息 </w:t>
      </w:r>
    </w:p>
    <w:p w14:paraId="5010F48C">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BE39021">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7566A699">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292A9BE">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4F72F90C">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25403BF1">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B990EE4">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14:paraId="757630D7">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48C0E9D1">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7B8CB099">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1421AE4F">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49B92948">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614017F7">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《基金合同》生效后，在封闭期内，基金管理人应当至少每周在指定网站披露一次基金份额净值和基金份额累计净值。 </w:t>
      </w:r>
    </w:p>
    <w:p w14:paraId="595C64D9">
      <w:pPr>
        <w:pStyle w:val="7"/>
        <w:spacing w:before="0" w:beforeAutospacing="0" w:after="0" w:afterAutospacing="0" w:line="360" w:lineRule="auto"/>
        <w:ind w:firstLine="420"/>
        <w:rPr>
          <w:sz w:val="21"/>
          <w:szCs w:val="21"/>
        </w:rPr>
      </w:pPr>
      <w:r>
        <w:rPr>
          <w:rFonts w:hint="eastAsia"/>
          <w:sz w:val="21"/>
          <w:szCs w:val="21"/>
        </w:rPr>
        <w:t xml:space="preserve">在开放期内，基金管理人应当在不晚于每个开放日的次日，通过指定网站、基金销售机构网站或者营业网点披露开放日的基金份额净值和基金份额累计净值。 </w:t>
      </w:r>
    </w:p>
    <w:p w14:paraId="0C35A2C5">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14:paraId="0E9D5DA2">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59D6219F">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35113444">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7EE26FF5">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将年度报告提示性公告登载在指定报刊上。基金年度报告的财务会计报告应当经过具有证券、期货相关业务资格的会计师事务所审计。 </w:t>
      </w:r>
    </w:p>
    <w:p w14:paraId="3D95C3BF">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2A15DEA0">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6AD3E99">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44E9DC8F">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737FB883">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1CBBDB9A">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26F4338C">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36944063">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127C3A1">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5A19E62">
      <w:pPr>
        <w:pStyle w:val="7"/>
        <w:spacing w:before="0" w:beforeAutospacing="0" w:after="0" w:afterAutospacing="0" w:line="360" w:lineRule="auto"/>
        <w:ind w:firstLine="420"/>
        <w:rPr>
          <w:sz w:val="21"/>
          <w:szCs w:val="21"/>
        </w:rPr>
      </w:pPr>
      <w:r>
        <w:rPr>
          <w:rFonts w:hint="eastAsia"/>
          <w:sz w:val="21"/>
          <w:szCs w:val="21"/>
        </w:rPr>
        <w:t xml:space="preserve">2、终止基金合同、基金清算； </w:t>
      </w:r>
    </w:p>
    <w:p w14:paraId="61D1EF86">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23C31C95">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3A3ED06F">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4E4D3A21">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2D32CFF6">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6A4000DF">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21D139B6">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7C837AF0">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73A3FC82">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46C72FD2">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0F5B113E">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144DB796">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F237A4E">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2ECBBCFD">
      <w:pPr>
        <w:pStyle w:val="7"/>
        <w:spacing w:before="0" w:beforeAutospacing="0" w:after="0" w:afterAutospacing="0" w:line="360" w:lineRule="auto"/>
        <w:ind w:firstLine="420"/>
        <w:rPr>
          <w:sz w:val="21"/>
          <w:szCs w:val="21"/>
        </w:rPr>
      </w:pPr>
      <w:r>
        <w:rPr>
          <w:rFonts w:hint="eastAsia"/>
          <w:sz w:val="21"/>
          <w:szCs w:val="21"/>
        </w:rPr>
        <w:t xml:space="preserve">16、基金管理费、托管费、申购费、赎回费等费用计提标准、计提方式和费率发生变更； </w:t>
      </w:r>
    </w:p>
    <w:p w14:paraId="2CCEED40">
      <w:pPr>
        <w:pStyle w:val="7"/>
        <w:spacing w:before="0" w:beforeAutospacing="0" w:after="0" w:afterAutospacing="0" w:line="360" w:lineRule="auto"/>
        <w:ind w:firstLine="420"/>
        <w:rPr>
          <w:sz w:val="21"/>
          <w:szCs w:val="21"/>
        </w:rPr>
      </w:pPr>
      <w:r>
        <w:rPr>
          <w:rFonts w:hint="eastAsia"/>
          <w:sz w:val="21"/>
          <w:szCs w:val="21"/>
        </w:rPr>
        <w:t xml:space="preserve">17、基金份额净值计价错误达基金份额净值百分之零点五； </w:t>
      </w:r>
    </w:p>
    <w:p w14:paraId="23F4F9A1">
      <w:pPr>
        <w:pStyle w:val="7"/>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2B12613F">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4F30A0E6">
      <w:pPr>
        <w:pStyle w:val="7"/>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01566E9B">
      <w:pPr>
        <w:pStyle w:val="7"/>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723F1DFD">
      <w:pPr>
        <w:pStyle w:val="7"/>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06EFD70B">
      <w:pPr>
        <w:pStyle w:val="7"/>
        <w:spacing w:before="0" w:beforeAutospacing="0" w:after="0" w:afterAutospacing="0" w:line="360" w:lineRule="auto"/>
        <w:ind w:firstLine="420"/>
        <w:rPr>
          <w:sz w:val="21"/>
          <w:szCs w:val="21"/>
        </w:rPr>
      </w:pPr>
      <w:r>
        <w:rPr>
          <w:rFonts w:hint="eastAsia"/>
          <w:sz w:val="21"/>
          <w:szCs w:val="21"/>
        </w:rPr>
        <w:t xml:space="preserve">23、基金推出新业务或服务； </w:t>
      </w:r>
    </w:p>
    <w:p w14:paraId="10C40FA3">
      <w:pPr>
        <w:pStyle w:val="7"/>
        <w:spacing w:before="0" w:beforeAutospacing="0" w:after="0" w:afterAutospacing="0" w:line="360" w:lineRule="auto"/>
        <w:ind w:firstLine="420"/>
        <w:rPr>
          <w:sz w:val="21"/>
          <w:szCs w:val="21"/>
        </w:rPr>
      </w:pPr>
      <w:r>
        <w:rPr>
          <w:rFonts w:hint="eastAsia"/>
          <w:sz w:val="21"/>
          <w:szCs w:val="21"/>
        </w:rPr>
        <w:t xml:space="preserve">24、发生涉及本基金申购、赎回事项调整或潜在影响投资者赎回等重大事项时； </w:t>
      </w:r>
    </w:p>
    <w:p w14:paraId="23B36E22">
      <w:pPr>
        <w:pStyle w:val="7"/>
        <w:spacing w:before="0" w:beforeAutospacing="0" w:after="0" w:afterAutospacing="0" w:line="360" w:lineRule="auto"/>
        <w:ind w:firstLine="420"/>
        <w:rPr>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14:paraId="4B1065E7">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3C12B1EB">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14:paraId="41ECB154">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776E8E63">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5272710">
      <w:pPr>
        <w:pStyle w:val="7"/>
        <w:spacing w:before="0" w:beforeAutospacing="0" w:after="0" w:afterAutospacing="0" w:line="360" w:lineRule="auto"/>
        <w:ind w:firstLine="420"/>
        <w:rPr>
          <w:sz w:val="21"/>
          <w:szCs w:val="21"/>
        </w:rPr>
      </w:pPr>
      <w:r>
        <w:rPr>
          <w:rFonts w:hint="eastAsia"/>
          <w:sz w:val="21"/>
          <w:szCs w:val="21"/>
        </w:rPr>
        <w:t xml:space="preserve">（十）中小企业私募债券的投资情况 </w:t>
      </w:r>
    </w:p>
    <w:p w14:paraId="3113ACF5">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14:paraId="1B047F5A">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612183B2">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1C6D2584">
      <w:pPr>
        <w:pStyle w:val="7"/>
        <w:spacing w:before="0" w:beforeAutospacing="0" w:after="0" w:afterAutospacing="0" w:line="360" w:lineRule="auto"/>
        <w:ind w:firstLine="420"/>
        <w:rPr>
          <w:sz w:val="21"/>
          <w:szCs w:val="21"/>
        </w:rPr>
      </w:pPr>
      <w:r>
        <w:rPr>
          <w:rFonts w:hint="eastAsia"/>
          <w:sz w:val="21"/>
          <w:szCs w:val="21"/>
        </w:rPr>
        <w:t xml:space="preserve">（十二）清算报告 </w:t>
      </w:r>
    </w:p>
    <w:p w14:paraId="291654BB">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00F38ED8">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2CC68F85">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3AA1128C">
      <w:pPr>
        <w:pStyle w:val="7"/>
        <w:spacing w:before="0" w:beforeAutospacing="0" w:after="0" w:afterAutospacing="0" w:line="360" w:lineRule="auto"/>
        <w:ind w:firstLine="420"/>
        <w:rPr>
          <w:sz w:val="21"/>
          <w:szCs w:val="21"/>
        </w:rPr>
      </w:pPr>
      <w:bookmarkStart w:id="185" w:name="chapter_level1_18_67_section_2_end"/>
      <w:bookmarkEnd w:id="185"/>
      <w:r>
        <w:rPr>
          <w:rFonts w:hint="eastAsia"/>
          <w:sz w:val="21"/>
          <w:szCs w:val="21"/>
        </w:rPr>
        <w:t xml:space="preserve">（十四）中国证监会规定的其他信息 </w:t>
      </w:r>
    </w:p>
    <w:p w14:paraId="4C61AC8F">
      <w:pPr>
        <w:pStyle w:val="7"/>
        <w:spacing w:before="0" w:beforeAutospacing="0" w:after="0" w:afterAutospacing="0" w:line="360" w:lineRule="auto"/>
        <w:ind w:firstLine="420"/>
        <w:rPr>
          <w:sz w:val="21"/>
          <w:szCs w:val="21"/>
        </w:rPr>
      </w:pPr>
      <w:bookmarkStart w:id="186" w:name="chapter_level1_18_67_section_3"/>
      <w:bookmarkEnd w:id="186"/>
      <w:r>
        <w:rPr>
          <w:rStyle w:val="11"/>
          <w:rFonts w:hint="eastAsia"/>
          <w:sz w:val="21"/>
          <w:szCs w:val="21"/>
        </w:rPr>
        <w:t>六、信息披露事务管理 </w:t>
      </w:r>
    </w:p>
    <w:p w14:paraId="422CE6A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6D123BF">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696E23F0">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14:paraId="24F6B89D">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0654627F">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7BC2B65E">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6F38BB4F">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058E8581">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8A8969F">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 </w:t>
      </w:r>
    </w:p>
    <w:p w14:paraId="27B5E923">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依法必须披露的信息发布后，基金管理人、基金托管人应当按照相关法律法规规定将信息置备于公司住所，供社会公众查阅、复制。 </w:t>
      </w:r>
    </w:p>
    <w:p w14:paraId="0ADFA152">
      <w:pPr>
        <w:pStyle w:val="7"/>
        <w:spacing w:before="0" w:beforeAutospacing="0" w:after="0" w:afterAutospacing="0" w:line="360" w:lineRule="auto"/>
        <w:ind w:firstLine="420"/>
        <w:rPr>
          <w:sz w:val="21"/>
          <w:szCs w:val="21"/>
        </w:rPr>
      </w:pPr>
      <w:r>
        <w:rPr>
          <w:rStyle w:val="11"/>
          <w:rFonts w:hint="eastAsia"/>
          <w:sz w:val="21"/>
          <w:szCs w:val="21"/>
        </w:rPr>
        <w:t>八、当出现下述情况时，基金管理人和基金托管人可暂停或延迟披露基金信息： </w:t>
      </w:r>
    </w:p>
    <w:p w14:paraId="38851F84">
      <w:pPr>
        <w:pStyle w:val="7"/>
        <w:spacing w:before="0" w:beforeAutospacing="0" w:after="0" w:afterAutospacing="0" w:line="360" w:lineRule="auto"/>
        <w:ind w:firstLine="420"/>
        <w:rPr>
          <w:sz w:val="21"/>
          <w:szCs w:val="21"/>
        </w:rPr>
      </w:pPr>
      <w:r>
        <w:rPr>
          <w:rFonts w:hint="eastAsia"/>
          <w:sz w:val="21"/>
          <w:szCs w:val="21"/>
        </w:rPr>
        <w:t xml:space="preserve">（1）不可抗力； </w:t>
      </w:r>
    </w:p>
    <w:p w14:paraId="3F4A7814">
      <w:pPr>
        <w:pStyle w:val="7"/>
        <w:spacing w:before="0" w:beforeAutospacing="0" w:after="0" w:afterAutospacing="0" w:line="360" w:lineRule="auto"/>
        <w:ind w:firstLine="420"/>
        <w:rPr>
          <w:sz w:val="21"/>
          <w:szCs w:val="21"/>
        </w:rPr>
      </w:pPr>
      <w:r>
        <w:rPr>
          <w:rFonts w:hint="eastAsia"/>
          <w:sz w:val="21"/>
          <w:szCs w:val="21"/>
        </w:rPr>
        <w:t xml:space="preserve">（2）基金投资所涉及的证券交易市场遇法定节假日或因其他原因暂停营业时； </w:t>
      </w:r>
    </w:p>
    <w:p w14:paraId="0542F00F">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（3）占基金相当比例的投资品种的估值出现重大转变，基金管理人为保障基金份额持有人的利益，决定延迟估值； </w:t>
      </w:r>
    </w:p>
    <w:p w14:paraId="5402DFFF">
      <w:pPr>
        <w:pStyle w:val="7"/>
        <w:spacing w:before="0" w:beforeAutospacing="0" w:after="0" w:afterAutospacing="0" w:line="360" w:lineRule="auto"/>
        <w:ind w:firstLine="420"/>
        <w:rPr>
          <w:sz w:val="21"/>
          <w:szCs w:val="21"/>
        </w:rPr>
      </w:pPr>
      <w:bookmarkStart w:id="187" w:name="chapter_level1_18_67_section_3_end"/>
      <w:bookmarkEnd w:id="187"/>
      <w:r>
        <w:rPr>
          <w:rFonts w:hint="eastAsia"/>
          <w:sz w:val="21"/>
          <w:szCs w:val="21"/>
        </w:rPr>
        <w:t xml:space="preserve">（4）法律法规、基金合同或中国证监会规定的情况。 </w:t>
      </w:r>
    </w:p>
    <w:p w14:paraId="2912F1CB">
      <w:pPr>
        <w:widowControl/>
        <w:jc w:val="left"/>
        <w:rPr>
          <w:rFonts w:ascii="宋体" w:hAnsi="宋体" w:eastAsia="宋体"/>
        </w:rPr>
      </w:pPr>
      <w:r>
        <w:rPr>
          <w:rFonts w:ascii="宋体" w:hAnsi="宋体" w:eastAsia="宋体"/>
        </w:rPr>
        <w:br w:type="page"/>
      </w:r>
    </w:p>
    <w:p w14:paraId="6DC67878">
      <w:pPr>
        <w:pStyle w:val="2"/>
        <w:jc w:val="center"/>
        <w:rPr>
          <w:rFonts w:ascii="宋体" w:hAnsi="宋体" w:eastAsia="宋体"/>
          <w:sz w:val="30"/>
        </w:rPr>
      </w:pPr>
      <w:bookmarkStart w:id="188" w:name="_Toc207943826"/>
      <w:bookmarkStart w:id="189" w:name="chapter_level1_19_60227"/>
      <w:r>
        <w:rPr>
          <w:rFonts w:hint="eastAsia" w:ascii="宋体" w:hAnsi="宋体" w:eastAsia="宋体"/>
          <w:sz w:val="30"/>
        </w:rPr>
        <w:t>第十六部分 侧袋机制</w:t>
      </w:r>
      <w:bookmarkEnd w:id="188"/>
      <w:bookmarkEnd w:id="189"/>
    </w:p>
    <w:p w14:paraId="29454F98">
      <w:pPr>
        <w:pStyle w:val="7"/>
        <w:spacing w:before="0" w:beforeAutospacing="0" w:after="0" w:afterAutospacing="0" w:line="360" w:lineRule="auto"/>
        <w:ind w:firstLine="420"/>
        <w:rPr>
          <w:sz w:val="21"/>
          <w:szCs w:val="21"/>
        </w:rPr>
      </w:pPr>
      <w:bookmarkStart w:id="190" w:name="chapter_level1_19_60227_section_1"/>
      <w:bookmarkEnd w:id="190"/>
      <w:r>
        <w:rPr>
          <w:rFonts w:hint="eastAsia"/>
          <w:b/>
          <w:bCs/>
          <w:sz w:val="21"/>
          <w:szCs w:val="21"/>
        </w:rPr>
        <w:t>一、侧袋机制的实施条件、实施程序和特定资产范围</w:t>
      </w:r>
    </w:p>
    <w:p w14:paraId="1708C5FA">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65FEFA35">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381E84CA">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79284100">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6311B89F">
      <w:pPr>
        <w:pStyle w:val="7"/>
        <w:spacing w:before="0" w:beforeAutospacing="0" w:after="0" w:afterAutospacing="0" w:line="360" w:lineRule="auto"/>
        <w:ind w:firstLine="420"/>
        <w:rPr>
          <w:sz w:val="21"/>
          <w:szCs w:val="21"/>
        </w:rPr>
      </w:pPr>
      <w:r>
        <w:rPr>
          <w:rFonts w:hint="eastAsia"/>
          <w:sz w:val="21"/>
          <w:szCs w:val="21"/>
        </w:rPr>
        <w:t xml:space="preserve">1、侧袋账户 </w:t>
      </w:r>
    </w:p>
    <w:p w14:paraId="3C3617D3">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11620014">
      <w:pPr>
        <w:pStyle w:val="7"/>
        <w:spacing w:before="0" w:beforeAutospacing="0" w:after="0" w:afterAutospacing="0" w:line="360" w:lineRule="auto"/>
        <w:ind w:firstLine="420"/>
        <w:rPr>
          <w:sz w:val="21"/>
          <w:szCs w:val="21"/>
        </w:rPr>
      </w:pPr>
      <w:r>
        <w:rPr>
          <w:rFonts w:hint="eastAsia"/>
          <w:sz w:val="21"/>
          <w:szCs w:val="21"/>
        </w:rPr>
        <w:t xml:space="preserve">2、主袋账户 </w:t>
      </w:r>
    </w:p>
    <w:p w14:paraId="53057434">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75BC366C">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31874334">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0205DCA8">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25220EA5">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37FC99D1">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D90E5C9">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686B90EE">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2BC7CC11">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7DE6F756">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16D3E644">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20C24674">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4DD50D26">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22EC6493">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206004EE">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022E9C79">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4D3E5DD1">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7D6C3BF">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753B4285">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64D413BB">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5AD9FC5B">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04137062">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199ED57C">
      <w:pPr>
        <w:pStyle w:val="7"/>
        <w:spacing w:before="0" w:beforeAutospacing="0" w:after="0" w:afterAutospacing="0" w:line="360" w:lineRule="auto"/>
        <w:ind w:firstLine="420"/>
        <w:rPr>
          <w:sz w:val="21"/>
          <w:szCs w:val="21"/>
        </w:rPr>
      </w:pPr>
      <w:r>
        <w:rPr>
          <w:rFonts w:hint="eastAsia"/>
          <w:sz w:val="21"/>
          <w:szCs w:val="21"/>
        </w:rPr>
        <w:t xml:space="preserve">2、定期报告 </w:t>
      </w:r>
    </w:p>
    <w:p w14:paraId="3686443C">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2C808C9C">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0F022102">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7C4C0599">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09C71317">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6DA0A517">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684E76EC">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27C69F3D">
      <w:pPr>
        <w:pStyle w:val="7"/>
        <w:spacing w:before="0" w:beforeAutospacing="0" w:after="0" w:afterAutospacing="0" w:line="360" w:lineRule="auto"/>
        <w:ind w:firstLine="420"/>
        <w:rPr>
          <w:sz w:val="21"/>
          <w:szCs w:val="21"/>
        </w:rPr>
      </w:pPr>
      <w:r>
        <w:rPr>
          <w:rFonts w:hint="eastAsia"/>
          <w:sz w:val="21"/>
          <w:szCs w:val="21"/>
        </w:rPr>
        <w:t xml:space="preserve">3、临时报告 </w:t>
      </w:r>
    </w:p>
    <w:p w14:paraId="0754AD18">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55399C27">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4A9578E2">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173C093C">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31839C40">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19766235">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2E41337E">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2908C58B">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60F94D0A">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6F9B50A">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56CC26D6">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当侧袋账户资产全部完成变现后，基金管理人应参照基金清算报告的相关要求，聘请符合《证券法》规定的会计师事务所对侧袋账户进行审计并披露专项审计意见。</w:t>
      </w:r>
    </w:p>
    <w:p w14:paraId="42EBEF24">
      <w:pPr>
        <w:rPr>
          <w:rFonts w:ascii="宋体" w:hAnsi="宋体" w:eastAsia="宋体"/>
          <w:sz w:val="24"/>
          <w:szCs w:val="24"/>
        </w:rPr>
      </w:pPr>
      <w:r>
        <w:rPr>
          <w:rFonts w:ascii="宋体" w:hAnsi="宋体" w:eastAsia="宋体"/>
          <w:b/>
          <w:bCs/>
        </w:rPr>
        <w:t>三、</w:t>
      </w:r>
      <w:r>
        <w:rPr>
          <w:rFonts w:ascii="宋体" w:hAnsi="宋体" w:eastAsia="宋体"/>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无</w:t>
      </w:r>
      <w:bookmarkStart w:id="191" w:name="chapter_level1_19_60227_section_1_end"/>
      <w:bookmarkEnd w:id="191"/>
      <w:r>
        <w:rPr>
          <w:rFonts w:ascii="宋体" w:hAnsi="宋体" w:eastAsia="宋体"/>
        </w:rPr>
        <w:t>需召开基金份额持有人大会审议。</w:t>
      </w:r>
    </w:p>
    <w:p w14:paraId="14CFFD66">
      <w:pPr>
        <w:widowControl/>
        <w:jc w:val="left"/>
        <w:rPr>
          <w:rFonts w:ascii="宋体" w:hAnsi="宋体" w:eastAsia="宋体"/>
        </w:rPr>
      </w:pPr>
      <w:r>
        <w:rPr>
          <w:rFonts w:ascii="宋体" w:hAnsi="宋体" w:eastAsia="宋体"/>
        </w:rPr>
        <w:br w:type="page"/>
      </w:r>
    </w:p>
    <w:p w14:paraId="3B2D4E22">
      <w:pPr>
        <w:pStyle w:val="2"/>
        <w:jc w:val="center"/>
        <w:rPr>
          <w:rFonts w:ascii="宋体" w:hAnsi="宋体" w:eastAsia="宋体"/>
          <w:sz w:val="30"/>
        </w:rPr>
      </w:pPr>
      <w:bookmarkStart w:id="192" w:name="_Toc207943827"/>
      <w:bookmarkStart w:id="193" w:name="chapter_level1_20_68"/>
      <w:r>
        <w:rPr>
          <w:rFonts w:hint="eastAsia" w:ascii="宋体" w:hAnsi="宋体" w:eastAsia="宋体"/>
          <w:sz w:val="30"/>
        </w:rPr>
        <w:t>第十七部分  风险揭示</w:t>
      </w:r>
      <w:bookmarkEnd w:id="192"/>
      <w:bookmarkEnd w:id="193"/>
    </w:p>
    <w:p w14:paraId="0DBD3914">
      <w:pPr>
        <w:pStyle w:val="7"/>
        <w:spacing w:before="0" w:beforeAutospacing="0" w:after="0" w:afterAutospacing="0" w:line="360" w:lineRule="auto"/>
        <w:ind w:firstLine="420"/>
        <w:rPr>
          <w:sz w:val="21"/>
          <w:szCs w:val="21"/>
        </w:rPr>
      </w:pPr>
      <w:bookmarkStart w:id="194" w:name="chapter_level1_20_68_section_1"/>
      <w:bookmarkEnd w:id="194"/>
      <w:r>
        <w:rPr>
          <w:rStyle w:val="11"/>
          <w:rFonts w:hint="eastAsia"/>
          <w:sz w:val="21"/>
          <w:szCs w:val="21"/>
        </w:rPr>
        <w:t>一、投资于本基金的主要风险</w:t>
      </w:r>
    </w:p>
    <w:p w14:paraId="6B3431A8">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6EEA6F41">
      <w:pPr>
        <w:pStyle w:val="7"/>
        <w:spacing w:before="0" w:beforeAutospacing="0" w:after="0" w:afterAutospacing="0" w:line="360" w:lineRule="auto"/>
        <w:ind w:firstLine="420"/>
        <w:rPr>
          <w:sz w:val="21"/>
          <w:szCs w:val="21"/>
        </w:rPr>
      </w:pPr>
      <w:r>
        <w:rPr>
          <w:rFonts w:hint="eastAsia"/>
          <w:sz w:val="21"/>
          <w:szCs w:val="21"/>
        </w:rPr>
        <w:t xml:space="preserve">1、市场风险 </w:t>
      </w:r>
    </w:p>
    <w:p w14:paraId="0B92B770">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2705F590">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361757C">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005D3AAA">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23B3168B">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34CD776F">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30EF2336">
      <w:pPr>
        <w:pStyle w:val="7"/>
        <w:spacing w:before="0" w:beforeAutospacing="0" w:after="0" w:afterAutospacing="0" w:line="360" w:lineRule="auto"/>
        <w:ind w:firstLine="420"/>
        <w:rPr>
          <w:sz w:val="21"/>
          <w:szCs w:val="21"/>
        </w:rPr>
      </w:pPr>
      <w:r>
        <w:rPr>
          <w:rFonts w:hint="eastAsia"/>
          <w:sz w:val="21"/>
          <w:szCs w:val="21"/>
        </w:rPr>
        <w:t xml:space="preserve">2、信用风险 </w:t>
      </w:r>
    </w:p>
    <w:p w14:paraId="79CE8C5E">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1BAD3F8D">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6AAC3BEB">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0248EAEC">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35B9C90C">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2693786A">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266723F1">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28AB69A2">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2281736F">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 </w:t>
      </w:r>
    </w:p>
    <w:p w14:paraId="64AC2F3A">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2CB1C57E">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机制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53C397D2">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5969C43C">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73B25016">
      <w:pPr>
        <w:pStyle w:val="7"/>
        <w:spacing w:before="0" w:beforeAutospacing="0" w:after="0" w:afterAutospacing="0" w:line="360" w:lineRule="auto"/>
        <w:ind w:firstLine="420"/>
        <w:rPr>
          <w:sz w:val="21"/>
          <w:szCs w:val="21"/>
        </w:rPr>
      </w:pPr>
      <w:r>
        <w:rPr>
          <w:rFonts w:hint="eastAsia"/>
          <w:sz w:val="21"/>
          <w:szCs w:val="21"/>
        </w:rPr>
        <w:t xml:space="preserve">4、操作风险 </w:t>
      </w:r>
    </w:p>
    <w:p w14:paraId="7669E562">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1EE99A41">
      <w:pPr>
        <w:pStyle w:val="7"/>
        <w:spacing w:before="0" w:beforeAutospacing="0" w:after="0" w:afterAutospacing="0" w:line="360" w:lineRule="auto"/>
        <w:ind w:firstLine="420"/>
        <w:rPr>
          <w:sz w:val="21"/>
          <w:szCs w:val="21"/>
        </w:rPr>
      </w:pPr>
      <w:r>
        <w:rPr>
          <w:rFonts w:hint="eastAsia"/>
          <w:sz w:val="21"/>
          <w:szCs w:val="21"/>
        </w:rPr>
        <w:t xml:space="preserve">5、管理风险 </w:t>
      </w:r>
    </w:p>
    <w:p w14:paraId="221155C3">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53064B0F">
      <w:pPr>
        <w:pStyle w:val="7"/>
        <w:spacing w:before="0" w:beforeAutospacing="0" w:after="0" w:afterAutospacing="0" w:line="360" w:lineRule="auto"/>
        <w:ind w:firstLine="420"/>
        <w:rPr>
          <w:sz w:val="21"/>
          <w:szCs w:val="21"/>
        </w:rPr>
      </w:pPr>
      <w:r>
        <w:rPr>
          <w:rFonts w:hint="eastAsia"/>
          <w:sz w:val="21"/>
          <w:szCs w:val="21"/>
        </w:rPr>
        <w:t xml:space="preserve">6、合规风险 </w:t>
      </w:r>
    </w:p>
    <w:p w14:paraId="223F931C">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472F56E">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7AC39803">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09A58110">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5935D284">
      <w:pPr>
        <w:pStyle w:val="7"/>
        <w:spacing w:before="0" w:beforeAutospacing="0" w:after="0" w:afterAutospacing="0" w:line="360" w:lineRule="auto"/>
        <w:ind w:firstLine="420"/>
        <w:rPr>
          <w:sz w:val="21"/>
          <w:szCs w:val="21"/>
        </w:rPr>
      </w:pPr>
      <w:r>
        <w:rPr>
          <w:rStyle w:val="11"/>
          <w:rFonts w:hint="eastAsia"/>
          <w:sz w:val="21"/>
          <w:szCs w:val="21"/>
        </w:rPr>
        <w:t>二、声明</w:t>
      </w:r>
    </w:p>
    <w:p w14:paraId="53BD89F6">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851F8AE">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5" w:name="chapter_level1_20_68_section_1_end"/>
      <w:bookmarkEnd w:id="195"/>
      <w:r>
        <w:rPr>
          <w:rFonts w:hint="eastAsia"/>
          <w:sz w:val="21"/>
          <w:szCs w:val="21"/>
        </w:rPr>
        <w:t xml:space="preserve">金管理人与基金代销机构都不能保证其收益或本金安全。 </w:t>
      </w:r>
    </w:p>
    <w:p w14:paraId="6F2B2F53">
      <w:pPr>
        <w:widowControl/>
        <w:jc w:val="left"/>
        <w:rPr>
          <w:rFonts w:ascii="宋体" w:hAnsi="宋体" w:eastAsia="宋体"/>
        </w:rPr>
      </w:pPr>
      <w:r>
        <w:rPr>
          <w:rFonts w:ascii="宋体" w:hAnsi="宋体" w:eastAsia="宋体"/>
        </w:rPr>
        <w:br w:type="page"/>
      </w:r>
    </w:p>
    <w:p w14:paraId="7A34B4E7">
      <w:pPr>
        <w:pStyle w:val="2"/>
        <w:jc w:val="center"/>
        <w:rPr>
          <w:rFonts w:ascii="宋体" w:hAnsi="宋体" w:eastAsia="宋体"/>
          <w:sz w:val="30"/>
        </w:rPr>
      </w:pPr>
      <w:bookmarkStart w:id="196" w:name="chapter_level1_21_69"/>
      <w:bookmarkStart w:id="197" w:name="_Toc207943828"/>
      <w:r>
        <w:rPr>
          <w:rFonts w:hint="eastAsia" w:ascii="宋体" w:hAnsi="宋体" w:eastAsia="宋体"/>
          <w:sz w:val="30"/>
        </w:rPr>
        <w:t>第十八部分  基金合同的变更、终止与基金财产的清算</w:t>
      </w:r>
      <w:bookmarkEnd w:id="196"/>
      <w:bookmarkEnd w:id="197"/>
    </w:p>
    <w:p w14:paraId="1451D9B7">
      <w:pPr>
        <w:pStyle w:val="7"/>
        <w:spacing w:before="0" w:beforeAutospacing="0" w:after="0" w:afterAutospacing="0" w:line="360" w:lineRule="auto"/>
        <w:ind w:firstLine="420"/>
        <w:rPr>
          <w:sz w:val="21"/>
          <w:szCs w:val="21"/>
        </w:rPr>
      </w:pPr>
      <w:bookmarkStart w:id="198" w:name="chapter_level1_21_69_section_1"/>
      <w:bookmarkEnd w:id="198"/>
      <w:r>
        <w:rPr>
          <w:rStyle w:val="11"/>
          <w:rFonts w:hint="eastAsia"/>
          <w:sz w:val="21"/>
          <w:szCs w:val="21"/>
        </w:rPr>
        <w:t>一、《基金合同》的变更</w:t>
      </w:r>
    </w:p>
    <w:p w14:paraId="6D556672">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ED89F6E">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19090207">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483C8C6A">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07C1692B">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AE7F4E1">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3E5F4B17">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5A0ED885">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0C81359">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0DD7A23E">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2FFFC92">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26251432">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DC07F63">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648643B4">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774C7D0">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BA746E2">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43F4990">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B126EC7">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A1E050E">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5645564">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51D2CF4">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23A0581D">
      <w:pPr>
        <w:pStyle w:val="7"/>
        <w:spacing w:before="0" w:beforeAutospacing="0" w:after="0" w:afterAutospacing="0" w:line="360" w:lineRule="auto"/>
        <w:ind w:firstLine="420"/>
        <w:rPr>
          <w:sz w:val="21"/>
          <w:szCs w:val="21"/>
        </w:rPr>
      </w:pPr>
      <w:r>
        <w:rPr>
          <w:rStyle w:val="11"/>
          <w:rFonts w:hint="eastAsia"/>
          <w:sz w:val="21"/>
          <w:szCs w:val="21"/>
        </w:rPr>
        <w:t>四、清算费用</w:t>
      </w:r>
    </w:p>
    <w:p w14:paraId="3F9BB4E9">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169F298">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38DFB7B2">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0590AAB">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126D832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10F6AD2">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33AD1967">
      <w:pPr>
        <w:pStyle w:val="7"/>
        <w:spacing w:before="0" w:beforeAutospacing="0" w:after="0" w:afterAutospacing="0" w:line="360" w:lineRule="auto"/>
        <w:ind w:firstLine="420"/>
        <w:rPr>
          <w:sz w:val="21"/>
          <w:szCs w:val="21"/>
        </w:rPr>
      </w:pPr>
      <w:bookmarkStart w:id="199" w:name="chapter_level1_21_69_section_1_end"/>
      <w:bookmarkEnd w:id="199"/>
      <w:r>
        <w:rPr>
          <w:rFonts w:hint="eastAsia"/>
          <w:sz w:val="21"/>
          <w:szCs w:val="21"/>
        </w:rPr>
        <w:t xml:space="preserve">基金财产清算账册及有关文件由基金托管人保存15年以上。 </w:t>
      </w:r>
    </w:p>
    <w:p w14:paraId="493FB478">
      <w:pPr>
        <w:widowControl/>
        <w:jc w:val="left"/>
        <w:rPr>
          <w:rFonts w:ascii="宋体" w:hAnsi="宋体" w:eastAsia="宋体"/>
        </w:rPr>
      </w:pPr>
      <w:r>
        <w:rPr>
          <w:rFonts w:ascii="宋体" w:hAnsi="宋体" w:eastAsia="宋体"/>
        </w:rPr>
        <w:br w:type="page"/>
      </w:r>
    </w:p>
    <w:p w14:paraId="560AAB2D">
      <w:pPr>
        <w:pStyle w:val="2"/>
        <w:jc w:val="center"/>
        <w:rPr>
          <w:rFonts w:ascii="宋体" w:hAnsi="宋体" w:eastAsia="宋体"/>
          <w:sz w:val="30"/>
        </w:rPr>
      </w:pPr>
      <w:bookmarkStart w:id="200" w:name="chapter_level1_22_71"/>
      <w:bookmarkStart w:id="201" w:name="_Toc207943829"/>
      <w:r>
        <w:rPr>
          <w:rFonts w:hint="eastAsia" w:ascii="宋体" w:hAnsi="宋体" w:eastAsia="宋体"/>
          <w:sz w:val="30"/>
        </w:rPr>
        <w:t>第十九部分  基金合同的内容摘要</w:t>
      </w:r>
      <w:bookmarkEnd w:id="200"/>
      <w:bookmarkEnd w:id="201"/>
    </w:p>
    <w:p w14:paraId="693AB1C1">
      <w:pPr>
        <w:pStyle w:val="7"/>
        <w:spacing w:before="0" w:beforeAutospacing="0" w:after="0" w:afterAutospacing="0" w:line="360" w:lineRule="auto"/>
        <w:ind w:firstLine="420"/>
        <w:rPr>
          <w:sz w:val="21"/>
          <w:szCs w:val="21"/>
        </w:rPr>
      </w:pPr>
      <w:bookmarkStart w:id="202" w:name="chapter_level1_22_71_section_1"/>
      <w:bookmarkEnd w:id="202"/>
      <w:r>
        <w:rPr>
          <w:rStyle w:val="11"/>
          <w:rFonts w:hint="eastAsia"/>
          <w:sz w:val="21"/>
          <w:szCs w:val="21"/>
        </w:rPr>
        <w:t>一、基金份额持有人、基金管理人和基金托管人的权利、义务</w:t>
      </w:r>
    </w:p>
    <w:p w14:paraId="771A2B59">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31C35D59">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58145356">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70129A6B">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3BD8FC7E">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A2AFE99">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5AEAE2C3">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442E116F">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D9CB7E8">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4CF73365">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3F811800">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5159C495">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4D17C435">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207FF24B">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281FE0B2">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423B190F">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778E10E5">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47912158">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55A14985">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FDE31E5">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BD7256B">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786C784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079C35C">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0B76B65">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8428F0E">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DF0AD1F">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682543D">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0A4D3BD">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65289E0">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（10）编制季度报告、中期报告和年度基金报告； </w:t>
      </w:r>
    </w:p>
    <w:p w14:paraId="44403773">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941FAC1">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5633A524">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EAA58FC">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CD67EE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81DBBD8">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EEAD5A4">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A77E270">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538AE5A">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F50CB9D">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B0B9B35">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07C7B57">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6EF7E314">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750935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563B9232">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0389B5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3CAEA974">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D424FC7">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3205B56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A46141D">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325DDA10">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6838B521">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6B991585">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14:paraId="55D03DAC">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0869F5E">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523C0E31">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8934CBA">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4CF35B77">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ECB2E47">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716668F1">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E4C3273">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64D7DE22">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421E607F">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14:paraId="09B93DE2">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3D850AB5">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5313CC5B">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19D41637">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基金报告出具意见，说明基金管理人在各重要方面的运作是否严格按照《基金合同》的规定进行；如果基金管理人有未执行《基金合同》规定的行为，还应当说明基金托管人是否采取了适当的措施； </w:t>
      </w:r>
    </w:p>
    <w:p w14:paraId="2F7B6DD9">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6ADED91F">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455A98E5">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77D16C51">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5DD2E79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BF19413">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E4974F3">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57F0623E">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53AAAA5C">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03896071">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2E214978">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3D9B4EE5">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251FD06">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6BDBF963">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34B0DCB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FDD4EF6">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6208D90">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5AA0AAE1">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6DF749F6">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F30D154">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77392EEB">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3663153">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3BDF4FC3">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1C734AA9">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1093E871">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EC2158F">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9639E71">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6EDF83D">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679D718">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4E6C38D4">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798D2FB4">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13C5FC8D">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260B4826">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6F54ED47">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28965274">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0A0CC601">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0534DA83">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4DE8B49E">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36902B64">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7A8489E">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13557A1A">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B0DE889">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1D7ECB09">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2BC1B7D6">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 </w:t>
      </w:r>
    </w:p>
    <w:p w14:paraId="5BBB5234">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75441C45">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62B03669">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4AECC0AC">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0C436CFC">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96F22B8">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71870E8A">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3A7AF088">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142BDCBB">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4891F8CF">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（1）调低基金管理费、基金托管费和其他应由基金承担的费用； </w:t>
      </w:r>
    </w:p>
    <w:p w14:paraId="4B4A7EB7">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039C9624">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14:paraId="0A7B12D6">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32AFC5C5">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172F962C">
      <w:pPr>
        <w:pStyle w:val="7"/>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14:paraId="68672F55">
      <w:pPr>
        <w:pStyle w:val="7"/>
        <w:spacing w:before="0" w:beforeAutospacing="0" w:after="0" w:afterAutospacing="0" w:line="360" w:lineRule="auto"/>
        <w:ind w:firstLine="420"/>
        <w:rPr>
          <w:sz w:val="21"/>
          <w:szCs w:val="21"/>
        </w:rPr>
      </w:pPr>
      <w:r>
        <w:rPr>
          <w:rFonts w:hint="eastAsia"/>
          <w:sz w:val="21"/>
          <w:szCs w:val="21"/>
        </w:rPr>
        <w:t xml:space="preserve">（7）在不违反法律法规、基金合同以及在不损害已有基金份额持有人权益的前提下，基金推出新业务或服务； </w:t>
      </w:r>
    </w:p>
    <w:p w14:paraId="049B39C7">
      <w:pPr>
        <w:pStyle w:val="7"/>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14:paraId="06929C87">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6AAFB8C3">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5E4E82EB">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725BC6F5">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468E2F51">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725E056A">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2AD931E6">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451150A7">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0BDCF1AE">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11B9F2CA">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7416CAA1">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E9D423E">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2E6B3328">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231F4590">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4D25EC2E">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367E7372">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3227802F">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D704DEB">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309716C6">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380D99AC">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6302493E">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1160E2B">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37587AC">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8BF2A82">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3CBBE1CF">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381604F4">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1C7D704A">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61222D0A">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70BAF5A2">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D0B62CD">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587A69FA">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14DA3956">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1E96BB6E">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4644B75">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4A87ACAF">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F262EDE">
      <w:pPr>
        <w:pStyle w:val="7"/>
        <w:spacing w:before="0" w:beforeAutospacing="0" w:after="0" w:afterAutospacing="0" w:line="360" w:lineRule="auto"/>
        <w:ind w:firstLine="420"/>
        <w:rPr>
          <w:sz w:val="21"/>
          <w:szCs w:val="21"/>
        </w:rPr>
      </w:pPr>
      <w:r>
        <w:rPr>
          <w:rFonts w:hint="eastAsia"/>
          <w:sz w:val="21"/>
          <w:szCs w:val="21"/>
        </w:rPr>
        <w:t xml:space="preserve">2、议事程序 </w:t>
      </w:r>
    </w:p>
    <w:p w14:paraId="4515D6ED">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1A59E00">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45216315">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C5EEF61">
      <w:pPr>
        <w:pStyle w:val="7"/>
        <w:spacing w:before="0" w:beforeAutospacing="0" w:after="0" w:afterAutospacing="0" w:line="360" w:lineRule="auto"/>
        <w:ind w:firstLine="420"/>
        <w:rPr>
          <w:sz w:val="21"/>
          <w:szCs w:val="21"/>
        </w:rPr>
      </w:pPr>
      <w:r>
        <w:rPr>
          <w:rFonts w:hint="eastAsia"/>
          <w:sz w:val="21"/>
          <w:szCs w:val="21"/>
        </w:rPr>
        <w:t xml:space="preserve">（2）通讯开会 </w:t>
      </w:r>
    </w:p>
    <w:p w14:paraId="099A8C6C">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47DE976B">
      <w:pPr>
        <w:pStyle w:val="7"/>
        <w:spacing w:before="0" w:beforeAutospacing="0" w:after="0" w:afterAutospacing="0" w:line="360" w:lineRule="auto"/>
        <w:ind w:firstLine="420"/>
        <w:rPr>
          <w:sz w:val="21"/>
          <w:szCs w:val="21"/>
        </w:rPr>
      </w:pPr>
      <w:r>
        <w:rPr>
          <w:rFonts w:hint="eastAsia"/>
          <w:sz w:val="21"/>
          <w:szCs w:val="21"/>
        </w:rPr>
        <w:t xml:space="preserve">（六）表决 </w:t>
      </w:r>
    </w:p>
    <w:p w14:paraId="0A332554">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69F00B7D">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3ABC387D">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7A5474D">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4AF0B74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65A0D239">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332FDF3F">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6D7052F2">
      <w:pPr>
        <w:pStyle w:val="7"/>
        <w:spacing w:before="0" w:beforeAutospacing="0" w:after="0" w:afterAutospacing="0" w:line="360" w:lineRule="auto"/>
        <w:ind w:firstLine="420"/>
        <w:rPr>
          <w:sz w:val="21"/>
          <w:szCs w:val="21"/>
        </w:rPr>
      </w:pPr>
      <w:r>
        <w:rPr>
          <w:rFonts w:hint="eastAsia"/>
          <w:sz w:val="21"/>
          <w:szCs w:val="21"/>
        </w:rPr>
        <w:t xml:space="preserve">（七）计票 </w:t>
      </w:r>
    </w:p>
    <w:p w14:paraId="5EA05181">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9B838D3">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7B17A116">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4B46959">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EE23014">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3DE844DB">
      <w:pPr>
        <w:pStyle w:val="7"/>
        <w:spacing w:before="0" w:beforeAutospacing="0" w:after="0" w:afterAutospacing="0" w:line="360" w:lineRule="auto"/>
        <w:ind w:firstLine="420"/>
        <w:rPr>
          <w:sz w:val="21"/>
          <w:szCs w:val="21"/>
        </w:rPr>
      </w:pPr>
      <w:r>
        <w:rPr>
          <w:rFonts w:hint="eastAsia"/>
          <w:sz w:val="21"/>
          <w:szCs w:val="21"/>
        </w:rPr>
        <w:t xml:space="preserve">2、通讯开会 </w:t>
      </w:r>
    </w:p>
    <w:p w14:paraId="3F25C619">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3EA14A9">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57047904">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58B8F8E7">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09B1B929">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1EE29E0E">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390DC779">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504D47A3">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2FD6EC4E">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4C047A10">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3AE3F5E4">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3B07E9CF">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17A52A20">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67F3806F">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7AE77868">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272888EF">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2EC8273A">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111A9414">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70163F02">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5368DE4C">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2711A3BC">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70FF9657">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DCD9EFA">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在符合法律法规及基金合同约定，并对基金份额持有人利益无实质不利影响的前提下，基金管理人可对基金收益分配原则和支付方式进行调整，不需召开基金份额持有人大会。 </w:t>
      </w:r>
    </w:p>
    <w:p w14:paraId="0C4257DB">
      <w:pPr>
        <w:pStyle w:val="7"/>
        <w:spacing w:before="0" w:beforeAutospacing="0" w:after="0" w:afterAutospacing="0" w:line="360" w:lineRule="auto"/>
        <w:ind w:firstLine="420"/>
        <w:rPr>
          <w:sz w:val="21"/>
          <w:szCs w:val="21"/>
        </w:rPr>
      </w:pPr>
      <w:r>
        <w:rPr>
          <w:rStyle w:val="11"/>
          <w:rFonts w:hint="eastAsia"/>
          <w:sz w:val="21"/>
          <w:szCs w:val="21"/>
        </w:rPr>
        <w:t>四、与基金财产管理、运用有关费用的提取、支付方式与比例</w:t>
      </w:r>
    </w:p>
    <w:p w14:paraId="6F6FAB2F">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B45EFD9">
      <w:pPr>
        <w:pStyle w:val="7"/>
        <w:spacing w:before="0" w:beforeAutospacing="0" w:after="0" w:afterAutospacing="0" w:line="360" w:lineRule="auto"/>
        <w:ind w:firstLine="420"/>
        <w:rPr>
          <w:sz w:val="21"/>
          <w:szCs w:val="21"/>
        </w:rPr>
      </w:pPr>
      <w:r>
        <w:rPr>
          <w:rFonts w:hint="eastAsia"/>
          <w:sz w:val="21"/>
          <w:szCs w:val="21"/>
        </w:rPr>
        <w:t xml:space="preserve">本基金的管理费按前一日基金资产净值的0.30%年费率计提。管理费的计算方法如下： </w:t>
      </w:r>
    </w:p>
    <w:p w14:paraId="4544C397">
      <w:pPr>
        <w:pStyle w:val="7"/>
        <w:spacing w:before="0" w:beforeAutospacing="0" w:after="0" w:afterAutospacing="0" w:line="360" w:lineRule="auto"/>
        <w:ind w:firstLine="420"/>
        <w:rPr>
          <w:sz w:val="21"/>
          <w:szCs w:val="21"/>
        </w:rPr>
      </w:pPr>
      <w:r>
        <w:rPr>
          <w:rFonts w:hint="eastAsia"/>
          <w:sz w:val="21"/>
          <w:szCs w:val="21"/>
        </w:rPr>
        <w:t xml:space="preserve">H＝E×0.30%÷当年天数 </w:t>
      </w:r>
    </w:p>
    <w:p w14:paraId="20EE6D35">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34F4B7DC">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F2F1D54">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5个工作日内从基金财产中一次性支付给基金管理人。若遇法定节假日、公休假或不可抗力等，支付日期顺延。 </w:t>
      </w:r>
    </w:p>
    <w:p w14:paraId="7C8C008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0D960F20">
      <w:pPr>
        <w:pStyle w:val="7"/>
        <w:spacing w:before="0" w:beforeAutospacing="0" w:after="0" w:afterAutospacing="0" w:line="360" w:lineRule="auto"/>
        <w:ind w:firstLine="420"/>
        <w:rPr>
          <w:sz w:val="21"/>
          <w:szCs w:val="21"/>
        </w:rPr>
      </w:pPr>
      <w:r>
        <w:rPr>
          <w:rFonts w:hint="eastAsia"/>
          <w:sz w:val="21"/>
          <w:szCs w:val="21"/>
        </w:rPr>
        <w:t xml:space="preserve">本基金的托管费按前一日基金资产净值的0.08%的年费率计提。托管费的计算方法如下： </w:t>
      </w:r>
    </w:p>
    <w:p w14:paraId="0BCC6C98">
      <w:pPr>
        <w:pStyle w:val="7"/>
        <w:spacing w:before="0" w:beforeAutospacing="0" w:after="0" w:afterAutospacing="0" w:line="360" w:lineRule="auto"/>
        <w:ind w:firstLine="420"/>
        <w:rPr>
          <w:sz w:val="21"/>
          <w:szCs w:val="21"/>
        </w:rPr>
      </w:pPr>
      <w:r>
        <w:rPr>
          <w:rFonts w:hint="eastAsia"/>
          <w:sz w:val="21"/>
          <w:szCs w:val="21"/>
        </w:rPr>
        <w:t xml:space="preserve">H＝E×0.08%÷当年天数 </w:t>
      </w:r>
    </w:p>
    <w:p w14:paraId="2323A596">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BE19894">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476F5DB">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5个工作日内从基金财产中一次性支取。若遇法定节假日、公休假或不可抗力等，支付日期顺延。 </w:t>
      </w:r>
    </w:p>
    <w:p w14:paraId="7BF352D6">
      <w:pPr>
        <w:pStyle w:val="7"/>
        <w:spacing w:before="0" w:beforeAutospacing="0" w:after="0" w:afterAutospacing="0" w:line="360" w:lineRule="auto"/>
        <w:ind w:firstLine="420"/>
        <w:rPr>
          <w:sz w:val="21"/>
          <w:szCs w:val="21"/>
        </w:rPr>
      </w:pPr>
      <w:r>
        <w:rPr>
          <w:rStyle w:val="11"/>
          <w:rFonts w:hint="eastAsia"/>
          <w:sz w:val="21"/>
          <w:szCs w:val="21"/>
        </w:rPr>
        <w:t>五、基金财产的投资方向和投资限制</w:t>
      </w:r>
    </w:p>
    <w:p w14:paraId="60292314">
      <w:pPr>
        <w:pStyle w:val="7"/>
        <w:spacing w:before="0" w:beforeAutospacing="0" w:after="0" w:afterAutospacing="0" w:line="360" w:lineRule="auto"/>
        <w:ind w:firstLine="420"/>
        <w:rPr>
          <w:sz w:val="21"/>
          <w:szCs w:val="21"/>
        </w:rPr>
      </w:pPr>
      <w:r>
        <w:rPr>
          <w:rFonts w:hint="eastAsia"/>
          <w:sz w:val="21"/>
          <w:szCs w:val="21"/>
        </w:rPr>
        <w:t xml:space="preserve">（一）投资范围 </w:t>
      </w:r>
    </w:p>
    <w:p w14:paraId="7CBAB5AF">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7D66160B">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1F314204">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031FED6E">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697720FC">
      <w:pPr>
        <w:pStyle w:val="7"/>
        <w:spacing w:before="0" w:beforeAutospacing="0" w:after="0" w:afterAutospacing="0" w:line="360" w:lineRule="auto"/>
        <w:ind w:firstLine="420"/>
        <w:rPr>
          <w:sz w:val="21"/>
          <w:szCs w:val="21"/>
        </w:rPr>
      </w:pPr>
      <w:r>
        <w:rPr>
          <w:rFonts w:hint="eastAsia"/>
          <w:sz w:val="21"/>
          <w:szCs w:val="21"/>
        </w:rPr>
        <w:t xml:space="preserve">（二）投资限制 </w:t>
      </w:r>
    </w:p>
    <w:p w14:paraId="70A15225">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09D90F7">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642C2B24">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2EDA91B3">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17D85714">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072A9A12">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22909A40">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0E3564ED">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F2C4C88">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4E74B6D7">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7FE45218">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226B0DEB">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14:paraId="6183A03B">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14:paraId="4878FA4B">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14:paraId="22A6C209">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24270165">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3B56BDFB">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54F9AF08">
      <w:pPr>
        <w:pStyle w:val="7"/>
        <w:spacing w:before="0" w:beforeAutospacing="0" w:after="0" w:afterAutospacing="0" w:line="360" w:lineRule="auto"/>
        <w:ind w:firstLine="420"/>
        <w:rPr>
          <w:sz w:val="21"/>
          <w:szCs w:val="21"/>
        </w:rPr>
      </w:pPr>
      <w:r>
        <w:rPr>
          <w:rFonts w:hint="eastAsia"/>
          <w:sz w:val="21"/>
          <w:szCs w:val="21"/>
        </w:rPr>
        <w:t xml:space="preserve">除上述第（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F132439">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608FDA57">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14:paraId="10E52CC2">
      <w:pPr>
        <w:pStyle w:val="7"/>
        <w:spacing w:before="0" w:beforeAutospacing="0" w:after="0" w:afterAutospacing="0" w:line="360" w:lineRule="auto"/>
        <w:ind w:firstLine="420"/>
        <w:rPr>
          <w:sz w:val="21"/>
          <w:szCs w:val="21"/>
        </w:rPr>
      </w:pPr>
      <w:r>
        <w:rPr>
          <w:rFonts w:hint="eastAsia"/>
          <w:sz w:val="21"/>
          <w:szCs w:val="21"/>
        </w:rPr>
        <w:t xml:space="preserve">（三）禁止行为 </w:t>
      </w:r>
    </w:p>
    <w:p w14:paraId="7315D187">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7D1426ED">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45D45C5">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781E539A">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88BB9F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8ADFF0C">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21F4E01">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92C232E">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5F25520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6409D51">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75E22FDA">
      <w:pPr>
        <w:pStyle w:val="7"/>
        <w:spacing w:before="0" w:beforeAutospacing="0" w:after="0" w:afterAutospacing="0" w:line="360" w:lineRule="auto"/>
        <w:ind w:firstLine="420"/>
        <w:rPr>
          <w:sz w:val="21"/>
          <w:szCs w:val="21"/>
        </w:rPr>
      </w:pPr>
      <w:r>
        <w:rPr>
          <w:rStyle w:val="11"/>
          <w:rFonts w:hint="eastAsia"/>
          <w:sz w:val="21"/>
          <w:szCs w:val="21"/>
        </w:rPr>
        <w:t>六、基金合同解除和终止的事由、程序以及基金财产清算方式</w:t>
      </w:r>
    </w:p>
    <w:p w14:paraId="1FE064EA">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362E96B6">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663A19B">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1B4989F1">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23EA6725">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2981AF9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AE6262B">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35991BE">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CB99ECB">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225D81D">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34151E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F3D6789">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73DC50B">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3A6C766">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5137C54B">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96EA029">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9E80753">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FC9E343">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05670DE">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8187EC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637000F">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B319E29">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6783F01B">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475F135C">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91F0A29">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1EA60FEC">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E02C7F7">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52652D7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129A36AC">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1B887D60">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5DD1B31">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7738C51A">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仲裁费用、律师费用由败诉方承担。 </w:t>
      </w:r>
    </w:p>
    <w:p w14:paraId="433288E6">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1F6331BA">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3D35891F">
      <w:pPr>
        <w:pStyle w:val="7"/>
        <w:spacing w:before="0" w:beforeAutospacing="0" w:after="0" w:afterAutospacing="0" w:line="360" w:lineRule="auto"/>
        <w:ind w:firstLine="420"/>
        <w:rPr>
          <w:sz w:val="21"/>
          <w:szCs w:val="21"/>
        </w:rPr>
      </w:pPr>
      <w:r>
        <w:rPr>
          <w:rStyle w:val="11"/>
          <w:rFonts w:hint="eastAsia"/>
          <w:sz w:val="21"/>
          <w:szCs w:val="21"/>
        </w:rPr>
        <w:t>八、基金合同存放地和投资人取得基金合同的方式</w:t>
      </w:r>
    </w:p>
    <w:p w14:paraId="1D9FB6DE">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3" w:name="chapter_level1_22_71_section_1_end"/>
      <w:bookmarkEnd w:id="203"/>
      <w:r>
        <w:rPr>
          <w:rFonts w:hint="eastAsia"/>
          <w:sz w:val="21"/>
          <w:szCs w:val="21"/>
        </w:rPr>
        <w:t xml:space="preserve">和营业场所查阅。 </w:t>
      </w:r>
    </w:p>
    <w:p w14:paraId="71DB2F21">
      <w:pPr>
        <w:widowControl/>
        <w:jc w:val="left"/>
        <w:rPr>
          <w:rFonts w:ascii="宋体" w:hAnsi="宋体" w:eastAsia="宋体"/>
        </w:rPr>
      </w:pPr>
      <w:r>
        <w:rPr>
          <w:rFonts w:ascii="宋体" w:hAnsi="宋体" w:eastAsia="宋体"/>
        </w:rPr>
        <w:br w:type="page"/>
      </w:r>
    </w:p>
    <w:p w14:paraId="42593CD6">
      <w:pPr>
        <w:pStyle w:val="2"/>
        <w:jc w:val="center"/>
        <w:rPr>
          <w:rFonts w:ascii="宋体" w:hAnsi="宋体" w:eastAsia="宋体"/>
          <w:sz w:val="30"/>
        </w:rPr>
      </w:pPr>
      <w:bookmarkStart w:id="204" w:name="chapter_level1_23_72"/>
      <w:bookmarkStart w:id="205" w:name="_Toc207943830"/>
      <w:r>
        <w:rPr>
          <w:rFonts w:hint="eastAsia" w:ascii="宋体" w:hAnsi="宋体" w:eastAsia="宋体"/>
          <w:sz w:val="30"/>
        </w:rPr>
        <w:t>第二十部分  基金托管协议的内容摘要</w:t>
      </w:r>
      <w:bookmarkEnd w:id="204"/>
      <w:bookmarkEnd w:id="205"/>
    </w:p>
    <w:p w14:paraId="60803F00">
      <w:pPr>
        <w:pStyle w:val="7"/>
        <w:spacing w:before="0" w:beforeAutospacing="0" w:after="0" w:afterAutospacing="0" w:line="360" w:lineRule="auto"/>
        <w:ind w:firstLine="420"/>
        <w:rPr>
          <w:sz w:val="21"/>
          <w:szCs w:val="21"/>
        </w:rPr>
      </w:pPr>
      <w:bookmarkStart w:id="206" w:name="chapter_level1_23_72_section_1"/>
      <w:bookmarkEnd w:id="206"/>
      <w:r>
        <w:rPr>
          <w:rStyle w:val="11"/>
          <w:rFonts w:hint="eastAsia"/>
          <w:sz w:val="21"/>
          <w:szCs w:val="21"/>
        </w:rPr>
        <w:t>一、托管协议当事人</w:t>
      </w:r>
    </w:p>
    <w:p w14:paraId="65B6E605">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12C183B4">
      <w:pPr>
        <w:pStyle w:val="7"/>
        <w:spacing w:before="0" w:beforeAutospacing="0" w:after="0" w:afterAutospacing="0" w:line="360" w:lineRule="auto"/>
        <w:ind w:firstLine="420"/>
        <w:rPr>
          <w:sz w:val="21"/>
          <w:szCs w:val="21"/>
        </w:rPr>
      </w:pPr>
      <w:r>
        <w:rPr>
          <w:rFonts w:hint="eastAsia"/>
          <w:sz w:val="21"/>
          <w:szCs w:val="21"/>
        </w:rPr>
        <w:t>名称：</w:t>
      </w:r>
      <w:bookmarkStart w:id="207" w:name="field_0_managerorgfullname_11"/>
      <w:r>
        <w:rPr>
          <w:rFonts w:hint="eastAsia"/>
          <w:sz w:val="21"/>
          <w:szCs w:val="21"/>
        </w:rPr>
        <w:t>博时基金管理有限公司</w:t>
      </w:r>
      <w:bookmarkEnd w:id="207"/>
      <w:r>
        <w:rPr>
          <w:rFonts w:hint="eastAsia"/>
          <w:sz w:val="21"/>
          <w:szCs w:val="21"/>
        </w:rPr>
        <w:t xml:space="preserve">  </w:t>
      </w:r>
    </w:p>
    <w:p w14:paraId="52625882">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40F0F685">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55855BA5">
      <w:pPr>
        <w:pStyle w:val="7"/>
        <w:spacing w:before="0" w:beforeAutospacing="0" w:after="0" w:afterAutospacing="0" w:line="360" w:lineRule="auto"/>
        <w:ind w:firstLine="420"/>
        <w:rPr>
          <w:sz w:val="21"/>
          <w:szCs w:val="21"/>
        </w:rPr>
      </w:pPr>
      <w:r>
        <w:rPr>
          <w:rFonts w:hint="eastAsia"/>
          <w:sz w:val="21"/>
          <w:szCs w:val="21"/>
        </w:rPr>
        <w:t>邮政编码：5180</w:t>
      </w:r>
      <w:r>
        <w:rPr>
          <w:rFonts w:hint="eastAsia"/>
          <w:sz w:val="21"/>
          <w:szCs w:val="21"/>
          <w:lang w:val="en-US" w:eastAsia="zh-CN"/>
        </w:rPr>
        <w:t>40</w:t>
      </w:r>
      <w:r>
        <w:rPr>
          <w:rFonts w:hint="eastAsia"/>
          <w:sz w:val="21"/>
          <w:szCs w:val="21"/>
        </w:rPr>
        <w:t xml:space="preserve"> </w:t>
      </w:r>
    </w:p>
    <w:p w14:paraId="476F6BA0">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09CCA79">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5F4B8CCB">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220CB95C">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0E483F4A">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44412BC4">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50E576EE">
      <w:pPr>
        <w:pStyle w:val="7"/>
        <w:spacing w:before="0" w:beforeAutospacing="0" w:after="0" w:afterAutospacing="0" w:line="360" w:lineRule="auto"/>
        <w:ind w:firstLine="420"/>
        <w:rPr>
          <w:sz w:val="21"/>
          <w:szCs w:val="21"/>
        </w:rPr>
      </w:pPr>
      <w:r>
        <w:rPr>
          <w:rFonts w:hint="eastAsia"/>
          <w:sz w:val="21"/>
          <w:szCs w:val="21"/>
        </w:rPr>
        <w:t xml:space="preserve">经营范围：发起设立基金、基金管理及中国证监会批准的其他业务 </w:t>
      </w:r>
    </w:p>
    <w:p w14:paraId="3D430FC8">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5B27DAF0">
      <w:pPr>
        <w:pStyle w:val="7"/>
        <w:spacing w:before="0" w:beforeAutospacing="0" w:after="0" w:afterAutospacing="0" w:line="360" w:lineRule="auto"/>
        <w:ind w:firstLine="420"/>
        <w:rPr>
          <w:sz w:val="21"/>
          <w:szCs w:val="21"/>
        </w:rPr>
      </w:pPr>
      <w:r>
        <w:rPr>
          <w:rFonts w:hint="eastAsia"/>
          <w:sz w:val="21"/>
          <w:szCs w:val="21"/>
        </w:rPr>
        <w:t>名称：</w:t>
      </w:r>
      <w:bookmarkStart w:id="208" w:name="field_0_trustorgfullname_2"/>
      <w:r>
        <w:rPr>
          <w:rFonts w:hint="eastAsia"/>
          <w:sz w:val="21"/>
          <w:szCs w:val="21"/>
        </w:rPr>
        <w:t>平安银行股份有限公司</w:t>
      </w:r>
      <w:bookmarkEnd w:id="208"/>
      <w:r>
        <w:rPr>
          <w:rFonts w:hint="eastAsia"/>
          <w:sz w:val="21"/>
          <w:szCs w:val="21"/>
        </w:rPr>
        <w:t xml:space="preserve">(简称：平安银行) </w:t>
      </w:r>
    </w:p>
    <w:p w14:paraId="403890F2">
      <w:pPr>
        <w:pStyle w:val="7"/>
        <w:spacing w:before="0" w:beforeAutospacing="0" w:after="0" w:afterAutospacing="0" w:line="360" w:lineRule="auto"/>
        <w:ind w:firstLine="420"/>
        <w:rPr>
          <w:sz w:val="21"/>
          <w:szCs w:val="21"/>
        </w:rPr>
      </w:pPr>
      <w:r>
        <w:rPr>
          <w:rFonts w:hint="eastAsia"/>
          <w:sz w:val="21"/>
          <w:szCs w:val="21"/>
        </w:rPr>
        <w:t xml:space="preserve">住所：广东省深圳市罗湖区深南东路5047号 </w:t>
      </w:r>
    </w:p>
    <w:p w14:paraId="1A86D1E8">
      <w:pPr>
        <w:pStyle w:val="7"/>
        <w:spacing w:before="0" w:beforeAutospacing="0" w:after="0" w:afterAutospacing="0" w:line="360" w:lineRule="auto"/>
        <w:ind w:firstLine="420"/>
        <w:rPr>
          <w:sz w:val="21"/>
          <w:szCs w:val="21"/>
        </w:rPr>
      </w:pPr>
      <w:r>
        <w:rPr>
          <w:rFonts w:hint="eastAsia"/>
          <w:sz w:val="21"/>
          <w:szCs w:val="21"/>
        </w:rPr>
        <w:t xml:space="preserve">办公地址：广东省深圳市罗湖区深南东路5047号 </w:t>
      </w:r>
    </w:p>
    <w:p w14:paraId="539F474E">
      <w:pPr>
        <w:pStyle w:val="7"/>
        <w:spacing w:before="0" w:beforeAutospacing="0" w:after="0" w:afterAutospacing="0" w:line="360" w:lineRule="auto"/>
        <w:ind w:firstLine="420"/>
        <w:rPr>
          <w:sz w:val="21"/>
          <w:szCs w:val="21"/>
        </w:rPr>
      </w:pPr>
      <w:r>
        <w:rPr>
          <w:rFonts w:hint="eastAsia"/>
          <w:sz w:val="21"/>
          <w:szCs w:val="21"/>
        </w:rPr>
        <w:t xml:space="preserve">法定代表人：谢永林 </w:t>
      </w:r>
    </w:p>
    <w:p w14:paraId="7848CCEE">
      <w:pPr>
        <w:pStyle w:val="7"/>
        <w:spacing w:before="0" w:beforeAutospacing="0" w:after="0" w:afterAutospacing="0" w:line="360" w:lineRule="auto"/>
        <w:ind w:firstLine="420"/>
        <w:rPr>
          <w:sz w:val="21"/>
          <w:szCs w:val="21"/>
        </w:rPr>
      </w:pPr>
      <w:r>
        <w:rPr>
          <w:rFonts w:hint="eastAsia"/>
          <w:sz w:val="21"/>
          <w:szCs w:val="21"/>
        </w:rPr>
        <w:t xml:space="preserve">成立日期：1987年12月22日 </w:t>
      </w:r>
    </w:p>
    <w:p w14:paraId="5CF14133">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1F876CC9">
      <w:pPr>
        <w:pStyle w:val="7"/>
        <w:spacing w:before="0" w:beforeAutospacing="0" w:after="0" w:afterAutospacing="0" w:line="360" w:lineRule="auto"/>
        <w:ind w:firstLine="420"/>
        <w:rPr>
          <w:sz w:val="21"/>
          <w:szCs w:val="21"/>
        </w:rPr>
      </w:pPr>
      <w:r>
        <w:rPr>
          <w:rFonts w:hint="eastAsia"/>
          <w:sz w:val="21"/>
          <w:szCs w:val="21"/>
        </w:rPr>
        <w:t xml:space="preserve">注册资本：17,170,411,366元 </w:t>
      </w:r>
    </w:p>
    <w:p w14:paraId="65EF51FE">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415DB6A">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基金托管资格批文及文号：中国证监会证监许可[2008]1037号 </w:t>
      </w:r>
    </w:p>
    <w:p w14:paraId="625E7C11">
      <w:pPr>
        <w:pStyle w:val="7"/>
        <w:spacing w:before="0" w:beforeAutospacing="0" w:after="0" w:afterAutospacing="0" w:line="360" w:lineRule="auto"/>
        <w:ind w:firstLine="420"/>
        <w:rPr>
          <w:sz w:val="21"/>
          <w:szCs w:val="21"/>
        </w:rPr>
      </w:pPr>
      <w:r>
        <w:rPr>
          <w:rFonts w:hint="eastAsia"/>
          <w:sz w:val="21"/>
          <w:szCs w:val="21"/>
        </w:rPr>
        <w:t xml:space="preserve">联系人：高希泉 </w:t>
      </w:r>
    </w:p>
    <w:p w14:paraId="2A9CCF1C">
      <w:pPr>
        <w:pStyle w:val="7"/>
        <w:spacing w:before="0" w:beforeAutospacing="0" w:after="0" w:afterAutospacing="0" w:line="360" w:lineRule="auto"/>
        <w:ind w:firstLine="420"/>
        <w:rPr>
          <w:sz w:val="21"/>
          <w:szCs w:val="21"/>
        </w:rPr>
      </w:pPr>
      <w:r>
        <w:rPr>
          <w:rFonts w:hint="eastAsia"/>
          <w:sz w:val="21"/>
          <w:szCs w:val="21"/>
        </w:rPr>
        <w:t xml:space="preserve">联系电话：(0755) 2219 7701 </w:t>
      </w:r>
    </w:p>
    <w:p w14:paraId="620E1C8C">
      <w:pPr>
        <w:pStyle w:val="7"/>
        <w:spacing w:before="0" w:beforeAutospacing="0" w:after="0" w:afterAutospacing="0" w:line="360" w:lineRule="auto"/>
        <w:ind w:firstLine="420"/>
        <w:rPr>
          <w:sz w:val="21"/>
          <w:szCs w:val="21"/>
        </w:rPr>
      </w:pPr>
      <w:r>
        <w:rPr>
          <w:rFonts w:hint="eastAsia"/>
          <w:sz w:val="21"/>
          <w:szCs w:val="21"/>
        </w:rPr>
        <w:t xml:space="preserve">经营范围：办理人民币存、贷、结算、汇兑业务；人民币票据承兑和贴现各项信托业务；经监管机构批准发行或买卖人民币有价证券；发行金融债券；代理发行、代理兑付、承销政府债券；买卖政府债券；外汇存款、汇款；境内境外借款；从事同业拆借；外汇借款；外汇担保；在境内境外发行或代理发行外币有价证券；买卖或代客买卖外汇及外币有价证券、自营外汇买卖；贸易、非贸易结算；办理国内结算；国际结算；外币票据的承兑和贴现；外汇贷款；资信调查、咨询、见证业务；保险兼业代理业务；代理收付款项；黄金进口业务；提供信用证服务及担保；提供保管箱服务；外币兑换；结汇、售汇；信用卡业务；经有关监管机构批准或允许的其他业务。 </w:t>
      </w:r>
    </w:p>
    <w:p w14:paraId="24131DFE">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39CD3FD">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07FAB3F6">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15B0437B">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5D3329F7">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74847482">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13F63656">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53C2A7D1">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F288502">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014CE45F">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5C2B67D">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71B9B48">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413A9C48">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0290CBE">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1A52D4D6">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6820B8D5">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1833A2DD">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655FC8C4">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14:paraId="6FB7C0D5">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14:paraId="4FE84110">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14:paraId="2B226924">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3A52B989">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2F3EDB68">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0CA095DD">
      <w:pPr>
        <w:pStyle w:val="7"/>
        <w:spacing w:before="0" w:beforeAutospacing="0" w:after="0" w:afterAutospacing="0" w:line="360" w:lineRule="auto"/>
        <w:ind w:firstLine="420"/>
        <w:rPr>
          <w:sz w:val="21"/>
          <w:szCs w:val="21"/>
        </w:rPr>
      </w:pPr>
      <w:r>
        <w:rPr>
          <w:rFonts w:hint="eastAsia"/>
          <w:sz w:val="21"/>
          <w:szCs w:val="21"/>
        </w:rPr>
        <w:t xml:space="preserve">除上述第（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0949F6AA">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F91219B">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14:paraId="060F9159">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（三）基金托管人根据有关法律法规的规定及基金合同的约定，对本托管协议第十五条第（十二）款基金投资禁止行为进行监督。基金托管人通过事后监督方式对基金管理人基金投资禁止行为进行监督。 </w:t>
      </w:r>
    </w:p>
    <w:p w14:paraId="79ED9110">
      <w:pPr>
        <w:pStyle w:val="7"/>
        <w:spacing w:before="0" w:beforeAutospacing="0" w:after="0" w:afterAutospacing="0" w:line="360" w:lineRule="auto"/>
        <w:ind w:firstLine="420"/>
        <w:rPr>
          <w:sz w:val="21"/>
          <w:szCs w:val="21"/>
        </w:rPr>
      </w:pPr>
      <w:r>
        <w:rPr>
          <w:rFonts w:hint="eastAsia"/>
          <w:sz w:val="21"/>
          <w:szCs w:val="21"/>
        </w:rPr>
        <w:t xml:space="preserve">根据法律法规有关基金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0776117E">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C167D99">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法律、行政法规或监管部门取消或变更上述规定，如适用于本基金，基金管理人在履行适当程序后，则本基金投资不再受相关限制或按变更后的规定执行。 </w:t>
      </w:r>
    </w:p>
    <w:p w14:paraId="07ED2C7C">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及时向基金托管人说明理由，协商解决。 </w:t>
      </w:r>
    </w:p>
    <w:p w14:paraId="24112E46">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基金托管人不承担由此造成的任何法律责任及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7635C910">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（五）基金托管人根据有关法律法规的规定及基金合同的约定，对基金投资中期票据进行监督。 </w:t>
      </w:r>
    </w:p>
    <w:p w14:paraId="68C242D7">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11E0C8CC">
      <w:pPr>
        <w:pStyle w:val="7"/>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0E7A5D20">
      <w:pPr>
        <w:pStyle w:val="7"/>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0B52F3C5">
      <w:pPr>
        <w:pStyle w:val="7"/>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（九）若基金托管人发现基金管理人依据交易程序已经生效的指令违反法律、行政法规和其他有关规定，或者违反基金合同约定的，应当立即通知基金管理人，由此造成的损失由基金管理人承担。 </w:t>
      </w:r>
    </w:p>
    <w:p w14:paraId="2BE7BFBE">
      <w:pPr>
        <w:pStyle w:val="7"/>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25FBC496">
      <w:pPr>
        <w:pStyle w:val="7"/>
        <w:spacing w:before="0" w:beforeAutospacing="0" w:after="0" w:afterAutospacing="0" w:line="360" w:lineRule="auto"/>
        <w:ind w:firstLine="420"/>
        <w:rPr>
          <w:sz w:val="21"/>
          <w:szCs w:val="21"/>
        </w:rPr>
      </w:pPr>
      <w:r>
        <w:rPr>
          <w:rFonts w:hint="eastAsia"/>
          <w:sz w:val="21"/>
          <w:szCs w:val="21"/>
        </w:rPr>
        <w:t xml:space="preserve">（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35C04573">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1A18C79A">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6128D5D1">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和基金份额净值、根据基金管理人指令办理清算交收、相关信息披露和监督基金投资运作等行为。 </w:t>
      </w:r>
    </w:p>
    <w:p w14:paraId="464845CE">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730D8F69">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18D671D6">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4E2769DF">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0C337EB9">
      <w:pPr>
        <w:pStyle w:val="7"/>
        <w:spacing w:before="0" w:beforeAutospacing="0" w:after="0" w:afterAutospacing="0" w:line="360" w:lineRule="auto"/>
        <w:ind w:firstLine="420"/>
        <w:rPr>
          <w:sz w:val="21"/>
          <w:szCs w:val="21"/>
        </w:rPr>
      </w:pPr>
      <w:r>
        <w:rPr>
          <w:rFonts w:hint="eastAsia"/>
          <w:sz w:val="21"/>
          <w:szCs w:val="21"/>
        </w:rPr>
        <w:t xml:space="preserve">1.  基金财产应独立于基金管理人、基金托管人的固有财产。 </w:t>
      </w:r>
    </w:p>
    <w:p w14:paraId="5AC008C9">
      <w:pPr>
        <w:pStyle w:val="7"/>
        <w:spacing w:before="0" w:beforeAutospacing="0" w:after="0" w:afterAutospacing="0" w:line="360" w:lineRule="auto"/>
        <w:ind w:firstLine="420"/>
        <w:rPr>
          <w:sz w:val="21"/>
          <w:szCs w:val="21"/>
        </w:rPr>
      </w:pPr>
      <w:r>
        <w:rPr>
          <w:rFonts w:hint="eastAsia"/>
          <w:sz w:val="21"/>
          <w:szCs w:val="21"/>
        </w:rPr>
        <w:t xml:space="preserve">2.  基金托管人应安全保管基金财产。未经基金管理人依据合法程序作出的合法合规指令，基金托管人不得自行运用、处分、分配基金的任何财产。 </w:t>
      </w:r>
    </w:p>
    <w:p w14:paraId="5BA5640F">
      <w:pPr>
        <w:pStyle w:val="7"/>
        <w:spacing w:before="0" w:beforeAutospacing="0" w:after="0" w:afterAutospacing="0" w:line="360" w:lineRule="auto"/>
        <w:ind w:firstLine="420"/>
        <w:rPr>
          <w:sz w:val="21"/>
          <w:szCs w:val="21"/>
        </w:rPr>
      </w:pPr>
      <w:r>
        <w:rPr>
          <w:rFonts w:hint="eastAsia"/>
          <w:sz w:val="21"/>
          <w:szCs w:val="21"/>
        </w:rPr>
        <w:t xml:space="preserve">3.  基金托管人按照规定开设基金财产的资金账户和证券账户等投资所需账户。 </w:t>
      </w:r>
    </w:p>
    <w:p w14:paraId="25737F45">
      <w:pPr>
        <w:pStyle w:val="7"/>
        <w:spacing w:before="0" w:beforeAutospacing="0" w:after="0" w:afterAutospacing="0" w:line="360" w:lineRule="auto"/>
        <w:ind w:firstLine="420"/>
        <w:rPr>
          <w:sz w:val="21"/>
          <w:szCs w:val="21"/>
        </w:rPr>
      </w:pPr>
      <w:r>
        <w:rPr>
          <w:rFonts w:hint="eastAsia"/>
          <w:sz w:val="21"/>
          <w:szCs w:val="21"/>
        </w:rPr>
        <w:t xml:space="preserve">4.  基金托管人对所托管的不同基金财产分别设置账户，确保基金财产的完整与独立。 </w:t>
      </w:r>
    </w:p>
    <w:p w14:paraId="1F42B727">
      <w:pPr>
        <w:pStyle w:val="7"/>
        <w:spacing w:before="0" w:beforeAutospacing="0" w:after="0" w:afterAutospacing="0" w:line="360" w:lineRule="auto"/>
        <w:ind w:firstLine="420"/>
        <w:rPr>
          <w:sz w:val="21"/>
          <w:szCs w:val="21"/>
        </w:rPr>
      </w:pPr>
      <w:r>
        <w:rPr>
          <w:rFonts w:hint="eastAsia"/>
          <w:sz w:val="21"/>
          <w:szCs w:val="21"/>
        </w:rPr>
        <w:t xml:space="preserve">5.  基金托管人根据基金管理人的指令，按照基金合同和本协议的约定保管基金财产，如有特殊情况双方可另行协商解决。 </w:t>
      </w:r>
    </w:p>
    <w:p w14:paraId="6DF237B5">
      <w:pPr>
        <w:pStyle w:val="7"/>
        <w:spacing w:before="0" w:beforeAutospacing="0" w:after="0" w:afterAutospacing="0" w:line="360" w:lineRule="auto"/>
        <w:ind w:firstLine="420"/>
        <w:rPr>
          <w:sz w:val="21"/>
          <w:szCs w:val="21"/>
        </w:rPr>
      </w:pPr>
      <w:r>
        <w:rPr>
          <w:rFonts w:hint="eastAsia"/>
          <w:sz w:val="21"/>
          <w:szCs w:val="21"/>
        </w:rPr>
        <w:t xml:space="preserve">6.  对于因为基金投资产生的应收资产，应由基金管理人负责与有关当事人确定到账日期并通知并配合基金托管人，到账日基金财产没有到达基金账户的，基金托管人应及时通知基金管理人采取措施进行催收。由此给基金财产造成损失的，基金管理人应负责向有关当事人追偿基金财产的损失，基金托管人对基金管理人的追偿行为应予以必要的协助与配合，但对基金财产的损失不承担任何责任。 </w:t>
      </w:r>
    </w:p>
    <w:p w14:paraId="3FBF7DBC">
      <w:pPr>
        <w:pStyle w:val="7"/>
        <w:spacing w:before="0" w:beforeAutospacing="0" w:after="0" w:afterAutospacing="0" w:line="360" w:lineRule="auto"/>
        <w:ind w:firstLine="420"/>
        <w:rPr>
          <w:sz w:val="21"/>
          <w:szCs w:val="21"/>
        </w:rPr>
      </w:pPr>
      <w:r>
        <w:rPr>
          <w:rFonts w:hint="eastAsia"/>
          <w:sz w:val="21"/>
          <w:szCs w:val="21"/>
        </w:rPr>
        <w:t xml:space="preserve">7.  除依据法律法规和基金合同的规定外，基金托管人不得委托第三人托管基金财产。 </w:t>
      </w:r>
    </w:p>
    <w:p w14:paraId="203490AF">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141A5956">
      <w:pPr>
        <w:pStyle w:val="7"/>
        <w:spacing w:before="0" w:beforeAutospacing="0" w:after="0" w:afterAutospacing="0" w:line="360" w:lineRule="auto"/>
        <w:ind w:firstLine="420"/>
        <w:rPr>
          <w:sz w:val="21"/>
          <w:szCs w:val="21"/>
        </w:rPr>
      </w:pPr>
      <w:r>
        <w:rPr>
          <w:rFonts w:hint="eastAsia"/>
          <w:sz w:val="21"/>
          <w:szCs w:val="21"/>
        </w:rPr>
        <w:t xml:space="preserve">1.  基金募集期间募集的资金应存于具有托管资格的营业机构开立的“基金募集专户”。该账户由基金管理人开立并管理。 </w:t>
      </w:r>
    </w:p>
    <w:p w14:paraId="0A34FF02">
      <w:pPr>
        <w:pStyle w:val="7"/>
        <w:spacing w:before="0" w:beforeAutospacing="0" w:after="0" w:afterAutospacing="0" w:line="360" w:lineRule="auto"/>
        <w:ind w:firstLine="420"/>
        <w:rPr>
          <w:sz w:val="21"/>
          <w:szCs w:val="21"/>
        </w:rPr>
      </w:pPr>
      <w:r>
        <w:rPr>
          <w:rFonts w:hint="eastAsia"/>
          <w:sz w:val="21"/>
          <w:szCs w:val="21"/>
        </w:rPr>
        <w:t xml:space="preserve">2.  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 </w:t>
      </w:r>
    </w:p>
    <w:p w14:paraId="0F994499">
      <w:pPr>
        <w:pStyle w:val="7"/>
        <w:spacing w:before="0" w:beforeAutospacing="0" w:after="0" w:afterAutospacing="0" w:line="360" w:lineRule="auto"/>
        <w:ind w:firstLine="420"/>
        <w:rPr>
          <w:sz w:val="21"/>
          <w:szCs w:val="21"/>
        </w:rPr>
      </w:pPr>
      <w:r>
        <w:rPr>
          <w:rFonts w:hint="eastAsia"/>
          <w:sz w:val="21"/>
          <w:szCs w:val="21"/>
        </w:rPr>
        <w:t xml:space="preserve">3.  若基金募集期限届满，未能达到基金备案的条件，由基金管理人按规定办理退款等事宜，基金托管人应提供充分协助。 </w:t>
      </w:r>
    </w:p>
    <w:p w14:paraId="2C9102C9">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59D73020">
      <w:pPr>
        <w:pStyle w:val="7"/>
        <w:spacing w:before="0" w:beforeAutospacing="0" w:after="0" w:afterAutospacing="0" w:line="360" w:lineRule="auto"/>
        <w:ind w:firstLine="420"/>
        <w:rPr>
          <w:sz w:val="21"/>
          <w:szCs w:val="21"/>
        </w:rPr>
      </w:pPr>
      <w:r>
        <w:rPr>
          <w:rFonts w:hint="eastAsia"/>
          <w:sz w:val="21"/>
          <w:szCs w:val="21"/>
        </w:rPr>
        <w:t xml:space="preserve">1.  基金托管人应负责本基金的银行账户的开设和管理。 </w:t>
      </w:r>
    </w:p>
    <w:p w14:paraId="4932C89D">
      <w:pPr>
        <w:pStyle w:val="7"/>
        <w:spacing w:before="0" w:beforeAutospacing="0" w:after="0" w:afterAutospacing="0" w:line="360" w:lineRule="auto"/>
        <w:ind w:firstLine="420"/>
        <w:rPr>
          <w:sz w:val="21"/>
          <w:szCs w:val="21"/>
        </w:rPr>
      </w:pPr>
      <w:r>
        <w:rPr>
          <w:rFonts w:hint="eastAsia"/>
          <w:sz w:val="21"/>
          <w:szCs w:val="21"/>
        </w:rPr>
        <w:t xml:space="preserve">2.  基金托管人根据有关规定以本基金的名义在其营业机构开立银行账户，并根据基金管理人合法合规的指令办理资金收付。基金管理人授权基金托管人办理本基金银行账户的开立、销户、变更工作，本基金银行账户无需预留印鉴，具体按基金托管人要求办理。基金银行账户的开立和使用，限于满足开展本基金业务的需要。基金托管人和基金管理人不得假借本基金的名义开立任何其他银行账户；亦不得使用基金的任何账户进行本基金业务以外的活动。 </w:t>
      </w:r>
    </w:p>
    <w:p w14:paraId="1378577F">
      <w:pPr>
        <w:pStyle w:val="7"/>
        <w:spacing w:before="0" w:beforeAutospacing="0" w:after="0" w:afterAutospacing="0" w:line="360" w:lineRule="auto"/>
        <w:ind w:firstLine="420"/>
        <w:rPr>
          <w:sz w:val="21"/>
          <w:szCs w:val="21"/>
        </w:rPr>
      </w:pPr>
      <w:r>
        <w:rPr>
          <w:rFonts w:hint="eastAsia"/>
          <w:sz w:val="21"/>
          <w:szCs w:val="21"/>
        </w:rPr>
        <w:t xml:space="preserve">3.  基金银行账户的开立和管理应符合银行业监督管理机构的有关规定。 </w:t>
      </w:r>
    </w:p>
    <w:p w14:paraId="1B97326C">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4D7F54C3">
      <w:pPr>
        <w:pStyle w:val="7"/>
        <w:spacing w:before="0" w:beforeAutospacing="0" w:after="0" w:afterAutospacing="0" w:line="360" w:lineRule="auto"/>
        <w:ind w:firstLine="420"/>
        <w:rPr>
          <w:sz w:val="21"/>
          <w:szCs w:val="21"/>
        </w:rPr>
      </w:pPr>
      <w:r>
        <w:rPr>
          <w:rFonts w:hint="eastAsia"/>
          <w:sz w:val="21"/>
          <w:szCs w:val="21"/>
        </w:rPr>
        <w:t xml:space="preserve">1.  基金托管人在中国证券登记结算有限责任公司上海分公司、深圳分公司为基金开立基金托管人与本基金联名的证券账户。 </w:t>
      </w:r>
    </w:p>
    <w:p w14:paraId="63955622">
      <w:pPr>
        <w:pStyle w:val="7"/>
        <w:spacing w:before="0" w:beforeAutospacing="0" w:after="0" w:afterAutospacing="0" w:line="360" w:lineRule="auto"/>
        <w:ind w:firstLine="420"/>
        <w:rPr>
          <w:sz w:val="21"/>
          <w:szCs w:val="21"/>
        </w:rPr>
      </w:pPr>
      <w:r>
        <w:rPr>
          <w:rFonts w:hint="eastAsia"/>
          <w:sz w:val="21"/>
          <w:szCs w:val="21"/>
        </w:rPr>
        <w:t xml:space="preserve">2.  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2FE27527">
      <w:pPr>
        <w:pStyle w:val="7"/>
        <w:spacing w:before="0" w:beforeAutospacing="0" w:after="0" w:afterAutospacing="0" w:line="360" w:lineRule="auto"/>
        <w:ind w:firstLine="420"/>
        <w:rPr>
          <w:sz w:val="21"/>
          <w:szCs w:val="21"/>
        </w:rPr>
      </w:pPr>
      <w:r>
        <w:rPr>
          <w:rFonts w:hint="eastAsia"/>
          <w:sz w:val="21"/>
          <w:szCs w:val="21"/>
        </w:rPr>
        <w:t xml:space="preserve">3.  基金证券账户的开立和证券账户卡的保管由基金托管人负责，账户资产的管理和运用由基金管理人负责。 </w:t>
      </w:r>
    </w:p>
    <w:p w14:paraId="7636527C">
      <w:pPr>
        <w:pStyle w:val="7"/>
        <w:spacing w:before="0" w:beforeAutospacing="0" w:after="0" w:afterAutospacing="0" w:line="360" w:lineRule="auto"/>
        <w:ind w:firstLine="420"/>
        <w:rPr>
          <w:sz w:val="21"/>
          <w:szCs w:val="21"/>
        </w:rPr>
      </w:pPr>
      <w:r>
        <w:rPr>
          <w:rFonts w:hint="eastAsia"/>
          <w:sz w:val="21"/>
          <w:szCs w:val="21"/>
        </w:rPr>
        <w:t xml:space="preserve">4.  基金托管人以自身法人名义在中国证券登记结算有限责任公司开立结算备付金账户，并代表所托管的基金完成与中国证券登记结算有限责任公司的一级法人清算工作，基金管理人应予以积极协助。结算备付金等的收取按照中国证券登记结算有限责任公司的规定执行。 </w:t>
      </w:r>
    </w:p>
    <w:p w14:paraId="4B118D97">
      <w:pPr>
        <w:pStyle w:val="7"/>
        <w:spacing w:before="0" w:beforeAutospacing="0" w:after="0" w:afterAutospacing="0" w:line="360" w:lineRule="auto"/>
        <w:ind w:firstLine="420"/>
        <w:rPr>
          <w:sz w:val="21"/>
          <w:szCs w:val="21"/>
        </w:rPr>
      </w:pPr>
      <w:r>
        <w:rPr>
          <w:rFonts w:hint="eastAsia"/>
          <w:sz w:val="21"/>
          <w:szCs w:val="21"/>
        </w:rPr>
        <w:t xml:space="preserve">5.  若中国证监会或其他监管机构在本托管协议订立日之后允许基金从事其他投资品种的投资业务，涉及相关账户的开立、使用的，若无相关规定，则基金托管人比照上述关于账户开立、使用的规定执行。 </w:t>
      </w:r>
    </w:p>
    <w:p w14:paraId="2C7A5424">
      <w:pPr>
        <w:pStyle w:val="7"/>
        <w:spacing w:before="0" w:beforeAutospacing="0" w:after="0" w:afterAutospacing="0" w:line="360" w:lineRule="auto"/>
        <w:ind w:firstLine="420"/>
        <w:rPr>
          <w:sz w:val="21"/>
          <w:szCs w:val="21"/>
        </w:rPr>
      </w:pPr>
      <w:r>
        <w:rPr>
          <w:rFonts w:hint="eastAsia"/>
          <w:sz w:val="21"/>
          <w:szCs w:val="21"/>
        </w:rPr>
        <w:t xml:space="preserve">（五）债券托管专户的开设和管理 </w:t>
      </w:r>
    </w:p>
    <w:p w14:paraId="2082A76B">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清算所股份有限公司根据有关规定以本基金的名义为基金开立债券托管账户，并代表本基金进行银行间市场债券的结算。基金管理人和基金托管人共同代表本基金签订全国银行间债券市场债券回购主协议。 </w:t>
      </w:r>
    </w:p>
    <w:p w14:paraId="789BF3BA">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006EFD42">
      <w:pPr>
        <w:pStyle w:val="7"/>
        <w:spacing w:before="0" w:beforeAutospacing="0" w:after="0" w:afterAutospacing="0" w:line="360" w:lineRule="auto"/>
        <w:ind w:firstLine="420"/>
        <w:rPr>
          <w:sz w:val="21"/>
          <w:szCs w:val="21"/>
        </w:rPr>
      </w:pPr>
      <w:r>
        <w:rPr>
          <w:rFonts w:hint="eastAsia"/>
          <w:sz w:val="21"/>
          <w:szCs w:val="21"/>
        </w:rPr>
        <w:t xml:space="preserve">1.  因业务发展需要而开立的其他账户，可以根据法律法规和基金合同的规定开立，在基金管理人和基金托管人商议后由基金托管人负责开立。新账户按有关规定使用并管理。 </w:t>
      </w:r>
    </w:p>
    <w:p w14:paraId="47AD3E06">
      <w:pPr>
        <w:pStyle w:val="7"/>
        <w:spacing w:before="0" w:beforeAutospacing="0" w:after="0" w:afterAutospacing="0" w:line="360" w:lineRule="auto"/>
        <w:ind w:firstLine="420"/>
        <w:rPr>
          <w:sz w:val="21"/>
          <w:szCs w:val="21"/>
        </w:rPr>
      </w:pPr>
      <w:r>
        <w:rPr>
          <w:rFonts w:hint="eastAsia"/>
          <w:sz w:val="21"/>
          <w:szCs w:val="21"/>
        </w:rPr>
        <w:t xml:space="preserve">2.  法律法规等有关规定对相关账户的开立和管理另有规定的，从其规定办理。 </w:t>
      </w:r>
    </w:p>
    <w:p w14:paraId="43CF6A5E">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41CB447D">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银行间市场清算所股份有限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 </w:t>
      </w:r>
    </w:p>
    <w:p w14:paraId="06F82506">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50F00287">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 </w:t>
      </w:r>
    </w:p>
    <w:p w14:paraId="1AFB191B">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 </w:t>
      </w:r>
    </w:p>
    <w:p w14:paraId="035BCB55">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4255EB37">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44C7EF8E">
      <w:pPr>
        <w:pStyle w:val="7"/>
        <w:spacing w:before="0" w:beforeAutospacing="0" w:after="0" w:afterAutospacing="0" w:line="360" w:lineRule="auto"/>
        <w:ind w:firstLine="420"/>
        <w:rPr>
          <w:sz w:val="21"/>
          <w:szCs w:val="21"/>
        </w:rPr>
      </w:pPr>
      <w:r>
        <w:rPr>
          <w:rFonts w:hint="eastAsia"/>
          <w:sz w:val="21"/>
          <w:szCs w:val="21"/>
        </w:rPr>
        <w:t xml:space="preserve">1.  基金资产净值 </w:t>
      </w:r>
    </w:p>
    <w:p w14:paraId="2439F973">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14:paraId="18BFB740">
      <w:pPr>
        <w:pStyle w:val="7"/>
        <w:spacing w:before="0" w:beforeAutospacing="0" w:after="0" w:afterAutospacing="0" w:line="360" w:lineRule="auto"/>
        <w:ind w:firstLine="420"/>
        <w:rPr>
          <w:sz w:val="21"/>
          <w:szCs w:val="21"/>
        </w:rPr>
      </w:pPr>
      <w:r>
        <w:rPr>
          <w:rFonts w:hint="eastAsia"/>
          <w:sz w:val="21"/>
          <w:szCs w:val="21"/>
        </w:rPr>
        <w:t xml:space="preserve">基金份额净值是指基金资产净值除以计算日基金份额总数，基金份额净值的计算，精确到0.0001元，小数点后第5位四舍五入，国家另有规定的，从其规定。 </w:t>
      </w:r>
    </w:p>
    <w:p w14:paraId="2F42AD69">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基金管理人每个工作日计算基金资产净值及基金份额的基金份额净值，经基金托管人复核，按规定公告。 </w:t>
      </w:r>
    </w:p>
    <w:p w14:paraId="62B88AB4">
      <w:pPr>
        <w:pStyle w:val="7"/>
        <w:spacing w:before="0" w:beforeAutospacing="0" w:after="0" w:afterAutospacing="0" w:line="360" w:lineRule="auto"/>
        <w:ind w:firstLine="420"/>
        <w:rPr>
          <w:sz w:val="21"/>
          <w:szCs w:val="21"/>
        </w:rPr>
      </w:pPr>
      <w:r>
        <w:rPr>
          <w:rFonts w:hint="eastAsia"/>
          <w:sz w:val="21"/>
          <w:szCs w:val="21"/>
        </w:rPr>
        <w:t xml:space="preserve">2.  复核程序 </w:t>
      </w:r>
    </w:p>
    <w:p w14:paraId="2A84BF11">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但基金管理人根据法律法规或基金合同的规定暂停估值时除外。将基金份额的基金份额净值结果以双方约定的方式提交给基金托管人，经基金托管人复核无误后，以约定的方式将复核结果提交给基金管理人，由基金管理人依据基金合同和有关法律法规对外公布。 </w:t>
      </w:r>
    </w:p>
    <w:p w14:paraId="36445AB7">
      <w:pPr>
        <w:pStyle w:val="7"/>
        <w:spacing w:before="0" w:beforeAutospacing="0" w:after="0" w:afterAutospacing="0" w:line="360" w:lineRule="auto"/>
        <w:ind w:firstLine="420"/>
        <w:rPr>
          <w:sz w:val="21"/>
          <w:szCs w:val="21"/>
        </w:rPr>
      </w:pPr>
      <w:r>
        <w:rPr>
          <w:rFonts w:hint="eastAsia"/>
          <w:sz w:val="21"/>
          <w:szCs w:val="21"/>
        </w:rPr>
        <w:t xml:space="preserve">3.  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 </w:t>
      </w:r>
    </w:p>
    <w:p w14:paraId="198EE457">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28637FBA">
      <w:pPr>
        <w:pStyle w:val="7"/>
        <w:spacing w:before="0" w:beforeAutospacing="0" w:after="0" w:afterAutospacing="0" w:line="360" w:lineRule="auto"/>
        <w:ind w:firstLine="420"/>
        <w:rPr>
          <w:sz w:val="21"/>
          <w:szCs w:val="21"/>
        </w:rPr>
      </w:pPr>
      <w:r>
        <w:rPr>
          <w:rFonts w:hint="eastAsia"/>
          <w:sz w:val="21"/>
          <w:szCs w:val="21"/>
        </w:rPr>
        <w:t xml:space="preserve">1.  估值对象 </w:t>
      </w:r>
    </w:p>
    <w:p w14:paraId="2342082B">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4FB3AD58">
      <w:pPr>
        <w:pStyle w:val="7"/>
        <w:spacing w:before="0" w:beforeAutospacing="0" w:after="0" w:afterAutospacing="0" w:line="360" w:lineRule="auto"/>
        <w:ind w:firstLine="420"/>
        <w:rPr>
          <w:sz w:val="21"/>
          <w:szCs w:val="21"/>
        </w:rPr>
      </w:pPr>
      <w:r>
        <w:rPr>
          <w:rFonts w:hint="eastAsia"/>
          <w:sz w:val="21"/>
          <w:szCs w:val="21"/>
        </w:rPr>
        <w:t xml:space="preserve">2.  估值方法 </w:t>
      </w:r>
    </w:p>
    <w:p w14:paraId="015E1CBD">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E2E6958">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0F74E5A">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14:paraId="58A83C2C">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10206800">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6ADE0547">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381C6AC">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0142A87C">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5B338AA2">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412ADFE6">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0C63F2D6">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BDA925B">
      <w:pPr>
        <w:pStyle w:val="7"/>
        <w:spacing w:before="0" w:beforeAutospacing="0" w:after="0" w:afterAutospacing="0" w:line="360" w:lineRule="auto"/>
        <w:ind w:firstLine="420"/>
        <w:rPr>
          <w:sz w:val="21"/>
          <w:szCs w:val="21"/>
        </w:rPr>
      </w:pPr>
      <w:r>
        <w:rPr>
          <w:rFonts w:hint="eastAsia"/>
          <w:sz w:val="21"/>
          <w:szCs w:val="21"/>
        </w:rPr>
        <w:t xml:space="preserve">3.  特殊情形的处理 </w:t>
      </w:r>
    </w:p>
    <w:p w14:paraId="63A1EBDC">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基金管理人、基金托管人按估值方法的第（6）项进行估值时，所造成的误差不作为基金资产估值错误处理。 </w:t>
      </w:r>
    </w:p>
    <w:p w14:paraId="42BA70E2">
      <w:pPr>
        <w:pStyle w:val="7"/>
        <w:spacing w:before="0" w:beforeAutospacing="0" w:after="0" w:afterAutospacing="0" w:line="360" w:lineRule="auto"/>
        <w:ind w:firstLine="420"/>
        <w:rPr>
          <w:sz w:val="21"/>
          <w:szCs w:val="21"/>
        </w:rPr>
      </w:pPr>
      <w:r>
        <w:rPr>
          <w:rFonts w:hint="eastAsia"/>
          <w:sz w:val="21"/>
          <w:szCs w:val="21"/>
        </w:rPr>
        <w:t xml:space="preserve">由于证券交易场所及其登记结算公司发送的数据错误，或由于其他不可抗力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71DBF41E">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174EAF70">
      <w:pPr>
        <w:pStyle w:val="7"/>
        <w:spacing w:before="0" w:beforeAutospacing="0" w:after="0" w:afterAutospacing="0" w:line="360" w:lineRule="auto"/>
        <w:ind w:firstLine="420"/>
        <w:rPr>
          <w:sz w:val="21"/>
          <w:szCs w:val="21"/>
        </w:rPr>
      </w:pPr>
      <w:r>
        <w:rPr>
          <w:rFonts w:hint="eastAsia"/>
          <w:sz w:val="21"/>
          <w:szCs w:val="21"/>
        </w:rPr>
        <w:t xml:space="preserve">1.  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 </w:t>
      </w:r>
    </w:p>
    <w:p w14:paraId="6E813E06">
      <w:pPr>
        <w:pStyle w:val="7"/>
        <w:spacing w:before="0" w:beforeAutospacing="0" w:after="0" w:afterAutospacing="0" w:line="360" w:lineRule="auto"/>
        <w:ind w:firstLine="420"/>
        <w:rPr>
          <w:sz w:val="21"/>
          <w:szCs w:val="21"/>
        </w:rPr>
      </w:pPr>
      <w:r>
        <w:rPr>
          <w:rFonts w:hint="eastAsia"/>
          <w:sz w:val="21"/>
          <w:szCs w:val="21"/>
        </w:rPr>
        <w:t xml:space="preserve">2.  当基金份额净值计算差错给基金和基金份额持有人造成损失需要进行赔偿时，基金管理人和基金托管人应根据实际情况界定双方承担的责任，经确认后按以下条款进行赔偿： </w:t>
      </w:r>
    </w:p>
    <w:p w14:paraId="4CCB122F">
      <w:pPr>
        <w:pStyle w:val="7"/>
        <w:spacing w:before="0" w:beforeAutospacing="0" w:after="0" w:afterAutospacing="0" w:line="360" w:lineRule="auto"/>
        <w:ind w:firstLine="420"/>
        <w:rPr>
          <w:sz w:val="21"/>
          <w:szCs w:val="21"/>
        </w:rPr>
      </w:pPr>
      <w:r>
        <w:rPr>
          <w:rFonts w:hint="eastAsia"/>
          <w:sz w:val="21"/>
          <w:szCs w:val="21"/>
        </w:rPr>
        <w:t xml:space="preserve">A.  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6C037BF8">
      <w:pPr>
        <w:pStyle w:val="7"/>
        <w:spacing w:before="0" w:beforeAutospacing="0" w:after="0" w:afterAutospacing="0" w:line="360" w:lineRule="auto"/>
        <w:ind w:firstLine="420"/>
        <w:rPr>
          <w:sz w:val="21"/>
          <w:szCs w:val="21"/>
        </w:rPr>
      </w:pPr>
      <w:r>
        <w:rPr>
          <w:rFonts w:hint="eastAsia"/>
          <w:sz w:val="21"/>
          <w:szCs w:val="21"/>
        </w:rPr>
        <w:t xml:space="preserve">B.  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 </w:t>
      </w:r>
    </w:p>
    <w:p w14:paraId="0AEC687D">
      <w:pPr>
        <w:pStyle w:val="7"/>
        <w:spacing w:before="0" w:beforeAutospacing="0" w:after="0" w:afterAutospacing="0" w:line="360" w:lineRule="auto"/>
        <w:ind w:firstLine="420"/>
        <w:rPr>
          <w:sz w:val="21"/>
          <w:szCs w:val="21"/>
        </w:rPr>
      </w:pPr>
      <w:r>
        <w:rPr>
          <w:rFonts w:hint="eastAsia"/>
          <w:sz w:val="21"/>
          <w:szCs w:val="21"/>
        </w:rPr>
        <w:t xml:space="preserve">C.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7BAF3C61">
      <w:pPr>
        <w:pStyle w:val="7"/>
        <w:spacing w:before="0" w:beforeAutospacing="0" w:after="0" w:afterAutospacing="0" w:line="360" w:lineRule="auto"/>
        <w:ind w:firstLine="420"/>
        <w:rPr>
          <w:sz w:val="21"/>
          <w:szCs w:val="21"/>
        </w:rPr>
      </w:pPr>
      <w:r>
        <w:rPr>
          <w:rFonts w:hint="eastAsia"/>
          <w:sz w:val="21"/>
          <w:szCs w:val="21"/>
        </w:rPr>
        <w:t xml:space="preserve">D.  由于基金管理人提供的信息错误（包括但不限于基金申购或赎回金额等），进而导致基金份额净值计算错误而引起的基金份额持有人和基金财产的损失，由基金管理人负责赔付。 </w:t>
      </w:r>
    </w:p>
    <w:p w14:paraId="76A740F8">
      <w:pPr>
        <w:pStyle w:val="7"/>
        <w:spacing w:before="0" w:beforeAutospacing="0" w:after="0" w:afterAutospacing="0" w:line="360" w:lineRule="auto"/>
        <w:ind w:firstLine="420"/>
        <w:rPr>
          <w:sz w:val="21"/>
          <w:szCs w:val="21"/>
        </w:rPr>
      </w:pPr>
      <w:r>
        <w:rPr>
          <w:rFonts w:hint="eastAsia"/>
          <w:sz w:val="21"/>
          <w:szCs w:val="21"/>
        </w:rPr>
        <w:t xml:space="preserve">3.  基金管理人和基金托管人由于各自技术系统设置而产生的净值计算尾差，以基金管理人计算结果为准。 </w:t>
      </w:r>
    </w:p>
    <w:p w14:paraId="18FF2C6A">
      <w:pPr>
        <w:pStyle w:val="7"/>
        <w:spacing w:before="0" w:beforeAutospacing="0" w:after="0" w:afterAutospacing="0" w:line="360" w:lineRule="auto"/>
        <w:ind w:firstLine="420"/>
        <w:rPr>
          <w:sz w:val="21"/>
          <w:szCs w:val="21"/>
        </w:rPr>
      </w:pPr>
      <w:r>
        <w:rPr>
          <w:rFonts w:hint="eastAsia"/>
          <w:sz w:val="21"/>
          <w:szCs w:val="21"/>
        </w:rPr>
        <w:t xml:space="preserve">4.  前述内容如法律法规或者监管部门另有规定的，从其规定处理。如果行业另有通行做法，双方当事人应本着平等和保护基金份额持有人利益的原则进行协商。 </w:t>
      </w:r>
    </w:p>
    <w:p w14:paraId="1CDAC2A6">
      <w:pPr>
        <w:pStyle w:val="7"/>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12EE1CD0">
      <w:pPr>
        <w:pStyle w:val="7"/>
        <w:spacing w:before="0" w:beforeAutospacing="0" w:after="0" w:afterAutospacing="0" w:line="360" w:lineRule="auto"/>
        <w:ind w:firstLine="420"/>
        <w:rPr>
          <w:sz w:val="21"/>
          <w:szCs w:val="21"/>
        </w:rPr>
      </w:pPr>
      <w:r>
        <w:rPr>
          <w:rFonts w:hint="eastAsia"/>
          <w:sz w:val="21"/>
          <w:szCs w:val="21"/>
        </w:rPr>
        <w:t xml:space="preserve">1.  基金投资所涉及的证券交易所遇法定节假日或因其他原因暂停营业时； </w:t>
      </w:r>
    </w:p>
    <w:p w14:paraId="5723CF70">
      <w:pPr>
        <w:pStyle w:val="7"/>
        <w:spacing w:before="0" w:beforeAutospacing="0" w:after="0" w:afterAutospacing="0" w:line="360" w:lineRule="auto"/>
        <w:ind w:firstLine="420"/>
        <w:rPr>
          <w:sz w:val="21"/>
          <w:szCs w:val="21"/>
        </w:rPr>
      </w:pPr>
      <w:r>
        <w:rPr>
          <w:rFonts w:hint="eastAsia"/>
          <w:sz w:val="21"/>
          <w:szCs w:val="21"/>
        </w:rPr>
        <w:t xml:space="preserve">2.  因不可抗力或其他情形致使基金管理人、基金托管人无法准确评估基金资产价值时； </w:t>
      </w:r>
    </w:p>
    <w:p w14:paraId="1D74BAD9">
      <w:pPr>
        <w:pStyle w:val="7"/>
        <w:spacing w:before="0" w:beforeAutospacing="0" w:after="0" w:afterAutospacing="0" w:line="360" w:lineRule="auto"/>
        <w:ind w:firstLine="420"/>
        <w:rPr>
          <w:sz w:val="21"/>
          <w:szCs w:val="21"/>
        </w:rPr>
      </w:pPr>
      <w:r>
        <w:rPr>
          <w:rFonts w:hint="eastAsia"/>
          <w:sz w:val="21"/>
          <w:szCs w:val="21"/>
        </w:rPr>
        <w:t xml:space="preserve">3.  占基金相当比例的投资品种的估值出现重大转变，基金管理人为保障投资人的利益，决定延迟估值； </w:t>
      </w:r>
    </w:p>
    <w:p w14:paraId="143613D1">
      <w:pPr>
        <w:pStyle w:val="7"/>
        <w:spacing w:before="0" w:beforeAutospacing="0" w:after="0" w:afterAutospacing="0" w:line="360" w:lineRule="auto"/>
        <w:ind w:firstLine="420"/>
        <w:rPr>
          <w:sz w:val="21"/>
          <w:szCs w:val="21"/>
        </w:rPr>
      </w:pPr>
      <w:r>
        <w:rPr>
          <w:rFonts w:hint="eastAsia"/>
          <w:sz w:val="21"/>
          <w:szCs w:val="21"/>
        </w:rPr>
        <w:t xml:space="preserve">4.  当前一估值日基金资产净值50%以上的资产出现无可参考的活跃市场价格且采用估值技术仍导致公允价值存在重大不确定性时，经与基金托管人协商一致的，应当暂停估值； </w:t>
      </w:r>
    </w:p>
    <w:p w14:paraId="6321BEC8">
      <w:pPr>
        <w:pStyle w:val="7"/>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5.法律法规规定、中国证监会和基金合同认定的其他情形。 </w:t>
      </w:r>
    </w:p>
    <w:p w14:paraId="11DA6990">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132391FA">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15DFF93D">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02217D35">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 </w:t>
      </w:r>
    </w:p>
    <w:p w14:paraId="7D6E3B51">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57E84809">
      <w:pPr>
        <w:pStyle w:val="7"/>
        <w:spacing w:before="0" w:beforeAutospacing="0" w:after="0" w:afterAutospacing="0" w:line="360" w:lineRule="auto"/>
        <w:ind w:firstLine="420"/>
        <w:rPr>
          <w:sz w:val="21"/>
          <w:szCs w:val="21"/>
        </w:rPr>
      </w:pPr>
      <w:r>
        <w:rPr>
          <w:rFonts w:hint="eastAsia"/>
          <w:sz w:val="21"/>
          <w:szCs w:val="21"/>
        </w:rPr>
        <w:t xml:space="preserve">1.  财务报表的编制 </w:t>
      </w:r>
    </w:p>
    <w:p w14:paraId="70404FD3">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31530B3F">
      <w:pPr>
        <w:pStyle w:val="7"/>
        <w:spacing w:before="0" w:beforeAutospacing="0" w:after="0" w:afterAutospacing="0" w:line="360" w:lineRule="auto"/>
        <w:ind w:firstLine="420"/>
        <w:rPr>
          <w:sz w:val="21"/>
          <w:szCs w:val="21"/>
        </w:rPr>
      </w:pPr>
      <w:r>
        <w:rPr>
          <w:rFonts w:hint="eastAsia"/>
          <w:sz w:val="21"/>
          <w:szCs w:val="21"/>
        </w:rPr>
        <w:t xml:space="preserve">2.  报表复核 </w:t>
      </w:r>
    </w:p>
    <w:p w14:paraId="4BD58573">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2BEDF472">
      <w:pPr>
        <w:pStyle w:val="7"/>
        <w:spacing w:before="0" w:beforeAutospacing="0" w:after="0" w:afterAutospacing="0" w:line="360" w:lineRule="auto"/>
        <w:ind w:firstLine="420"/>
        <w:rPr>
          <w:sz w:val="21"/>
          <w:szCs w:val="21"/>
        </w:rPr>
      </w:pPr>
      <w:r>
        <w:rPr>
          <w:rFonts w:hint="eastAsia"/>
          <w:sz w:val="21"/>
          <w:szCs w:val="21"/>
        </w:rPr>
        <w:t xml:space="preserve">3.  财务报表的编制与复核时间安排 </w:t>
      </w:r>
    </w:p>
    <w:p w14:paraId="6EC911E6">
      <w:pPr>
        <w:pStyle w:val="7"/>
        <w:spacing w:before="0" w:beforeAutospacing="0" w:after="0" w:afterAutospacing="0" w:line="360" w:lineRule="auto"/>
        <w:ind w:firstLine="420"/>
        <w:rPr>
          <w:sz w:val="21"/>
          <w:szCs w:val="21"/>
        </w:rPr>
      </w:pPr>
      <w:r>
        <w:rPr>
          <w:rFonts w:hint="eastAsia"/>
          <w:sz w:val="21"/>
          <w:szCs w:val="21"/>
        </w:rPr>
        <w:t xml:space="preserve">1)  报表的编制 </w:t>
      </w:r>
    </w:p>
    <w:p w14:paraId="1CD3D262">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2个月内完成基金中期报告的编制；在每年结束之日起3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14:paraId="7EE35C81">
      <w:pPr>
        <w:pStyle w:val="7"/>
        <w:spacing w:before="0" w:beforeAutospacing="0" w:after="0" w:afterAutospacing="0" w:line="360" w:lineRule="auto"/>
        <w:ind w:firstLine="420"/>
        <w:rPr>
          <w:sz w:val="21"/>
          <w:szCs w:val="21"/>
        </w:rPr>
      </w:pPr>
      <w:r>
        <w:rPr>
          <w:rFonts w:hint="eastAsia"/>
          <w:sz w:val="21"/>
          <w:szCs w:val="21"/>
        </w:rPr>
        <w:t xml:space="preserve">2)  报表的复核 </w:t>
      </w:r>
    </w:p>
    <w:p w14:paraId="4672C6FA">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05C92DA">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7D3A4622">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350378F0">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20年。如不能妥善保管，则按相关法规承担责任，法律法规或监管机关另有规定除外。 </w:t>
      </w:r>
    </w:p>
    <w:p w14:paraId="410C1114">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2C48DA4A">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582E4F97">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华南国际经济贸易仲裁委员会，仲裁地点为深圳市，按照华南国际经济贸易仲裁委员会届时有效的仲裁规则进行仲裁。仲裁裁决是终局的，对当事人均有约束力，仲裁费用、律师费用由败诉方承担。 </w:t>
      </w:r>
    </w:p>
    <w:p w14:paraId="654594A8">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018BCF78">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6E75AA2B">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526DE551">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61FF487E">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3A5DDE26">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25C9838A">
      <w:pPr>
        <w:pStyle w:val="7"/>
        <w:spacing w:before="0" w:beforeAutospacing="0" w:after="0" w:afterAutospacing="0" w:line="360" w:lineRule="auto"/>
        <w:ind w:firstLine="420"/>
        <w:rPr>
          <w:sz w:val="21"/>
          <w:szCs w:val="21"/>
        </w:rPr>
      </w:pPr>
      <w:r>
        <w:rPr>
          <w:rFonts w:hint="eastAsia"/>
          <w:sz w:val="21"/>
          <w:szCs w:val="21"/>
        </w:rPr>
        <w:t xml:space="preserve">1.  基金合同终止； </w:t>
      </w:r>
    </w:p>
    <w:p w14:paraId="4928FD54">
      <w:pPr>
        <w:pStyle w:val="7"/>
        <w:spacing w:before="0" w:beforeAutospacing="0" w:after="0" w:afterAutospacing="0" w:line="360" w:lineRule="auto"/>
        <w:ind w:firstLine="420"/>
        <w:rPr>
          <w:sz w:val="21"/>
          <w:szCs w:val="21"/>
        </w:rPr>
      </w:pPr>
      <w:r>
        <w:rPr>
          <w:rFonts w:hint="eastAsia"/>
          <w:sz w:val="21"/>
          <w:szCs w:val="21"/>
        </w:rPr>
        <w:t xml:space="preserve">2.  基金托管人解散、依法被撤销、破产或由其他基金托管人接管基金资产； </w:t>
      </w:r>
    </w:p>
    <w:p w14:paraId="33580767">
      <w:pPr>
        <w:pStyle w:val="7"/>
        <w:spacing w:before="0" w:beforeAutospacing="0" w:after="0" w:afterAutospacing="0" w:line="360" w:lineRule="auto"/>
        <w:ind w:firstLine="420"/>
        <w:rPr>
          <w:sz w:val="21"/>
          <w:szCs w:val="21"/>
        </w:rPr>
      </w:pPr>
      <w:r>
        <w:rPr>
          <w:rFonts w:hint="eastAsia"/>
          <w:sz w:val="21"/>
          <w:szCs w:val="21"/>
        </w:rPr>
        <w:t xml:space="preserve">3.  基金管理人解散、依法被撤销、破产或由其他基金管理人接管基金管理权； </w:t>
      </w:r>
    </w:p>
    <w:p w14:paraId="0AF191DB">
      <w:pPr>
        <w:pStyle w:val="7"/>
        <w:spacing w:before="0" w:beforeAutospacing="0" w:after="0" w:afterAutospacing="0" w:line="360" w:lineRule="auto"/>
        <w:ind w:firstLine="420"/>
        <w:rPr>
          <w:sz w:val="21"/>
          <w:szCs w:val="21"/>
        </w:rPr>
      </w:pPr>
      <w:bookmarkStart w:id="209" w:name="chapter_level1_23_72_section_1_end"/>
      <w:bookmarkEnd w:id="209"/>
      <w:r>
        <w:rPr>
          <w:rFonts w:hint="eastAsia"/>
          <w:sz w:val="21"/>
          <w:szCs w:val="21"/>
        </w:rPr>
        <w:t xml:space="preserve">4.  发生法律法规或基金合同规定的终止事项。 </w:t>
      </w:r>
    </w:p>
    <w:p w14:paraId="534F49DA">
      <w:pPr>
        <w:widowControl/>
        <w:jc w:val="left"/>
        <w:rPr>
          <w:rFonts w:ascii="宋体" w:hAnsi="宋体" w:eastAsia="宋体"/>
        </w:rPr>
      </w:pPr>
      <w:r>
        <w:rPr>
          <w:rFonts w:ascii="宋体" w:hAnsi="宋体" w:eastAsia="宋体"/>
        </w:rPr>
        <w:br w:type="page"/>
      </w:r>
    </w:p>
    <w:p w14:paraId="5509D360">
      <w:pPr>
        <w:pStyle w:val="2"/>
        <w:jc w:val="center"/>
        <w:rPr>
          <w:rFonts w:ascii="宋体" w:hAnsi="宋体" w:eastAsia="宋体"/>
          <w:sz w:val="30"/>
        </w:rPr>
      </w:pPr>
      <w:bookmarkStart w:id="210" w:name="_Toc207943831"/>
      <w:bookmarkStart w:id="211" w:name="chapter_level1_24_75"/>
      <w:r>
        <w:rPr>
          <w:rFonts w:hint="eastAsia" w:ascii="宋体" w:hAnsi="宋体" w:eastAsia="宋体"/>
          <w:sz w:val="30"/>
        </w:rPr>
        <w:t>第二十一部分  对基金份额持有人的服务</w:t>
      </w:r>
      <w:bookmarkEnd w:id="210"/>
      <w:bookmarkEnd w:id="211"/>
    </w:p>
    <w:p w14:paraId="2A5A78FC">
      <w:pPr>
        <w:pStyle w:val="7"/>
        <w:spacing w:before="0" w:beforeAutospacing="0" w:after="0" w:afterAutospacing="0" w:line="360" w:lineRule="auto"/>
        <w:ind w:firstLine="420"/>
        <w:rPr>
          <w:sz w:val="21"/>
          <w:szCs w:val="21"/>
        </w:rPr>
      </w:pPr>
      <w:bookmarkStart w:id="212" w:name="chapter_level1_24_75_section_1"/>
      <w:bookmarkEnd w:id="21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4605C464">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40F71EE5">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5FE5D86E">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807E303">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185E769D">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E80F3DF">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08C5F2D5">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947335A">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483D5CB7">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5C5C5C3B">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6186B091">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EB51892">
      <w:pPr>
        <w:pStyle w:val="7"/>
        <w:spacing w:before="0" w:beforeAutospacing="0" w:after="0" w:afterAutospacing="0" w:line="360" w:lineRule="auto"/>
        <w:ind w:firstLine="420"/>
        <w:rPr>
          <w:sz w:val="21"/>
          <w:szCs w:val="21"/>
        </w:rPr>
      </w:pPr>
      <w:r>
        <w:rPr>
          <w:rFonts w:hint="eastAsia"/>
          <w:sz w:val="21"/>
          <w:szCs w:val="21"/>
        </w:rPr>
        <w:t xml:space="preserve">2、查询服务 </w:t>
      </w:r>
    </w:p>
    <w:p w14:paraId="12E5CF05">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7C28B98">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161BFEEE">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787EEB86">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C8FDEA4">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3FB4F39">
      <w:pPr>
        <w:pStyle w:val="7"/>
        <w:spacing w:before="0" w:beforeAutospacing="0" w:after="0" w:afterAutospacing="0" w:line="360" w:lineRule="auto"/>
        <w:ind w:firstLine="420"/>
        <w:rPr>
          <w:sz w:val="21"/>
          <w:szCs w:val="21"/>
        </w:rPr>
      </w:pPr>
      <w:r>
        <w:rPr>
          <w:rStyle w:val="11"/>
          <w:rFonts w:hint="eastAsia"/>
          <w:sz w:val="21"/>
          <w:szCs w:val="21"/>
        </w:rPr>
        <w:t>三、短信服务</w:t>
      </w:r>
    </w:p>
    <w:p w14:paraId="41F0BC0F">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6096FA4">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15BCA8BB">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B7B5F09">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597FC250">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5EB45F94">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3B0F27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0D52C1BA">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7DD94BD2">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FBBBE9A">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0073D1EA">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187365F6">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EB25BD4">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2C50ABB9">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5BAF0B6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286E703A">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3C9B6622">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4A9A4212">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3" w:name="chapter_level1_24_75_section_1_end"/>
      <w:bookmarkEnd w:id="213"/>
      <w:r>
        <w:rPr>
          <w:rStyle w:val="11"/>
          <w:rFonts w:hint="eastAsia"/>
          <w:sz w:val="21"/>
          <w:szCs w:val="21"/>
        </w:rPr>
        <w:t>理人。请确保投资前，您/贵机构已经全面理解了本招募说明书。</w:t>
      </w:r>
    </w:p>
    <w:p w14:paraId="48BC246B">
      <w:pPr>
        <w:widowControl/>
        <w:jc w:val="left"/>
        <w:rPr>
          <w:rFonts w:ascii="宋体" w:hAnsi="宋体" w:eastAsia="宋体"/>
        </w:rPr>
      </w:pPr>
      <w:r>
        <w:rPr>
          <w:rFonts w:ascii="宋体" w:hAnsi="宋体" w:eastAsia="宋体"/>
        </w:rPr>
        <w:br w:type="page"/>
      </w:r>
    </w:p>
    <w:p w14:paraId="05AB745E">
      <w:pPr>
        <w:pStyle w:val="2"/>
        <w:jc w:val="center"/>
        <w:rPr>
          <w:rFonts w:ascii="宋体" w:hAnsi="宋体" w:eastAsia="宋体"/>
          <w:sz w:val="30"/>
        </w:rPr>
      </w:pPr>
      <w:bookmarkStart w:id="214" w:name="chapter_level1_25_3499"/>
      <w:bookmarkStart w:id="215" w:name="_Toc207943832"/>
      <w:r>
        <w:rPr>
          <w:rFonts w:hint="eastAsia" w:ascii="宋体" w:hAnsi="宋体" w:eastAsia="宋体"/>
          <w:sz w:val="30"/>
        </w:rPr>
        <w:t>第二十二部分 其他应披露的事项</w:t>
      </w:r>
      <w:bookmarkEnd w:id="214"/>
      <w:bookmarkEnd w:id="215"/>
    </w:p>
    <w:p w14:paraId="20511A54">
      <w:pPr>
        <w:pStyle w:val="7"/>
        <w:spacing w:before="0" w:beforeAutospacing="0" w:after="0" w:afterAutospacing="0" w:line="360" w:lineRule="auto"/>
        <w:ind w:firstLine="420"/>
        <w:rPr>
          <w:sz w:val="21"/>
          <w:szCs w:val="21"/>
        </w:rPr>
      </w:pPr>
      <w:bookmarkStart w:id="216" w:name="chapter_level1_25_3499_section_1"/>
      <w:bookmarkEnd w:id="216"/>
      <w:bookmarkStart w:id="217" w:name="field_0_bsrevealinfo_1_start"/>
      <w:bookmarkEnd w:id="217"/>
      <w:r>
        <w:rPr>
          <w:rFonts w:hint="eastAsia"/>
          <w:sz w:val="21"/>
          <w:szCs w:val="21"/>
        </w:rPr>
        <w:t>（一）、2025年8月29日，我公司公告了《博时裕泰纯债债券型证券投资基金2025年中期报告》；</w:t>
      </w:r>
    </w:p>
    <w:p w14:paraId="5C36CF42">
      <w:pPr>
        <w:pStyle w:val="7"/>
        <w:spacing w:before="0" w:beforeAutospacing="0" w:after="0" w:afterAutospacing="0" w:line="360" w:lineRule="auto"/>
        <w:ind w:firstLine="420"/>
        <w:rPr>
          <w:sz w:val="21"/>
          <w:szCs w:val="21"/>
        </w:rPr>
      </w:pPr>
      <w:r>
        <w:rPr>
          <w:rFonts w:hint="eastAsia"/>
          <w:sz w:val="21"/>
          <w:szCs w:val="21"/>
        </w:rPr>
        <w:t>（二）、2025年7月21日，我公司公告了《博时裕泰纯债债券型证券投资基金2025年第2季度报告》；</w:t>
      </w:r>
    </w:p>
    <w:p w14:paraId="0AC6BABB">
      <w:pPr>
        <w:pStyle w:val="7"/>
        <w:spacing w:before="0" w:beforeAutospacing="0" w:after="0" w:afterAutospacing="0" w:line="360" w:lineRule="auto"/>
        <w:ind w:firstLine="420"/>
        <w:rPr>
          <w:sz w:val="21"/>
          <w:szCs w:val="21"/>
        </w:rPr>
      </w:pPr>
      <w:r>
        <w:rPr>
          <w:rFonts w:hint="eastAsia"/>
          <w:sz w:val="21"/>
          <w:szCs w:val="21"/>
        </w:rPr>
        <w:t>（三）、2025年7月16日，我公司公告了《博时裕泰纯债债券型证券投资基金分红公告》；</w:t>
      </w:r>
    </w:p>
    <w:p w14:paraId="5FDAD012">
      <w:pPr>
        <w:pStyle w:val="7"/>
        <w:spacing w:before="0" w:beforeAutospacing="0" w:after="0" w:afterAutospacing="0" w:line="360" w:lineRule="auto"/>
        <w:ind w:firstLine="420"/>
        <w:rPr>
          <w:sz w:val="21"/>
          <w:szCs w:val="21"/>
        </w:rPr>
      </w:pPr>
      <w:r>
        <w:rPr>
          <w:rFonts w:hint="eastAsia"/>
          <w:sz w:val="21"/>
          <w:szCs w:val="21"/>
        </w:rPr>
        <w:t>（四）、2025年6月26日，我公司公告了《博时裕泰纯债债券型证券投资基金基金产品资料概要更新》；</w:t>
      </w:r>
    </w:p>
    <w:p w14:paraId="2069E15E">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5A7C19EE">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3B4AB6E6">
      <w:pPr>
        <w:pStyle w:val="7"/>
        <w:spacing w:before="0" w:beforeAutospacing="0" w:after="0" w:afterAutospacing="0" w:line="360" w:lineRule="auto"/>
        <w:ind w:firstLine="420"/>
        <w:rPr>
          <w:sz w:val="21"/>
          <w:szCs w:val="21"/>
        </w:rPr>
      </w:pPr>
      <w:r>
        <w:rPr>
          <w:rFonts w:hint="eastAsia"/>
          <w:sz w:val="21"/>
          <w:szCs w:val="21"/>
        </w:rPr>
        <w:t>（七）、2025年4月22日，我公司公告了《博时裕泰纯债债券型证券投资基金2025年第1季度报告》；</w:t>
      </w:r>
    </w:p>
    <w:p w14:paraId="2BDBE582">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3E171AA3">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（九）、2025年3月31日，我公司公告了《博时基金管理有限公司旗下公募基金通过证券公司证券交易及佣金支付情况（2024年度）》、《博时裕泰纯债债券型证券投资基金2024年年度报告》；</w:t>
      </w:r>
    </w:p>
    <w:p w14:paraId="06F1E9A5">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7266BD27">
      <w:pPr>
        <w:pStyle w:val="7"/>
        <w:spacing w:before="0" w:beforeAutospacing="0" w:after="0" w:afterAutospacing="0" w:line="360" w:lineRule="auto"/>
        <w:ind w:firstLine="420"/>
        <w:rPr>
          <w:sz w:val="21"/>
          <w:szCs w:val="21"/>
        </w:rPr>
      </w:pPr>
      <w:r>
        <w:rPr>
          <w:rFonts w:hint="eastAsia"/>
          <w:sz w:val="21"/>
          <w:szCs w:val="21"/>
        </w:rPr>
        <w:t>（十一）、2025年2月22日，我公司公告了《博时裕泰纯债债券型证券投资基金分红公告》；</w:t>
      </w:r>
    </w:p>
    <w:p w14:paraId="5AD2B886">
      <w:pPr>
        <w:pStyle w:val="7"/>
        <w:spacing w:before="0" w:beforeAutospacing="0" w:after="0" w:afterAutospacing="0" w:line="360" w:lineRule="auto"/>
        <w:ind w:firstLine="420"/>
        <w:rPr>
          <w:sz w:val="21"/>
          <w:szCs w:val="21"/>
        </w:rPr>
      </w:pPr>
      <w:r>
        <w:rPr>
          <w:rFonts w:hint="eastAsia"/>
          <w:sz w:val="21"/>
          <w:szCs w:val="21"/>
        </w:rPr>
        <w:t>（十二）、2025年1月22日，我公司公告了《博时裕泰纯债债券型证券投资基金2024年第4季度报告》；</w:t>
      </w:r>
    </w:p>
    <w:p w14:paraId="2F9CAEA5">
      <w:pPr>
        <w:pStyle w:val="7"/>
        <w:spacing w:before="0" w:beforeAutospacing="0" w:after="0" w:afterAutospacing="0" w:line="360" w:lineRule="auto"/>
        <w:ind w:firstLine="420"/>
        <w:rPr>
          <w:sz w:val="21"/>
          <w:szCs w:val="21"/>
        </w:rPr>
      </w:pPr>
      <w:r>
        <w:rPr>
          <w:rFonts w:hint="eastAsia"/>
          <w:sz w:val="21"/>
          <w:szCs w:val="21"/>
        </w:rPr>
        <w:t>（十三）、2024年12月27日，我公司公告了《博时基金管理有限公司关于旗下193只基金改聘会计师事务所的公告》；</w:t>
      </w:r>
    </w:p>
    <w:p w14:paraId="32CEAC90">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14:paraId="12D0B805">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14:paraId="428B7A9A">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50CAC369">
      <w:pPr>
        <w:pStyle w:val="7"/>
        <w:spacing w:before="0" w:beforeAutospacing="0" w:after="0" w:afterAutospacing="0" w:line="360" w:lineRule="auto"/>
        <w:ind w:firstLine="420"/>
        <w:rPr>
          <w:sz w:val="21"/>
          <w:szCs w:val="21"/>
        </w:rPr>
      </w:pPr>
      <w:r>
        <w:rPr>
          <w:rFonts w:hint="eastAsia"/>
          <w:sz w:val="21"/>
          <w:szCs w:val="21"/>
        </w:rPr>
        <w:t>（十七）、2024年10月25日，我公司公告了《博时裕泰纯债债券型证券投资基金2024年第3季度报告》；</w:t>
      </w:r>
    </w:p>
    <w:p w14:paraId="1F9F9A35">
      <w:pPr>
        <w:pStyle w:val="7"/>
        <w:spacing w:before="0" w:beforeAutospacing="0" w:after="0" w:afterAutospacing="0" w:line="360" w:lineRule="auto"/>
        <w:ind w:firstLine="420"/>
        <w:rPr>
          <w:sz w:val="21"/>
          <w:szCs w:val="21"/>
        </w:rPr>
      </w:pPr>
      <w:r>
        <w:rPr>
          <w:rFonts w:hint="eastAsia"/>
          <w:sz w:val="21"/>
          <w:szCs w:val="21"/>
        </w:rPr>
        <w:t>（十八）、2024年9月30日，我公司公告了《博时裕泰纯债债券型证券投资基金更新招募说明书》；</w:t>
      </w:r>
    </w:p>
    <w:p w14:paraId="4E59E5A8">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（十九）、2024年9月25日，我公司公告了《博时基金管理有限公司关于旗下基金持有的长期停牌股票调整估值方法的公告-20240925》、《博时裕泰纯债债券型证券投资基金分红公告》；</w:t>
      </w:r>
    </w:p>
    <w:p w14:paraId="3456F7B1">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8" w:name="chapter_level1_25_3499_section_1_end"/>
      <w:bookmarkEnd w:id="218"/>
      <w:r>
        <w:rPr>
          <w:rFonts w:hint="eastAsia"/>
          <w:sz w:val="21"/>
          <w:szCs w:val="21"/>
        </w:rPr>
        <w:t>变更的公告》。</w:t>
      </w:r>
      <w:bookmarkStart w:id="219" w:name="field_0_bsrevealinfo_1_end"/>
      <w:bookmarkEnd w:id="219"/>
      <w:r>
        <w:rPr>
          <w:rFonts w:hint="eastAsia"/>
          <w:sz w:val="21"/>
          <w:szCs w:val="21"/>
        </w:rPr>
        <w:t xml:space="preserve">  </w:t>
      </w:r>
    </w:p>
    <w:p w14:paraId="33391DF6">
      <w:pPr>
        <w:widowControl/>
        <w:jc w:val="left"/>
        <w:rPr>
          <w:rFonts w:ascii="宋体" w:hAnsi="宋体" w:eastAsia="宋体"/>
        </w:rPr>
      </w:pPr>
      <w:r>
        <w:rPr>
          <w:rFonts w:ascii="宋体" w:hAnsi="宋体" w:eastAsia="宋体"/>
        </w:rPr>
        <w:br w:type="page"/>
      </w:r>
    </w:p>
    <w:p w14:paraId="28FA1296">
      <w:pPr>
        <w:pStyle w:val="2"/>
        <w:jc w:val="center"/>
        <w:rPr>
          <w:rFonts w:ascii="宋体" w:hAnsi="宋体" w:eastAsia="宋体"/>
          <w:sz w:val="30"/>
        </w:rPr>
      </w:pPr>
      <w:bookmarkStart w:id="220" w:name="chapter_level1_26_77"/>
      <w:bookmarkStart w:id="221" w:name="_Toc207943833"/>
      <w:r>
        <w:rPr>
          <w:rFonts w:hint="eastAsia" w:ascii="宋体" w:hAnsi="宋体" w:eastAsia="宋体"/>
          <w:sz w:val="30"/>
        </w:rPr>
        <w:t>第二十三部分  招募说明书存放及查阅方式</w:t>
      </w:r>
      <w:bookmarkEnd w:id="220"/>
      <w:bookmarkEnd w:id="221"/>
    </w:p>
    <w:p w14:paraId="63B7171E">
      <w:pPr>
        <w:pStyle w:val="7"/>
        <w:spacing w:before="0" w:beforeAutospacing="0" w:after="0" w:afterAutospacing="0" w:line="360" w:lineRule="auto"/>
        <w:ind w:firstLine="420"/>
        <w:rPr>
          <w:sz w:val="21"/>
          <w:szCs w:val="21"/>
        </w:rPr>
      </w:pPr>
      <w:bookmarkStart w:id="222" w:name="chapter_level1_26_77_section_1"/>
      <w:bookmarkEnd w:id="222"/>
      <w:r>
        <w:rPr>
          <w:rFonts w:hint="eastAsia"/>
          <w:sz w:val="21"/>
          <w:szCs w:val="21"/>
        </w:rPr>
        <w:t xml:space="preserve">依法必须披露的信息发布后，基金管理人、基金托管人应当按照相关法律法规规定将信息置备于公司住所，供社会公众查阅、复制；投资人在支付工本费后，可在合理时间内取得上述文件复制件或复印件。对投资人按此种方式所获得的文件及其复印件，基金管理人保证文本的内容与所公告的内容完全一致。 </w:t>
      </w:r>
    </w:p>
    <w:p w14:paraId="0AD63FE7">
      <w:pPr>
        <w:pStyle w:val="7"/>
        <w:spacing w:before="0" w:beforeAutospacing="0" w:after="0" w:afterAutospacing="0" w:line="360" w:lineRule="auto"/>
        <w:ind w:firstLine="420"/>
        <w:rPr>
          <w:sz w:val="21"/>
          <w:szCs w:val="21"/>
        </w:rPr>
      </w:pPr>
      <w:bookmarkStart w:id="223" w:name="chapter_level1_26_77_section_1_end"/>
      <w:bookmarkEnd w:id="223"/>
      <w:r>
        <w:rPr>
          <w:rFonts w:hint="eastAsia"/>
          <w:sz w:val="21"/>
          <w:szCs w:val="21"/>
        </w:rPr>
        <w:t xml:space="preserve">投资人还可以直接登录基金管理人的网站（www.bosera.com）查阅和下载招募说明书。 </w:t>
      </w:r>
    </w:p>
    <w:p w14:paraId="346F9F85">
      <w:pPr>
        <w:widowControl/>
        <w:jc w:val="left"/>
        <w:rPr>
          <w:rFonts w:ascii="宋体" w:hAnsi="宋体" w:eastAsia="宋体"/>
        </w:rPr>
      </w:pPr>
      <w:r>
        <w:rPr>
          <w:rFonts w:ascii="宋体" w:hAnsi="宋体" w:eastAsia="宋体"/>
        </w:rPr>
        <w:br w:type="page"/>
      </w:r>
    </w:p>
    <w:p w14:paraId="29956C00">
      <w:pPr>
        <w:pStyle w:val="2"/>
        <w:jc w:val="center"/>
        <w:rPr>
          <w:rFonts w:ascii="宋体" w:hAnsi="宋体" w:eastAsia="宋体"/>
          <w:sz w:val="30"/>
        </w:rPr>
      </w:pPr>
      <w:bookmarkStart w:id="224" w:name="_Toc207943834"/>
      <w:bookmarkStart w:id="225" w:name="chapter_level1_27_332"/>
      <w:r>
        <w:rPr>
          <w:rFonts w:hint="eastAsia" w:ascii="宋体" w:hAnsi="宋体" w:eastAsia="宋体"/>
          <w:sz w:val="30"/>
        </w:rPr>
        <w:t>第二十四部分  备查文件</w:t>
      </w:r>
      <w:bookmarkEnd w:id="224"/>
      <w:bookmarkEnd w:id="225"/>
    </w:p>
    <w:p w14:paraId="06294E8A">
      <w:pPr>
        <w:pStyle w:val="7"/>
        <w:spacing w:before="0" w:beforeAutospacing="0" w:after="0" w:afterAutospacing="0" w:line="360" w:lineRule="auto"/>
        <w:ind w:firstLine="420"/>
        <w:rPr>
          <w:sz w:val="21"/>
          <w:szCs w:val="21"/>
        </w:rPr>
      </w:pPr>
      <w:bookmarkStart w:id="226" w:name="chapter_level1_27_332_section_1"/>
      <w:bookmarkEnd w:id="226"/>
      <w:r>
        <w:rPr>
          <w:rFonts w:hint="eastAsia"/>
          <w:sz w:val="21"/>
          <w:szCs w:val="21"/>
        </w:rPr>
        <w:t xml:space="preserve">以下备查文件存放在基金管理人的办公场所，在办公时间可供免费查阅。  </w:t>
      </w:r>
    </w:p>
    <w:p w14:paraId="516985A6">
      <w:pPr>
        <w:pStyle w:val="7"/>
        <w:spacing w:before="0" w:beforeAutospacing="0" w:after="0" w:afterAutospacing="0" w:line="360" w:lineRule="auto"/>
        <w:ind w:firstLine="420"/>
        <w:rPr>
          <w:sz w:val="21"/>
          <w:szCs w:val="21"/>
        </w:rPr>
      </w:pPr>
      <w:r>
        <w:rPr>
          <w:rFonts w:hint="eastAsia"/>
          <w:sz w:val="21"/>
          <w:szCs w:val="21"/>
        </w:rPr>
        <w:t>（一）中国证监会准予</w:t>
      </w:r>
      <w:bookmarkStart w:id="227" w:name="field_0_productfullname_13"/>
      <w:r>
        <w:rPr>
          <w:rFonts w:hint="eastAsia"/>
          <w:sz w:val="21"/>
          <w:szCs w:val="21"/>
        </w:rPr>
        <w:t>博时裕泰纯债债券型证券投资基金</w:t>
      </w:r>
      <w:bookmarkEnd w:id="227"/>
      <w:r>
        <w:rPr>
          <w:rFonts w:hint="eastAsia"/>
          <w:sz w:val="21"/>
          <w:szCs w:val="21"/>
        </w:rPr>
        <w:t xml:space="preserve">募集的文件 </w:t>
      </w:r>
    </w:p>
    <w:p w14:paraId="1386F78F">
      <w:pPr>
        <w:pStyle w:val="7"/>
        <w:spacing w:before="0" w:beforeAutospacing="0" w:after="0" w:afterAutospacing="0" w:line="360" w:lineRule="auto"/>
        <w:ind w:firstLine="420"/>
        <w:rPr>
          <w:sz w:val="21"/>
          <w:szCs w:val="21"/>
        </w:rPr>
      </w:pPr>
      <w:r>
        <w:rPr>
          <w:rFonts w:hint="eastAsia"/>
          <w:sz w:val="21"/>
          <w:szCs w:val="21"/>
        </w:rPr>
        <w:t>（二）《</w:t>
      </w:r>
      <w:bookmarkStart w:id="228" w:name="field_0_productfullname_14"/>
      <w:r>
        <w:rPr>
          <w:rFonts w:hint="eastAsia"/>
          <w:sz w:val="21"/>
          <w:szCs w:val="21"/>
        </w:rPr>
        <w:t>博时裕泰纯债债券型证券投资基金</w:t>
      </w:r>
      <w:bookmarkEnd w:id="228"/>
      <w:r>
        <w:rPr>
          <w:rFonts w:hint="eastAsia"/>
          <w:sz w:val="21"/>
          <w:szCs w:val="21"/>
        </w:rPr>
        <w:t xml:space="preserve">基金合同》 </w:t>
      </w:r>
    </w:p>
    <w:p w14:paraId="6B046C4C">
      <w:pPr>
        <w:pStyle w:val="7"/>
        <w:spacing w:before="0" w:beforeAutospacing="0" w:after="0" w:afterAutospacing="0" w:line="360" w:lineRule="auto"/>
        <w:ind w:firstLine="420"/>
        <w:rPr>
          <w:sz w:val="21"/>
          <w:szCs w:val="21"/>
        </w:rPr>
      </w:pPr>
      <w:r>
        <w:rPr>
          <w:rFonts w:hint="eastAsia"/>
          <w:sz w:val="21"/>
          <w:szCs w:val="21"/>
        </w:rPr>
        <w:t>（三）《</w:t>
      </w:r>
      <w:bookmarkStart w:id="229" w:name="field_0_productfullname_15"/>
      <w:r>
        <w:rPr>
          <w:rFonts w:hint="eastAsia"/>
          <w:sz w:val="21"/>
          <w:szCs w:val="21"/>
        </w:rPr>
        <w:t>博时裕泰纯债债券型证券投资基金</w:t>
      </w:r>
      <w:bookmarkEnd w:id="229"/>
      <w:r>
        <w:rPr>
          <w:rFonts w:hint="eastAsia"/>
          <w:sz w:val="21"/>
          <w:szCs w:val="21"/>
        </w:rPr>
        <w:t xml:space="preserve">托管协议》 </w:t>
      </w:r>
    </w:p>
    <w:p w14:paraId="2752A309">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D2978A1">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7C8B23FB">
      <w:pPr>
        <w:pStyle w:val="7"/>
        <w:spacing w:before="0" w:beforeAutospacing="0" w:after="0" w:afterAutospacing="0" w:line="360" w:lineRule="auto"/>
        <w:ind w:firstLine="420"/>
        <w:rPr>
          <w:sz w:val="21"/>
          <w:szCs w:val="21"/>
        </w:rPr>
      </w:pPr>
      <w:r>
        <w:rPr>
          <w:rFonts w:hint="eastAsia"/>
          <w:sz w:val="21"/>
          <w:szCs w:val="21"/>
        </w:rPr>
        <w:t>（六）关于申请募集注册</w:t>
      </w:r>
      <w:bookmarkStart w:id="230" w:name="field_0_productfullname_16"/>
      <w:r>
        <w:rPr>
          <w:rFonts w:hint="eastAsia"/>
          <w:sz w:val="21"/>
          <w:szCs w:val="21"/>
        </w:rPr>
        <w:t>博时裕泰纯债债券型证券投资基金</w:t>
      </w:r>
      <w:bookmarkEnd w:id="230"/>
      <w:r>
        <w:rPr>
          <w:rFonts w:hint="eastAsia"/>
          <w:sz w:val="21"/>
          <w:szCs w:val="21"/>
        </w:rPr>
        <w:t xml:space="preserve">之法律意见书 </w:t>
      </w:r>
    </w:p>
    <w:p w14:paraId="3B3F2D99">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99097FC">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26095592">
      <w:pPr>
        <w:pStyle w:val="7"/>
        <w:spacing w:before="0" w:beforeAutospacing="0" w:after="0" w:afterAutospacing="0" w:line="360" w:lineRule="auto"/>
        <w:ind w:firstLine="420"/>
        <w:rPr>
          <w:sz w:val="21"/>
          <w:szCs w:val="21"/>
        </w:rPr>
      </w:pPr>
    </w:p>
    <w:p w14:paraId="701A4D59">
      <w:pPr>
        <w:pStyle w:val="7"/>
        <w:spacing w:before="0" w:beforeAutospacing="0" w:after="0" w:afterAutospacing="0" w:line="360" w:lineRule="auto"/>
        <w:ind w:firstLine="420"/>
        <w:rPr>
          <w:sz w:val="21"/>
          <w:szCs w:val="21"/>
        </w:rPr>
      </w:pPr>
    </w:p>
    <w:p w14:paraId="7CB791D7">
      <w:pPr>
        <w:pStyle w:val="7"/>
        <w:spacing w:before="0" w:beforeAutospacing="0" w:after="0" w:afterAutospacing="0" w:line="360" w:lineRule="auto"/>
        <w:ind w:firstLine="420"/>
        <w:rPr>
          <w:sz w:val="21"/>
          <w:szCs w:val="21"/>
        </w:rPr>
      </w:pPr>
    </w:p>
    <w:p w14:paraId="1AD5EB0E">
      <w:pPr>
        <w:pStyle w:val="7"/>
        <w:spacing w:before="0" w:beforeAutospacing="0" w:after="0" w:afterAutospacing="0" w:line="360" w:lineRule="auto"/>
        <w:ind w:firstLine="420"/>
        <w:jc w:val="right"/>
        <w:rPr>
          <w:sz w:val="21"/>
          <w:szCs w:val="21"/>
        </w:rPr>
      </w:pPr>
      <w:bookmarkStart w:id="231" w:name="field_0_managerorgfullname_12"/>
      <w:r>
        <w:rPr>
          <w:rFonts w:hint="eastAsia"/>
          <w:sz w:val="21"/>
          <w:szCs w:val="21"/>
        </w:rPr>
        <w:t>博时基金管理有限公司</w:t>
      </w:r>
      <w:bookmarkEnd w:id="231"/>
      <w:r>
        <w:rPr>
          <w:rFonts w:hint="eastAsia"/>
          <w:sz w:val="21"/>
          <w:szCs w:val="21"/>
        </w:rPr>
        <w:t xml:space="preserve">  </w:t>
      </w:r>
    </w:p>
    <w:p w14:paraId="0E18E07D">
      <w:pPr>
        <w:pStyle w:val="7"/>
        <w:spacing w:before="0" w:beforeAutospacing="0" w:after="0" w:afterAutospacing="0" w:line="360" w:lineRule="auto"/>
        <w:ind w:firstLine="420"/>
        <w:jc w:val="right"/>
        <w:rPr>
          <w:sz w:val="21"/>
          <w:szCs w:val="21"/>
        </w:rPr>
      </w:pPr>
      <w:bookmarkStart w:id="232" w:name="chapter_level1_27_332_section_1_end"/>
      <w:bookmarkEnd w:id="232"/>
      <w:bookmarkStart w:id="23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w:t>
      </w:r>
      <w:r>
        <w:rPr>
          <w:sz w:val="21"/>
          <w:szCs w:val="21"/>
        </w:rPr>
        <w:t>0日</w:t>
      </w:r>
      <w:bookmarkEnd w:id="233"/>
      <w:r>
        <w:rPr>
          <w:rFonts w:hint="eastAsia"/>
          <w:sz w:val="21"/>
          <w:szCs w:val="21"/>
        </w:rPr>
        <w:t xml:space="preserve">  </w:t>
      </w:r>
    </w:p>
    <w:p w14:paraId="728CA60A">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45705">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118</w:t>
    </w:r>
    <w:r>
      <w:fldChar w:fldCharType="end"/>
    </w:r>
    <w:r>
      <w:rPr>
        <w:rFonts w:hint="eastAsia"/>
      </w:rPr>
      <w:t>页 共</w:t>
    </w:r>
    <w:r>
      <w:fldChar w:fldCharType="begin"/>
    </w:r>
    <w:r>
      <w:instrText xml:space="preserve"> NumPages \* MERGEFORMAT </w:instrText>
    </w:r>
    <w:r>
      <w:fldChar w:fldCharType="separate"/>
    </w:r>
    <w:r>
      <w:t>118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5A5B8">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9BF2B00">
    <w:pPr>
      <w:pStyle w:val="5"/>
      <w:jc w:val="right"/>
    </w:pPr>
    <w:r>
      <w:rPr>
        <w:rFonts w:hint="eastAsia"/>
      </w:rPr>
      <w:t>博时裕泰纯债债券型证券投资基金更新招募说明书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3C6"/>
    <w:rsid w:val="000361AD"/>
    <w:rsid w:val="00225842"/>
    <w:rsid w:val="00437F63"/>
    <w:rsid w:val="00AF63C6"/>
    <w:rsid w:val="0F7B0817"/>
    <w:rsid w:val="18A6352B"/>
    <w:rsid w:val="3C2506B9"/>
    <w:rsid w:val="4A761508"/>
    <w:rsid w:val="519F0A5B"/>
    <w:rsid w:val="693145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117</Pages>
  <Words>13237</Words>
  <Characters>75455</Characters>
  <Lines>628</Lines>
  <Paragraphs>177</Paragraphs>
  <TotalTime>13</TotalTime>
  <ScaleCrop>false</ScaleCrop>
  <LinksUpToDate>false</LinksUpToDate>
  <CharactersWithSpaces>88515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2025-09-04T21:49:00Z</dcterms:created>
  <dc:creator>BSKMadminDev</dc:creator>
  <cp:lastModifiedBy>huangzw</cp:lastModifiedBy>
  <dcterms:modified xsi:type="dcterms:W3CDTF">2026-08-07T06:03:30Z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E6DA4DDF43904132B1188D5EB26A441F</vt:lpwstr>
  </property>
</Properties>
</file>