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3559F6"/>
    <w:p w14:paraId="2AE60750">
      <w:pPr>
        <w:jc w:val="center"/>
        <w:rPr>
          <w:rFonts w:hint="eastAsia" w:ascii="宋体" w:hAnsi="宋体" w:eastAsia="宋体"/>
          <w:b/>
          <w:sz w:val="30"/>
        </w:rPr>
      </w:pPr>
      <w:r>
        <w:rPr>
          <w:rFonts w:hint="eastAsia" w:ascii="宋体" w:hAnsi="宋体" w:eastAsia="宋体"/>
          <w:b/>
          <w:sz w:val="30"/>
        </w:rPr>
        <w:t>博时标普500交易型开放式指数证券投资基金联接基金</w:t>
      </w:r>
      <w:r>
        <w:rPr>
          <w:rFonts w:hint="eastAsia" w:ascii="宋体" w:hAnsi="宋体" w:eastAsia="宋体"/>
          <w:b/>
          <w:sz w:val="30"/>
          <w:lang w:val="en-US" w:eastAsia="zh-CN"/>
        </w:rPr>
        <w:t>A、C两类份额</w:t>
      </w:r>
      <w:r>
        <w:rPr>
          <w:rFonts w:hint="eastAsia" w:ascii="宋体" w:hAnsi="宋体" w:eastAsia="宋体"/>
          <w:b/>
          <w:sz w:val="30"/>
        </w:rPr>
        <w:t>暂停申购、转换转入、定期定额投资业务公告</w:t>
      </w:r>
    </w:p>
    <w:p w14:paraId="7CFF5026">
      <w:pPr>
        <w:jc w:val="center"/>
        <w:rPr>
          <w:rFonts w:ascii="宋体" w:hAnsi="宋体" w:eastAsia="宋体"/>
          <w:b/>
          <w:sz w:val="24"/>
        </w:rPr>
      </w:pPr>
      <w:r>
        <w:rPr>
          <w:rFonts w:hint="eastAsia" w:ascii="宋体" w:hAnsi="宋体" w:eastAsia="宋体"/>
          <w:b/>
          <w:sz w:val="24"/>
        </w:rPr>
        <w:t>公告送出日期：</w:t>
      </w:r>
      <w:r>
        <w:rPr>
          <w:rFonts w:ascii="宋体" w:hAnsi="宋体" w:eastAsia="宋体"/>
          <w:b/>
          <w:sz w:val="24"/>
        </w:rPr>
        <w:t>2026年5月8日</w:t>
      </w:r>
    </w:p>
    <w:p w14:paraId="07F383C3">
      <w:pPr>
        <w:jc w:val="center"/>
        <w:rPr>
          <w:rFonts w:ascii="宋体" w:hAnsi="宋体" w:eastAsia="宋体"/>
          <w:b/>
          <w:sz w:val="24"/>
        </w:rPr>
      </w:pPr>
    </w:p>
    <w:p w14:paraId="72ECC5B0">
      <w:pPr>
        <w:pStyle w:val="2"/>
        <w:rPr>
          <w:rFonts w:ascii="宋体" w:hAnsi="宋体" w:eastAsia="宋体"/>
          <w:sz w:val="24"/>
        </w:rPr>
      </w:pPr>
      <w:r>
        <w:rPr>
          <w:rFonts w:ascii="宋体" w:hAnsi="宋体" w:eastAsia="宋体"/>
          <w:sz w:val="24"/>
        </w:rPr>
        <w:t>1、公告基本信息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7"/>
        <w:gridCol w:w="1217"/>
        <w:gridCol w:w="1217"/>
        <w:gridCol w:w="1217"/>
        <w:gridCol w:w="1218"/>
        <w:gridCol w:w="1218"/>
        <w:gridCol w:w="1218"/>
      </w:tblGrid>
      <w:tr w14:paraId="5C14AD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34" w:type="dxa"/>
            <w:gridSpan w:val="2"/>
            <w:vAlign w:val="center"/>
          </w:tcPr>
          <w:p w14:paraId="295E9EF0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基金名称</w:t>
            </w:r>
          </w:p>
        </w:tc>
        <w:tc>
          <w:tcPr>
            <w:tcW w:w="6088" w:type="dxa"/>
            <w:gridSpan w:val="5"/>
            <w:vAlign w:val="center"/>
          </w:tcPr>
          <w:p w14:paraId="6BF5FEF7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博时标普</w:t>
            </w:r>
            <w:r>
              <w:rPr>
                <w:rFonts w:ascii="宋体" w:hAnsi="宋体" w:eastAsia="宋体"/>
                <w:sz w:val="24"/>
              </w:rPr>
              <w:t>500交易型开放式指数证券投资基金联接基金</w:t>
            </w:r>
          </w:p>
        </w:tc>
      </w:tr>
      <w:tr w14:paraId="78A72C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34" w:type="dxa"/>
            <w:gridSpan w:val="2"/>
            <w:vAlign w:val="center"/>
          </w:tcPr>
          <w:p w14:paraId="25839DF7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基金简称</w:t>
            </w:r>
          </w:p>
        </w:tc>
        <w:tc>
          <w:tcPr>
            <w:tcW w:w="6088" w:type="dxa"/>
            <w:gridSpan w:val="5"/>
            <w:vAlign w:val="center"/>
          </w:tcPr>
          <w:p w14:paraId="49E9A1B5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博时标普</w:t>
            </w:r>
            <w:r>
              <w:rPr>
                <w:rFonts w:ascii="宋体" w:hAnsi="宋体" w:eastAsia="宋体"/>
                <w:sz w:val="24"/>
              </w:rPr>
              <w:t>500ETF联接</w:t>
            </w:r>
          </w:p>
        </w:tc>
      </w:tr>
      <w:tr w14:paraId="4B3293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34" w:type="dxa"/>
            <w:gridSpan w:val="2"/>
            <w:vAlign w:val="center"/>
          </w:tcPr>
          <w:p w14:paraId="753738ED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基金主代码</w:t>
            </w:r>
          </w:p>
        </w:tc>
        <w:tc>
          <w:tcPr>
            <w:tcW w:w="6088" w:type="dxa"/>
            <w:gridSpan w:val="5"/>
            <w:vAlign w:val="center"/>
          </w:tcPr>
          <w:p w14:paraId="48EA322E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050025</w:t>
            </w:r>
          </w:p>
        </w:tc>
      </w:tr>
      <w:tr w14:paraId="76F825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34" w:type="dxa"/>
            <w:gridSpan w:val="2"/>
            <w:vAlign w:val="center"/>
          </w:tcPr>
          <w:p w14:paraId="77E57BDE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基金管理人名称</w:t>
            </w:r>
          </w:p>
        </w:tc>
        <w:tc>
          <w:tcPr>
            <w:tcW w:w="6088" w:type="dxa"/>
            <w:gridSpan w:val="5"/>
            <w:vAlign w:val="center"/>
          </w:tcPr>
          <w:p w14:paraId="61257B9A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博时基金管理有限公司</w:t>
            </w:r>
          </w:p>
        </w:tc>
      </w:tr>
      <w:tr w14:paraId="034184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34" w:type="dxa"/>
            <w:gridSpan w:val="2"/>
            <w:vAlign w:val="center"/>
          </w:tcPr>
          <w:p w14:paraId="7EB9A830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公告依据</w:t>
            </w:r>
          </w:p>
        </w:tc>
        <w:tc>
          <w:tcPr>
            <w:tcW w:w="6088" w:type="dxa"/>
            <w:gridSpan w:val="5"/>
            <w:vAlign w:val="center"/>
          </w:tcPr>
          <w:p w14:paraId="2A5F8DB9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根据有关法律法规及《博时标普</w:t>
            </w:r>
            <w:r>
              <w:rPr>
                <w:rFonts w:ascii="宋体" w:hAnsi="宋体" w:eastAsia="宋体"/>
                <w:sz w:val="24"/>
              </w:rPr>
              <w:t>500交易型开放式指数证券投资基金联接基金基金合同》、《博时标普500交易型开放式指数证券投资基金联接基金招募说明书》等的规定</w:t>
            </w:r>
          </w:p>
        </w:tc>
      </w:tr>
      <w:tr w14:paraId="2557A9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Merge w:val="restart"/>
            <w:vAlign w:val="center"/>
          </w:tcPr>
          <w:p w14:paraId="0183E97C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暂停相关业务的起始日及原因说明</w:t>
            </w:r>
          </w:p>
        </w:tc>
        <w:tc>
          <w:tcPr>
            <w:tcW w:w="1217" w:type="dxa"/>
            <w:vAlign w:val="center"/>
          </w:tcPr>
          <w:p w14:paraId="6CDC7019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暂停申购起始日</w:t>
            </w:r>
          </w:p>
        </w:tc>
        <w:tc>
          <w:tcPr>
            <w:tcW w:w="6088" w:type="dxa"/>
            <w:gridSpan w:val="5"/>
            <w:vAlign w:val="center"/>
          </w:tcPr>
          <w:p w14:paraId="7265404D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2026年5月11日</w:t>
            </w:r>
          </w:p>
        </w:tc>
      </w:tr>
      <w:tr w14:paraId="22DDC2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Merge w:val="continue"/>
            <w:vAlign w:val="center"/>
          </w:tcPr>
          <w:p w14:paraId="79977062"/>
        </w:tc>
        <w:tc>
          <w:tcPr>
            <w:tcW w:w="1217" w:type="dxa"/>
            <w:vAlign w:val="center"/>
          </w:tcPr>
          <w:p w14:paraId="2EA6A232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暂停转换转入起始日</w:t>
            </w:r>
          </w:p>
        </w:tc>
        <w:tc>
          <w:tcPr>
            <w:tcW w:w="6088" w:type="dxa"/>
            <w:gridSpan w:val="5"/>
            <w:vAlign w:val="center"/>
          </w:tcPr>
          <w:p w14:paraId="54F3BE13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2026年5月11日</w:t>
            </w:r>
          </w:p>
        </w:tc>
      </w:tr>
      <w:tr w14:paraId="246B43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Merge w:val="continue"/>
            <w:vAlign w:val="center"/>
          </w:tcPr>
          <w:p w14:paraId="115F3AEE"/>
        </w:tc>
        <w:tc>
          <w:tcPr>
            <w:tcW w:w="1217" w:type="dxa"/>
            <w:vAlign w:val="center"/>
          </w:tcPr>
          <w:p w14:paraId="5B60B556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暂停定期定额投资起始日</w:t>
            </w:r>
          </w:p>
        </w:tc>
        <w:tc>
          <w:tcPr>
            <w:tcW w:w="6088" w:type="dxa"/>
            <w:gridSpan w:val="5"/>
            <w:vAlign w:val="center"/>
          </w:tcPr>
          <w:p w14:paraId="504FC9B4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2026年5月11日</w:t>
            </w:r>
          </w:p>
        </w:tc>
      </w:tr>
      <w:tr w14:paraId="7BE967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Merge w:val="continue"/>
            <w:vAlign w:val="center"/>
          </w:tcPr>
          <w:p w14:paraId="65567F19"/>
        </w:tc>
        <w:tc>
          <w:tcPr>
            <w:tcW w:w="1217" w:type="dxa"/>
            <w:vAlign w:val="center"/>
          </w:tcPr>
          <w:p w14:paraId="411874E2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暂停申购、转换转入、定期定额投资的原因说明</w:t>
            </w:r>
          </w:p>
        </w:tc>
        <w:tc>
          <w:tcPr>
            <w:tcW w:w="6088" w:type="dxa"/>
            <w:gridSpan w:val="5"/>
            <w:vAlign w:val="center"/>
          </w:tcPr>
          <w:p w14:paraId="31599009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为保护基金份额持有人利益</w:t>
            </w:r>
          </w:p>
        </w:tc>
      </w:tr>
      <w:tr w14:paraId="471F58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34" w:type="dxa"/>
            <w:gridSpan w:val="2"/>
            <w:vAlign w:val="center"/>
          </w:tcPr>
          <w:p w14:paraId="2BE763A9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下属分级基金的基金简称</w:t>
            </w:r>
          </w:p>
        </w:tc>
        <w:tc>
          <w:tcPr>
            <w:tcW w:w="1217" w:type="dxa"/>
            <w:vAlign w:val="center"/>
          </w:tcPr>
          <w:p w14:paraId="1AB555FF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博时标普</w:t>
            </w:r>
            <w:r>
              <w:rPr>
                <w:rFonts w:ascii="宋体" w:hAnsi="宋体" w:eastAsia="宋体"/>
                <w:sz w:val="24"/>
              </w:rPr>
              <w:t>500ETF联接A（美元现汇）</w:t>
            </w:r>
          </w:p>
        </w:tc>
        <w:tc>
          <w:tcPr>
            <w:tcW w:w="1217" w:type="dxa"/>
            <w:vAlign w:val="center"/>
          </w:tcPr>
          <w:p w14:paraId="2369F9DF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博时标普</w:t>
            </w:r>
            <w:r>
              <w:rPr>
                <w:rFonts w:ascii="宋体" w:hAnsi="宋体" w:eastAsia="宋体"/>
                <w:sz w:val="24"/>
              </w:rPr>
              <w:t>500ETF联接A（人民币）</w:t>
            </w:r>
          </w:p>
        </w:tc>
        <w:tc>
          <w:tcPr>
            <w:tcW w:w="1218" w:type="dxa"/>
            <w:vAlign w:val="center"/>
          </w:tcPr>
          <w:p w14:paraId="441BCE18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博时标普</w:t>
            </w:r>
            <w:r>
              <w:rPr>
                <w:rFonts w:ascii="宋体" w:hAnsi="宋体" w:eastAsia="宋体"/>
                <w:sz w:val="24"/>
              </w:rPr>
              <w:t>500ETF联接C（人民币）</w:t>
            </w:r>
          </w:p>
        </w:tc>
        <w:tc>
          <w:tcPr>
            <w:tcW w:w="1218" w:type="dxa"/>
            <w:vAlign w:val="center"/>
          </w:tcPr>
          <w:p w14:paraId="351BC6EB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博时标普</w:t>
            </w:r>
            <w:r>
              <w:rPr>
                <w:rFonts w:ascii="宋体" w:hAnsi="宋体" w:eastAsia="宋体"/>
                <w:sz w:val="24"/>
              </w:rPr>
              <w:t>500ETF联接C（美元现汇）</w:t>
            </w:r>
          </w:p>
        </w:tc>
        <w:tc>
          <w:tcPr>
            <w:tcW w:w="1218" w:type="dxa"/>
            <w:vAlign w:val="center"/>
          </w:tcPr>
          <w:p w14:paraId="3FEF333D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博时标普</w:t>
            </w:r>
            <w:r>
              <w:rPr>
                <w:rFonts w:ascii="宋体" w:hAnsi="宋体" w:eastAsia="宋体"/>
                <w:sz w:val="24"/>
              </w:rPr>
              <w:t>500ETF联接E（人民币）</w:t>
            </w:r>
          </w:p>
        </w:tc>
      </w:tr>
      <w:tr w14:paraId="26D3DB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34" w:type="dxa"/>
            <w:gridSpan w:val="2"/>
            <w:vAlign w:val="center"/>
          </w:tcPr>
          <w:p w14:paraId="72008932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下属分级基金的交易代码</w:t>
            </w:r>
          </w:p>
        </w:tc>
        <w:tc>
          <w:tcPr>
            <w:tcW w:w="1217" w:type="dxa"/>
            <w:vAlign w:val="center"/>
          </w:tcPr>
          <w:p w14:paraId="2FD55A87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013425</w:t>
            </w:r>
          </w:p>
        </w:tc>
        <w:tc>
          <w:tcPr>
            <w:tcW w:w="1217" w:type="dxa"/>
            <w:vAlign w:val="center"/>
          </w:tcPr>
          <w:p w14:paraId="5D39D979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050025</w:t>
            </w:r>
          </w:p>
        </w:tc>
        <w:tc>
          <w:tcPr>
            <w:tcW w:w="1218" w:type="dxa"/>
            <w:vAlign w:val="center"/>
          </w:tcPr>
          <w:p w14:paraId="560BF7B3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006075</w:t>
            </w:r>
          </w:p>
        </w:tc>
        <w:tc>
          <w:tcPr>
            <w:tcW w:w="1218" w:type="dxa"/>
            <w:vAlign w:val="center"/>
          </w:tcPr>
          <w:p w14:paraId="02AFB3D4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013499</w:t>
            </w:r>
          </w:p>
        </w:tc>
        <w:tc>
          <w:tcPr>
            <w:tcW w:w="1218" w:type="dxa"/>
            <w:vAlign w:val="center"/>
          </w:tcPr>
          <w:p w14:paraId="28600A76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018738</w:t>
            </w:r>
          </w:p>
        </w:tc>
      </w:tr>
      <w:tr w14:paraId="1BE43C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34" w:type="dxa"/>
            <w:gridSpan w:val="2"/>
            <w:vAlign w:val="center"/>
          </w:tcPr>
          <w:p w14:paraId="769E0CE5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该分级基金是否暂停申购、转换转入、定期定额投资</w:t>
            </w:r>
          </w:p>
        </w:tc>
        <w:tc>
          <w:tcPr>
            <w:tcW w:w="1217" w:type="dxa"/>
            <w:vAlign w:val="center"/>
          </w:tcPr>
          <w:p w14:paraId="5CEBE7AC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是</w:t>
            </w:r>
          </w:p>
        </w:tc>
        <w:tc>
          <w:tcPr>
            <w:tcW w:w="1217" w:type="dxa"/>
            <w:vAlign w:val="center"/>
          </w:tcPr>
          <w:p w14:paraId="0D581C32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是</w:t>
            </w:r>
          </w:p>
        </w:tc>
        <w:tc>
          <w:tcPr>
            <w:tcW w:w="1218" w:type="dxa"/>
            <w:vAlign w:val="center"/>
          </w:tcPr>
          <w:p w14:paraId="6C6BCBFE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是</w:t>
            </w:r>
          </w:p>
        </w:tc>
        <w:tc>
          <w:tcPr>
            <w:tcW w:w="1218" w:type="dxa"/>
            <w:vAlign w:val="center"/>
          </w:tcPr>
          <w:p w14:paraId="575C49A6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是</w:t>
            </w:r>
          </w:p>
        </w:tc>
        <w:tc>
          <w:tcPr>
            <w:tcW w:w="1218" w:type="dxa"/>
            <w:vAlign w:val="center"/>
          </w:tcPr>
          <w:p w14:paraId="738EE352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否</w:t>
            </w:r>
          </w:p>
        </w:tc>
      </w:tr>
    </w:tbl>
    <w:p w14:paraId="54F67CC3"/>
    <w:p w14:paraId="7DA127A2">
      <w:pPr>
        <w:pStyle w:val="2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2、其他需要提示的事项</w:t>
      </w:r>
    </w:p>
    <w:p w14:paraId="5AAEA720">
      <w:pPr>
        <w:pStyle w:val="3"/>
        <w:spacing w:before="0" w:beforeAutospacing="0" w:after="0" w:afterAutospacing="0" w:line="360" w:lineRule="auto"/>
        <w:ind w:firstLine="420"/>
      </w:pPr>
      <w:r>
        <w:rPr>
          <w:rFonts w:hint="eastAsia"/>
        </w:rPr>
        <w:t>（1）2026年5月11日起，本基金A、C两类份额暂停申购、转换转入、定期定额投资业务期间，其它业务正常办理。本基金恢复A、C两类份额办理申购、转换转入、定期定额投资业务的时间将另行公告。</w:t>
      </w:r>
      <w:r>
        <w:rPr>
          <w:rStyle w:val="7"/>
          <w:rFonts w:hint="eastAsia"/>
        </w:rPr>
        <w:t>如投资者于2026年5月8日15点之后申购、转换转入或定期定额投资上述基金，将适用上述安排，敬请投资者注意。</w:t>
      </w:r>
      <w:bookmarkStart w:id="0" w:name="_GoBack"/>
      <w:bookmarkEnd w:id="0"/>
    </w:p>
    <w:p w14:paraId="1887ECB6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（2）如有疑问，请拨打博时一线通：95105568（免长途话费）或登录本公司网站https://www.bosera.com获取相关信息。 </w:t>
      </w:r>
    </w:p>
    <w:p w14:paraId="4F2BCFAE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3）风险提示：本基金管理人承诺诚实信用地管理和运用基金财产，但不保证基金一定盈利，也不保证最低收益。基金的过往业绩并不代表其未来表现。投资有风险，敬请投资人认真阅读基金的相关法律文件，并选择适合自身风险承受能力的投资品种进行投资。 </w:t>
      </w:r>
    </w:p>
    <w:p w14:paraId="7DBF0CB9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特此公告。 </w:t>
      </w:r>
    </w:p>
    <w:p w14:paraId="7DBFDEB8">
      <w:pPr>
        <w:pStyle w:val="3"/>
        <w:spacing w:before="0" w:beforeAutospacing="0" w:after="0" w:afterAutospacing="0" w:line="360" w:lineRule="auto"/>
        <w:ind w:firstLine="420"/>
      </w:pPr>
    </w:p>
    <w:p w14:paraId="4C4C982D">
      <w:pPr>
        <w:pStyle w:val="3"/>
        <w:spacing w:before="0" w:beforeAutospacing="0" w:after="0" w:afterAutospacing="0" w:line="360" w:lineRule="auto"/>
        <w:ind w:firstLine="420"/>
      </w:pPr>
    </w:p>
    <w:p w14:paraId="64039272">
      <w:pPr>
        <w:pStyle w:val="3"/>
        <w:spacing w:before="0" w:beforeAutospacing="0" w:after="0" w:afterAutospacing="0" w:line="360" w:lineRule="auto"/>
        <w:ind w:firstLine="420"/>
      </w:pPr>
    </w:p>
    <w:p w14:paraId="483FBAC2">
      <w:pPr>
        <w:pStyle w:val="3"/>
        <w:spacing w:before="0" w:beforeAutospacing="0" w:after="0" w:afterAutospacing="0" w:line="360" w:lineRule="auto"/>
        <w:ind w:firstLine="420"/>
        <w:jc w:val="right"/>
        <w:rPr>
          <w:rFonts w:hint="eastAsia"/>
        </w:rPr>
      </w:pPr>
      <w:r>
        <w:rPr>
          <w:rFonts w:hint="eastAsia"/>
        </w:rPr>
        <w:t>博时基金管理有限公司</w:t>
      </w:r>
    </w:p>
    <w:p w14:paraId="62365987">
      <w:pPr>
        <w:pStyle w:val="3"/>
        <w:spacing w:before="0" w:beforeAutospacing="0" w:after="0" w:afterAutospacing="0" w:line="360" w:lineRule="auto"/>
        <w:ind w:firstLine="420"/>
        <w:jc w:val="right"/>
      </w:pPr>
      <w:r>
        <w:t>2026年5月8日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278"/>
    <w:rsid w:val="00106022"/>
    <w:rsid w:val="00894278"/>
    <w:rsid w:val="18C12093"/>
    <w:rsid w:val="56852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8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5">
    <w:name w:val="Table Grid"/>
    <w:basedOn w:val="4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22"/>
    <w:rPr>
      <w:b/>
      <w:bCs/>
    </w:rPr>
  </w:style>
  <w:style w:type="character" w:customStyle="1" w:styleId="8">
    <w:name w:val="标题 3 Char"/>
    <w:basedOn w:val="6"/>
    <w:link w:val="2"/>
    <w:uiPriority w:val="9"/>
    <w:rPr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mycompany</Company>
  <Pages>2</Pages>
  <Words>140</Words>
  <Characters>801</Characters>
  <Lines>6</Lines>
  <Paragraphs>1</Paragraphs>
  <TotalTime>1</TotalTime>
  <ScaleCrop>false</ScaleCrop>
  <LinksUpToDate>false</LinksUpToDate>
  <CharactersWithSpaces>940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2026-05-07T01:00:00Z</dcterms:created>
  <dc:creator>BSKMadminDev</dc:creator>
  <cp:lastModifiedBy>panan</cp:lastModifiedBy>
  <dcterms:modified xsi:type="dcterms:W3CDTF">2026-05-07T01:06:42Z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0A9C8211BE5E4F0A8DE82C36E990B61D_13</vt:lpwstr>
  </property>
</Properties>
</file>