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705D64">
      <w:pPr>
        <w:jc w:val="center"/>
        <w:rPr>
          <w:rFonts w:ascii="Times New Roman" w:hAnsi="Times New Roman" w:eastAsia="宋体" w:cs="Times New Roman"/>
          <w:b/>
          <w:sz w:val="30"/>
          <w:szCs w:val="30"/>
        </w:rPr>
      </w:pPr>
      <w:r>
        <w:rPr>
          <w:rFonts w:ascii="Times New Roman" w:hAnsi="Times New Roman" w:eastAsia="宋体" w:cs="Times New Roman"/>
          <w:b/>
          <w:sz w:val="30"/>
          <w:szCs w:val="30"/>
        </w:rPr>
        <w:t>关于</w:t>
      </w:r>
      <w:r>
        <w:rPr>
          <w:rFonts w:hint="eastAsia" w:ascii="Times New Roman" w:hAnsi="Times New Roman" w:eastAsia="宋体" w:cs="Times New Roman"/>
          <w:b/>
          <w:sz w:val="30"/>
          <w:szCs w:val="30"/>
          <w:lang w:eastAsia="zh-CN"/>
        </w:rPr>
        <w:t>博时安仁一年定期开放债券型发起式证券投资基金</w:t>
      </w:r>
      <w:r>
        <w:rPr>
          <w:rFonts w:ascii="Times New Roman" w:hAnsi="Times New Roman" w:eastAsia="宋体" w:cs="Times New Roman"/>
          <w:b/>
          <w:sz w:val="30"/>
          <w:szCs w:val="30"/>
        </w:rPr>
        <w:t>基金合同终止的公告</w:t>
      </w:r>
    </w:p>
    <w:p w14:paraId="06797D18">
      <w:pPr>
        <w:rPr>
          <w:rFonts w:ascii="Times New Roman" w:hAnsi="Times New Roman" w:eastAsia="宋体" w:cs="Times New Roman"/>
        </w:rPr>
      </w:pPr>
    </w:p>
    <w:p w14:paraId="14BDF173">
      <w:pPr>
        <w:autoSpaceDE w:val="0"/>
        <w:autoSpaceDN w:val="0"/>
        <w:adjustRightInd w:val="0"/>
        <w:spacing w:line="360" w:lineRule="auto"/>
        <w:ind w:firstLine="480"/>
        <w:jc w:val="left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根据《中华人民共和国证券投资基金法》、《公开募集证券投资基金运作管理办法》、《</w:t>
      </w:r>
      <w:r>
        <w:rPr>
          <w:rFonts w:hint="eastAsia" w:ascii="Times New Roman" w:hAnsi="Times New Roman" w:cs="Times New Roman"/>
          <w:szCs w:val="21"/>
          <w:lang w:eastAsia="zh-CN"/>
        </w:rPr>
        <w:t>博时安仁一年定期开放债券型发起式证券投资基金</w:t>
      </w:r>
      <w:r>
        <w:rPr>
          <w:rFonts w:ascii="Times New Roman" w:hAnsi="Times New Roman" w:cs="Times New Roman"/>
          <w:szCs w:val="21"/>
        </w:rPr>
        <w:t>基金合同》（以下简称“《基金合同》”）的有关规定，</w:t>
      </w:r>
      <w:r>
        <w:rPr>
          <w:rFonts w:hint="eastAsia" w:ascii="Times New Roman" w:hAnsi="Times New Roman" w:cs="Times New Roman"/>
          <w:szCs w:val="21"/>
          <w:lang w:eastAsia="zh-CN"/>
        </w:rPr>
        <w:t>博时安仁一年定期开放债券型发起式证券投资基金</w:t>
      </w:r>
      <w:r>
        <w:rPr>
          <w:rFonts w:ascii="Times New Roman" w:hAnsi="Times New Roman" w:cs="Times New Roman"/>
          <w:szCs w:val="21"/>
        </w:rPr>
        <w:t>（以下简称“本基金”）出现法律法规以及《基金合同》规定的终止事由。本基金管理人博时基金管理有限公司（以下简称“本公司”）已依法对基金财产进行清算。现将相关事项公告如下:</w:t>
      </w:r>
    </w:p>
    <w:p w14:paraId="3102AFE3">
      <w:pPr>
        <w:pStyle w:val="1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本基金基本信息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0"/>
        <w:gridCol w:w="2841"/>
        <w:gridCol w:w="2841"/>
      </w:tblGrid>
      <w:tr w14:paraId="56F9A9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Align w:val="center"/>
          </w:tcPr>
          <w:p w14:paraId="10A4C4AA">
            <w:pPr>
              <w:rPr>
                <w:rFonts w:ascii="宋体" w:hAnsi="宋体" w:eastAsia="宋体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/>
              </w:rPr>
              <w:t>基金名称</w:t>
            </w:r>
          </w:p>
        </w:tc>
        <w:tc>
          <w:tcPr>
            <w:tcW w:w="5682" w:type="dxa"/>
            <w:gridSpan w:val="2"/>
            <w:vAlign w:val="center"/>
          </w:tcPr>
          <w:p w14:paraId="000043DB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博时安仁一年定期开放债券型发起式证券投资基金</w:t>
            </w:r>
          </w:p>
        </w:tc>
      </w:tr>
      <w:tr w14:paraId="59D760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Align w:val="center"/>
          </w:tcPr>
          <w:p w14:paraId="00F6278F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基金简称</w:t>
            </w:r>
          </w:p>
        </w:tc>
        <w:tc>
          <w:tcPr>
            <w:tcW w:w="5682" w:type="dxa"/>
            <w:gridSpan w:val="2"/>
            <w:vAlign w:val="center"/>
          </w:tcPr>
          <w:p w14:paraId="1ED52DBC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博时安仁一年定开债发起式</w:t>
            </w:r>
          </w:p>
        </w:tc>
      </w:tr>
      <w:tr w14:paraId="622C87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Align w:val="center"/>
          </w:tcPr>
          <w:p w14:paraId="499F3130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基金主代码</w:t>
            </w:r>
          </w:p>
        </w:tc>
        <w:tc>
          <w:tcPr>
            <w:tcW w:w="5682" w:type="dxa"/>
            <w:gridSpan w:val="2"/>
            <w:vAlign w:val="center"/>
          </w:tcPr>
          <w:p w14:paraId="5587885A">
            <w:pPr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</w:rPr>
              <w:t>002904</w:t>
            </w:r>
          </w:p>
        </w:tc>
      </w:tr>
      <w:tr w14:paraId="417728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Align w:val="center"/>
          </w:tcPr>
          <w:p w14:paraId="4968D713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基金运作方式</w:t>
            </w:r>
          </w:p>
        </w:tc>
        <w:tc>
          <w:tcPr>
            <w:tcW w:w="5682" w:type="dxa"/>
            <w:gridSpan w:val="2"/>
            <w:vAlign w:val="center"/>
          </w:tcPr>
          <w:p w14:paraId="2B40E823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契约型定期开放式</w:t>
            </w:r>
          </w:p>
        </w:tc>
      </w:tr>
      <w:tr w14:paraId="382823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Align w:val="center"/>
          </w:tcPr>
          <w:p w14:paraId="0F625B52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基金合同生效日</w:t>
            </w:r>
          </w:p>
        </w:tc>
        <w:tc>
          <w:tcPr>
            <w:tcW w:w="5682" w:type="dxa"/>
            <w:gridSpan w:val="2"/>
            <w:vAlign w:val="center"/>
          </w:tcPr>
          <w:p w14:paraId="063E61C7">
            <w:pPr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</w:rPr>
              <w:t>2016年6月24日</w:t>
            </w:r>
          </w:p>
        </w:tc>
      </w:tr>
      <w:tr w14:paraId="4E27C2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Align w:val="center"/>
          </w:tcPr>
          <w:p w14:paraId="43B51C75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基金管理人名称</w:t>
            </w:r>
          </w:p>
        </w:tc>
        <w:tc>
          <w:tcPr>
            <w:tcW w:w="5682" w:type="dxa"/>
            <w:gridSpan w:val="2"/>
            <w:vAlign w:val="center"/>
          </w:tcPr>
          <w:p w14:paraId="7A4355C1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博时基金管理有限公司</w:t>
            </w:r>
          </w:p>
        </w:tc>
      </w:tr>
      <w:tr w14:paraId="6B94B9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Align w:val="center"/>
          </w:tcPr>
          <w:p w14:paraId="03B71BCE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基金托管人名称</w:t>
            </w:r>
          </w:p>
        </w:tc>
        <w:tc>
          <w:tcPr>
            <w:tcW w:w="5682" w:type="dxa"/>
            <w:gridSpan w:val="2"/>
            <w:vAlign w:val="center"/>
          </w:tcPr>
          <w:p w14:paraId="14D5858E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中国民生银行股份有限公司</w:t>
            </w:r>
          </w:p>
        </w:tc>
      </w:tr>
      <w:tr w14:paraId="1178B5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Align w:val="center"/>
          </w:tcPr>
          <w:p w14:paraId="71331313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基金注册登记机构名称</w:t>
            </w:r>
          </w:p>
        </w:tc>
        <w:tc>
          <w:tcPr>
            <w:tcW w:w="5682" w:type="dxa"/>
            <w:gridSpan w:val="2"/>
            <w:vAlign w:val="center"/>
          </w:tcPr>
          <w:p w14:paraId="48297341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博时基金管理有限公司</w:t>
            </w:r>
          </w:p>
        </w:tc>
      </w:tr>
      <w:tr w14:paraId="236737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Align w:val="center"/>
          </w:tcPr>
          <w:p w14:paraId="7A3C1EAD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公告依据</w:t>
            </w:r>
          </w:p>
        </w:tc>
        <w:tc>
          <w:tcPr>
            <w:tcW w:w="5682" w:type="dxa"/>
            <w:gridSpan w:val="2"/>
            <w:vAlign w:val="center"/>
          </w:tcPr>
          <w:p w14:paraId="089BF6E7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《中华人民共和国证券投资基金法》、《公开募集证券投资基金运作管理办法》等法律法规以及《博时安仁一年定期开放债券型发起式证券投资基金基金合同》、《博时安仁一年定期开放债券型发起式证券投资基金招募说明书》等</w:t>
            </w:r>
          </w:p>
        </w:tc>
      </w:tr>
      <w:tr w14:paraId="56F91D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Align w:val="center"/>
          </w:tcPr>
          <w:p w14:paraId="14BBAAC0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下属类别基金的基金简称</w:t>
            </w:r>
          </w:p>
        </w:tc>
        <w:tc>
          <w:tcPr>
            <w:tcW w:w="2841" w:type="dxa"/>
            <w:vAlign w:val="center"/>
          </w:tcPr>
          <w:p w14:paraId="7960EB5F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博时安仁一年定开债发起式</w:t>
            </w:r>
            <w:r>
              <w:rPr>
                <w:rFonts w:ascii="宋体" w:hAnsi="宋体" w:eastAsia="宋体"/>
              </w:rPr>
              <w:t>A</w:t>
            </w:r>
          </w:p>
        </w:tc>
        <w:tc>
          <w:tcPr>
            <w:tcW w:w="2841" w:type="dxa"/>
            <w:vAlign w:val="center"/>
          </w:tcPr>
          <w:p w14:paraId="1BD4CAC6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博时安仁一年定开债发起式</w:t>
            </w:r>
            <w:r>
              <w:rPr>
                <w:rFonts w:ascii="宋体" w:hAnsi="宋体" w:eastAsia="宋体"/>
              </w:rPr>
              <w:t>C</w:t>
            </w:r>
          </w:p>
        </w:tc>
      </w:tr>
      <w:tr w14:paraId="167D1C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Align w:val="center"/>
          </w:tcPr>
          <w:p w14:paraId="47F59D12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下属类别基金的交易代码</w:t>
            </w:r>
          </w:p>
        </w:tc>
        <w:tc>
          <w:tcPr>
            <w:tcW w:w="2841" w:type="dxa"/>
            <w:vAlign w:val="center"/>
          </w:tcPr>
          <w:p w14:paraId="2163190E">
            <w:pPr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</w:rPr>
              <w:t>002904</w:t>
            </w:r>
          </w:p>
        </w:tc>
        <w:tc>
          <w:tcPr>
            <w:tcW w:w="2841" w:type="dxa"/>
            <w:vAlign w:val="center"/>
          </w:tcPr>
          <w:p w14:paraId="0FA746F6">
            <w:pPr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</w:rPr>
              <w:t>002905</w:t>
            </w:r>
          </w:p>
        </w:tc>
      </w:tr>
    </w:tbl>
    <w:p w14:paraId="412B30DA">
      <w:pPr>
        <w:widowControl/>
        <w:spacing w:line="360" w:lineRule="auto"/>
        <w:jc w:val="left"/>
        <w:rPr>
          <w:rFonts w:ascii="Times New Roman" w:hAnsi="Times New Roman" w:eastAsia="宋体" w:cs="Times New Roman"/>
          <w:b/>
          <w:kern w:val="0"/>
          <w:szCs w:val="21"/>
        </w:rPr>
      </w:pPr>
    </w:p>
    <w:p w14:paraId="4F7EAF50">
      <w:pPr>
        <w:widowControl/>
        <w:spacing w:line="360" w:lineRule="auto"/>
        <w:ind w:firstLine="422" w:firstLineChars="200"/>
        <w:jc w:val="left"/>
        <w:rPr>
          <w:rFonts w:ascii="Times New Roman" w:hAnsi="Times New Roman" w:eastAsia="宋体" w:cs="Times New Roman"/>
          <w:b/>
          <w:kern w:val="0"/>
          <w:szCs w:val="21"/>
        </w:rPr>
      </w:pPr>
      <w:r>
        <w:rPr>
          <w:rFonts w:ascii="Times New Roman" w:hAnsi="Times New Roman" w:eastAsia="宋体" w:cs="Times New Roman"/>
          <w:b/>
          <w:kern w:val="0"/>
          <w:szCs w:val="21"/>
        </w:rPr>
        <w:t>二、本基金合同的终止时间</w:t>
      </w:r>
    </w:p>
    <w:p w14:paraId="61A81D90">
      <w:pPr>
        <w:widowControl/>
        <w:spacing w:line="360" w:lineRule="auto"/>
        <w:ind w:firstLine="420" w:firstLineChars="200"/>
        <w:rPr>
          <w:rFonts w:ascii="Times New Roman" w:hAnsi="Times New Roman" w:eastAsia="宋体" w:cs="Times New Roman"/>
          <w:kern w:val="0"/>
          <w:szCs w:val="21"/>
        </w:rPr>
      </w:pPr>
      <w:r>
        <w:rPr>
          <w:rFonts w:ascii="Times New Roman" w:hAnsi="Times New Roman" w:eastAsia="宋体" w:cs="Times New Roman"/>
          <w:kern w:val="0"/>
          <w:szCs w:val="21"/>
        </w:rPr>
        <w:t>本基金出现了《基金合同》终止事由后，本公司于</w:t>
      </w:r>
      <w:r>
        <w:rPr>
          <w:rFonts w:ascii="Times New Roman" w:hAnsi="Times New Roman" w:eastAsia="宋体" w:cs="Times New Roman"/>
          <w:bCs/>
          <w:kern w:val="0"/>
          <w:szCs w:val="21"/>
        </w:rPr>
        <w:t>202</w:t>
      </w:r>
      <w:r>
        <w:rPr>
          <w:rFonts w:hint="eastAsia" w:ascii="Times New Roman" w:hAnsi="Times New Roman" w:eastAsia="宋体" w:cs="Times New Roman"/>
          <w:bCs/>
          <w:kern w:val="0"/>
          <w:szCs w:val="21"/>
          <w:lang w:val="en-US" w:eastAsia="zh-CN"/>
        </w:rPr>
        <w:t>6</w:t>
      </w:r>
      <w:r>
        <w:rPr>
          <w:rFonts w:ascii="Times New Roman" w:hAnsi="Times New Roman" w:eastAsia="宋体" w:cs="Times New Roman"/>
          <w:bCs/>
          <w:kern w:val="0"/>
          <w:szCs w:val="21"/>
        </w:rPr>
        <w:t>年</w:t>
      </w:r>
      <w:r>
        <w:rPr>
          <w:rFonts w:hint="eastAsia" w:ascii="Times New Roman" w:hAnsi="Times New Roman" w:eastAsia="宋体" w:cs="Times New Roman"/>
          <w:bCs/>
          <w:kern w:val="0"/>
          <w:szCs w:val="21"/>
          <w:lang w:val="en-US" w:eastAsia="zh-CN"/>
        </w:rPr>
        <w:t>4</w:t>
      </w:r>
      <w:r>
        <w:rPr>
          <w:rFonts w:ascii="Times New Roman" w:hAnsi="Times New Roman" w:eastAsia="宋体" w:cs="Times New Roman"/>
          <w:bCs/>
          <w:kern w:val="0"/>
          <w:szCs w:val="21"/>
        </w:rPr>
        <w:t>月</w:t>
      </w:r>
      <w:r>
        <w:rPr>
          <w:rFonts w:hint="eastAsia" w:ascii="Times New Roman" w:hAnsi="Times New Roman" w:eastAsia="宋体" w:cs="Times New Roman"/>
          <w:bCs/>
          <w:kern w:val="0"/>
          <w:szCs w:val="21"/>
          <w:lang w:val="en-US" w:eastAsia="zh-CN"/>
        </w:rPr>
        <w:t>10</w:t>
      </w:r>
      <w:r>
        <w:rPr>
          <w:rFonts w:ascii="Times New Roman" w:hAnsi="Times New Roman" w:eastAsia="宋体" w:cs="Times New Roman"/>
          <w:bCs/>
          <w:kern w:val="0"/>
          <w:szCs w:val="21"/>
        </w:rPr>
        <w:t>日</w:t>
      </w:r>
      <w:r>
        <w:rPr>
          <w:rFonts w:ascii="Times New Roman" w:hAnsi="Times New Roman" w:eastAsia="宋体" w:cs="Times New Roman"/>
          <w:kern w:val="0"/>
          <w:szCs w:val="21"/>
        </w:rPr>
        <w:t>刊登了《</w:t>
      </w:r>
      <w:r>
        <w:rPr>
          <w:rFonts w:ascii="Times New Roman" w:hAnsi="Times New Roman" w:eastAsia="宋体" w:cs="Times New Roman"/>
          <w:bCs/>
          <w:kern w:val="0"/>
          <w:szCs w:val="21"/>
        </w:rPr>
        <w:t>博时基金管理有限公司关于</w:t>
      </w:r>
      <w:r>
        <w:rPr>
          <w:rFonts w:hint="eastAsia" w:ascii="Times New Roman" w:hAnsi="Times New Roman" w:eastAsia="宋体" w:cs="Times New Roman"/>
          <w:bCs/>
          <w:kern w:val="0"/>
          <w:szCs w:val="21"/>
          <w:lang w:eastAsia="zh-CN"/>
        </w:rPr>
        <w:t>博时安仁一年定期开放债券型发起式证券投资基金</w:t>
      </w:r>
      <w:r>
        <w:rPr>
          <w:rFonts w:hint="eastAsia" w:ascii="Times New Roman" w:hAnsi="Times New Roman" w:eastAsia="宋体" w:cs="Times New Roman"/>
          <w:bCs/>
          <w:kern w:val="0"/>
          <w:szCs w:val="21"/>
        </w:rPr>
        <w:t>基金</w:t>
      </w:r>
      <w:r>
        <w:rPr>
          <w:rFonts w:ascii="Times New Roman" w:hAnsi="Times New Roman" w:eastAsia="宋体" w:cs="Times New Roman"/>
          <w:bCs/>
          <w:kern w:val="0"/>
          <w:szCs w:val="21"/>
        </w:rPr>
        <w:t>合同终止及基金财产清算的公告</w:t>
      </w:r>
      <w:r>
        <w:rPr>
          <w:rFonts w:ascii="Times New Roman" w:hAnsi="Times New Roman" w:eastAsia="宋体" w:cs="Times New Roman"/>
          <w:kern w:val="0"/>
          <w:szCs w:val="21"/>
        </w:rPr>
        <w:t>》，并组织本基金托管人</w:t>
      </w:r>
      <w:r>
        <w:rPr>
          <w:rFonts w:hint="eastAsia" w:ascii="Times New Roman" w:hAnsi="Times New Roman" w:eastAsia="宋体" w:cs="Times New Roman"/>
          <w:kern w:val="0"/>
          <w:szCs w:val="21"/>
          <w:lang w:val="en-US" w:eastAsia="zh-CN"/>
        </w:rPr>
        <w:t>中国民生银行</w:t>
      </w:r>
      <w:r>
        <w:rPr>
          <w:rFonts w:hint="eastAsia" w:ascii="宋体" w:hAnsi="宋体" w:eastAsia="宋体"/>
        </w:rPr>
        <w:t>股份有限公司</w:t>
      </w:r>
      <w:r>
        <w:rPr>
          <w:rFonts w:ascii="Times New Roman" w:hAnsi="Times New Roman" w:eastAsia="宋体" w:cs="Times New Roman"/>
          <w:kern w:val="0"/>
          <w:szCs w:val="21"/>
        </w:rPr>
        <w:t>、</w:t>
      </w:r>
      <w:r>
        <w:rPr>
          <w:rFonts w:hint="default" w:ascii="Times New Roman" w:hAnsi="Times New Roman" w:eastAsia="宋体" w:cs="Times New Roman"/>
          <w:kern w:val="0"/>
          <w:sz w:val="21"/>
          <w:szCs w:val="21"/>
          <w:shd w:val="clear"/>
          <w:lang w:val="en-US" w:eastAsia="zh-CN"/>
        </w:rPr>
        <w:t>容诚</w:t>
      </w:r>
      <w:r>
        <w:rPr>
          <w:rFonts w:hint="default" w:ascii="Times New Roman" w:hAnsi="Times New Roman" w:eastAsia="宋体" w:cs="Times New Roman"/>
          <w:kern w:val="0"/>
          <w:sz w:val="21"/>
          <w:szCs w:val="21"/>
          <w:shd w:val="clear"/>
        </w:rPr>
        <w:t>会计师事务所</w:t>
      </w:r>
      <w:r>
        <w:rPr>
          <w:rFonts w:hint="default" w:ascii="Times New Roman" w:hAnsi="Times New Roman" w:eastAsia="宋体" w:cs="Times New Roman"/>
          <w:kern w:val="0"/>
          <w:sz w:val="21"/>
          <w:szCs w:val="21"/>
          <w:shd w:val="clear"/>
          <w:lang w:eastAsia="zh-CN"/>
        </w:rPr>
        <w:t>（</w:t>
      </w:r>
      <w:r>
        <w:rPr>
          <w:rFonts w:hint="default" w:ascii="Times New Roman" w:hAnsi="Times New Roman" w:eastAsia="宋体" w:cs="Times New Roman"/>
          <w:kern w:val="0"/>
          <w:sz w:val="21"/>
          <w:szCs w:val="21"/>
          <w:shd w:val="clear"/>
          <w:lang w:val="en-US" w:eastAsia="zh-CN"/>
        </w:rPr>
        <w:t>特殊普通合伙</w:t>
      </w:r>
      <w:r>
        <w:rPr>
          <w:rFonts w:hint="default" w:ascii="Times New Roman" w:hAnsi="Times New Roman" w:eastAsia="宋体" w:cs="Times New Roman"/>
          <w:kern w:val="0"/>
          <w:sz w:val="21"/>
          <w:szCs w:val="21"/>
          <w:shd w:val="clear"/>
          <w:lang w:eastAsia="zh-CN"/>
        </w:rPr>
        <w:t>）</w:t>
      </w:r>
      <w:r>
        <w:rPr>
          <w:rFonts w:ascii="Times New Roman" w:hAnsi="Times New Roman" w:eastAsia="宋体" w:cs="Times New Roman"/>
          <w:kern w:val="0"/>
          <w:szCs w:val="21"/>
        </w:rPr>
        <w:t>和上海源泰律师事务所成立基金财产清算小组，对基金财产进行了清算。</w:t>
      </w:r>
    </w:p>
    <w:p w14:paraId="1E2C9FFD">
      <w:pPr>
        <w:widowControl/>
        <w:spacing w:line="360" w:lineRule="auto"/>
        <w:ind w:firstLine="420" w:firstLineChars="200"/>
        <w:rPr>
          <w:rFonts w:ascii="Times New Roman" w:hAnsi="Times New Roman" w:eastAsia="宋体" w:cs="Times New Roman"/>
          <w:kern w:val="0"/>
          <w:szCs w:val="21"/>
        </w:rPr>
      </w:pPr>
      <w:r>
        <w:rPr>
          <w:rFonts w:ascii="Times New Roman" w:hAnsi="Times New Roman" w:eastAsia="宋体" w:cs="Times New Roman"/>
          <w:kern w:val="0"/>
          <w:szCs w:val="21"/>
        </w:rPr>
        <w:t>根据《中华人民共和国证券投资基金法》、《公开募集证券投资基金运作管理办法》、《</w:t>
      </w:r>
      <w:r>
        <w:rPr>
          <w:rFonts w:hint="eastAsia" w:ascii="Times New Roman" w:hAnsi="Times New Roman" w:eastAsia="宋体" w:cs="Times New Roman"/>
          <w:kern w:val="0"/>
          <w:szCs w:val="21"/>
          <w:lang w:eastAsia="zh-CN"/>
        </w:rPr>
        <w:t>博时安仁一年定期开放债券型发起式证券投资基金</w:t>
      </w:r>
      <w:r>
        <w:rPr>
          <w:rFonts w:ascii="Times New Roman" w:hAnsi="Times New Roman" w:eastAsia="宋体" w:cs="Times New Roman"/>
          <w:kern w:val="0"/>
          <w:szCs w:val="21"/>
        </w:rPr>
        <w:t>基金合同》的有关规定，《</w:t>
      </w:r>
      <w:r>
        <w:rPr>
          <w:rFonts w:hint="eastAsia" w:ascii="Times New Roman" w:hAnsi="Times New Roman" w:eastAsia="宋体" w:cs="Times New Roman"/>
          <w:kern w:val="0"/>
          <w:szCs w:val="21"/>
          <w:lang w:eastAsia="zh-CN"/>
        </w:rPr>
        <w:t>博时安仁一年定期开放债券型发起式证券投资基金</w:t>
      </w:r>
      <w:r>
        <w:rPr>
          <w:rFonts w:ascii="Times New Roman" w:hAnsi="Times New Roman" w:eastAsia="宋体" w:cs="Times New Roman"/>
          <w:kern w:val="0"/>
          <w:szCs w:val="21"/>
        </w:rPr>
        <w:t>基金合同》自本公告发布之日起终止。</w:t>
      </w:r>
    </w:p>
    <w:p w14:paraId="6C8AB1AA">
      <w:pPr>
        <w:widowControl/>
        <w:spacing w:line="360" w:lineRule="auto"/>
        <w:ind w:firstLine="420" w:firstLineChars="200"/>
        <w:rPr>
          <w:rFonts w:ascii="Times New Roman" w:hAnsi="Times New Roman" w:eastAsia="宋体" w:cs="Times New Roman"/>
          <w:kern w:val="0"/>
          <w:szCs w:val="21"/>
        </w:rPr>
      </w:pPr>
    </w:p>
    <w:p w14:paraId="66F25267">
      <w:pPr>
        <w:pStyle w:val="14"/>
        <w:spacing w:line="360" w:lineRule="auto"/>
        <w:ind w:firstLine="422" w:firstLineChars="200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三、备查文件</w:t>
      </w:r>
    </w:p>
    <w:p w14:paraId="2DD4A7CD">
      <w:pPr>
        <w:pStyle w:val="14"/>
        <w:spacing w:line="360" w:lineRule="auto"/>
        <w:ind w:firstLine="420" w:firstLineChars="200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1、《</w:t>
      </w:r>
      <w:r>
        <w:rPr>
          <w:rFonts w:hint="eastAsia" w:ascii="Times New Roman" w:hAnsi="Times New Roman" w:cs="Times New Roman"/>
          <w:sz w:val="21"/>
          <w:szCs w:val="21"/>
          <w:lang w:eastAsia="zh-CN"/>
        </w:rPr>
        <w:t>博时安仁一年定期开放债券型发起式证券投资基金</w:t>
      </w:r>
      <w:r>
        <w:rPr>
          <w:rFonts w:ascii="Times New Roman" w:hAnsi="Times New Roman" w:cs="Times New Roman"/>
          <w:sz w:val="21"/>
          <w:szCs w:val="21"/>
        </w:rPr>
        <w:t>基金合同》</w:t>
      </w:r>
    </w:p>
    <w:p w14:paraId="2A61FD8D">
      <w:pPr>
        <w:pStyle w:val="14"/>
        <w:spacing w:line="360" w:lineRule="auto"/>
        <w:ind w:firstLine="420" w:firstLineChars="200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2、《博时基金管理有限公司关于</w:t>
      </w:r>
      <w:r>
        <w:rPr>
          <w:rFonts w:hint="eastAsia" w:ascii="Times New Roman" w:hAnsi="Times New Roman" w:cs="Times New Roman"/>
          <w:sz w:val="21"/>
          <w:szCs w:val="21"/>
          <w:lang w:eastAsia="zh-CN"/>
        </w:rPr>
        <w:t>博时安仁一年定期开放债券型发起式证券投资基金</w:t>
      </w:r>
      <w:r>
        <w:rPr>
          <w:rFonts w:hint="eastAsia" w:ascii="Times New Roman" w:hAnsi="Times New Roman" w:cs="Times New Roman"/>
          <w:sz w:val="21"/>
          <w:szCs w:val="21"/>
        </w:rPr>
        <w:t>基金</w:t>
      </w:r>
      <w:r>
        <w:rPr>
          <w:rFonts w:ascii="Times New Roman" w:hAnsi="Times New Roman" w:cs="Times New Roman"/>
          <w:sz w:val="21"/>
          <w:szCs w:val="21"/>
        </w:rPr>
        <w:t>合同终止及基金财产清算的公告》</w:t>
      </w:r>
    </w:p>
    <w:p w14:paraId="0F21A02E">
      <w:pPr>
        <w:pStyle w:val="14"/>
        <w:spacing w:line="360" w:lineRule="auto"/>
        <w:ind w:firstLine="420" w:firstLineChars="200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3、《</w:t>
      </w:r>
      <w:r>
        <w:rPr>
          <w:rFonts w:hint="eastAsia" w:ascii="Times New Roman" w:hAnsi="Times New Roman" w:cs="Times New Roman"/>
          <w:sz w:val="21"/>
          <w:szCs w:val="21"/>
          <w:lang w:eastAsia="zh-CN"/>
        </w:rPr>
        <w:t>博时安仁一年定期开放债券型发起式证券投资基金</w:t>
      </w:r>
      <w:r>
        <w:rPr>
          <w:rFonts w:ascii="Times New Roman" w:hAnsi="Times New Roman" w:cs="Times New Roman"/>
          <w:sz w:val="21"/>
          <w:szCs w:val="21"/>
        </w:rPr>
        <w:t>清算报告》</w:t>
      </w:r>
    </w:p>
    <w:p w14:paraId="2AFC5DCE">
      <w:pPr>
        <w:pStyle w:val="14"/>
        <w:spacing w:line="360" w:lineRule="auto"/>
        <w:ind w:firstLine="420" w:firstLineChars="200"/>
        <w:rPr>
          <w:rFonts w:ascii="Times New Roman" w:hAnsi="Times New Roman" w:cs="Times New Roman"/>
          <w:sz w:val="21"/>
          <w:szCs w:val="21"/>
          <w:highlight w:val="none"/>
        </w:rPr>
      </w:pPr>
      <w:r>
        <w:rPr>
          <w:rFonts w:ascii="Times New Roman" w:hAnsi="Times New Roman" w:cs="Times New Roman"/>
          <w:sz w:val="21"/>
          <w:szCs w:val="21"/>
          <w:highlight w:val="none"/>
        </w:rPr>
        <w:t>4、《</w:t>
      </w:r>
      <w:r>
        <w:rPr>
          <w:rFonts w:hint="eastAsia" w:ascii="Times New Roman" w:hAnsi="Times New Roman" w:cs="Times New Roman"/>
          <w:sz w:val="21"/>
          <w:szCs w:val="21"/>
          <w:highlight w:val="none"/>
          <w:lang w:eastAsia="zh-CN"/>
        </w:rPr>
        <w:t>博时安仁一年定期开放债券型发起式证券投资基金</w:t>
      </w:r>
      <w:r>
        <w:rPr>
          <w:rFonts w:ascii="Times New Roman" w:hAnsi="Times New Roman" w:cs="Times New Roman"/>
          <w:sz w:val="21"/>
          <w:szCs w:val="21"/>
          <w:highlight w:val="none"/>
        </w:rPr>
        <w:t>审计报告》</w:t>
      </w:r>
    </w:p>
    <w:p w14:paraId="6599B75C">
      <w:pPr>
        <w:pStyle w:val="14"/>
        <w:spacing w:line="360" w:lineRule="auto"/>
        <w:ind w:firstLine="420" w:firstLineChars="200"/>
        <w:rPr>
          <w:rFonts w:ascii="Times New Roman" w:hAnsi="Times New Roman" w:cs="Times New Roman"/>
          <w:sz w:val="21"/>
          <w:szCs w:val="21"/>
          <w:highlight w:val="none"/>
        </w:rPr>
      </w:pPr>
      <w:r>
        <w:rPr>
          <w:rFonts w:ascii="Times New Roman" w:hAnsi="Times New Roman" w:cs="Times New Roman"/>
          <w:sz w:val="21"/>
          <w:szCs w:val="21"/>
          <w:highlight w:val="none"/>
        </w:rPr>
        <w:t>5、</w:t>
      </w:r>
      <w:r>
        <w:rPr>
          <w:rFonts w:hint="eastAsia" w:ascii="Times New Roman" w:hAnsi="Times New Roman" w:cs="Times New Roman"/>
          <w:sz w:val="21"/>
          <w:szCs w:val="21"/>
          <w:highlight w:val="none"/>
        </w:rPr>
        <w:t>《上海源泰律师事务所关于</w:t>
      </w:r>
      <w:r>
        <w:rPr>
          <w:rFonts w:hint="eastAsia" w:ascii="Times New Roman" w:hAnsi="Times New Roman" w:cs="Times New Roman"/>
          <w:sz w:val="21"/>
          <w:szCs w:val="21"/>
          <w:highlight w:val="none"/>
          <w:lang w:eastAsia="zh-CN"/>
        </w:rPr>
        <w:t>博时安仁一年定期开放债券型发起式证券投资基金</w:t>
      </w:r>
      <w:r>
        <w:rPr>
          <w:rFonts w:hint="eastAsia" w:ascii="Times New Roman" w:hAnsi="Times New Roman" w:cs="Times New Roman"/>
          <w:sz w:val="21"/>
          <w:szCs w:val="21"/>
          <w:highlight w:val="none"/>
        </w:rPr>
        <w:t>清算事宜之法律意见》</w:t>
      </w:r>
    </w:p>
    <w:p w14:paraId="08E653F5">
      <w:pPr>
        <w:pStyle w:val="14"/>
        <w:spacing w:line="360" w:lineRule="auto"/>
        <w:ind w:firstLine="420" w:firstLineChars="200"/>
        <w:rPr>
          <w:rFonts w:ascii="Times New Roman" w:hAnsi="Times New Roman" w:cs="Times New Roman"/>
          <w:sz w:val="21"/>
          <w:szCs w:val="21"/>
        </w:rPr>
      </w:pPr>
    </w:p>
    <w:p w14:paraId="2167DB2D">
      <w:pPr>
        <w:pStyle w:val="14"/>
        <w:spacing w:line="360" w:lineRule="auto"/>
        <w:ind w:firstLine="422" w:firstLineChars="200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四、特别提示</w:t>
      </w:r>
    </w:p>
    <w:p w14:paraId="05B31139">
      <w:pPr>
        <w:pStyle w:val="14"/>
        <w:spacing w:line="360" w:lineRule="auto"/>
        <w:ind w:firstLine="420" w:firstLineChars="200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本公告的解释权归博时基金管理有限公司所有。投资者欲了解详情,可拨打本基金管理人的客户服务电话95105568 (免长途话费)进行咨询。</w:t>
      </w:r>
    </w:p>
    <w:p w14:paraId="2ADDC5B7">
      <w:pPr>
        <w:pStyle w:val="14"/>
        <w:spacing w:line="360" w:lineRule="auto"/>
        <w:ind w:firstLine="420" w:firstLineChars="200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特此公告。 </w:t>
      </w:r>
    </w:p>
    <w:p w14:paraId="364104CF">
      <w:pPr>
        <w:pStyle w:val="14"/>
        <w:spacing w:line="360" w:lineRule="auto"/>
        <w:ind w:firstLine="420" w:firstLineChars="200"/>
        <w:jc w:val="right"/>
        <w:rPr>
          <w:rFonts w:ascii="Times New Roman" w:hAnsi="Times New Roman" w:cs="Times New Roman"/>
          <w:sz w:val="21"/>
          <w:szCs w:val="21"/>
        </w:rPr>
      </w:pPr>
    </w:p>
    <w:p w14:paraId="37375221">
      <w:pPr>
        <w:pStyle w:val="14"/>
        <w:spacing w:line="360" w:lineRule="auto"/>
        <w:ind w:firstLine="420" w:firstLineChars="200"/>
        <w:jc w:val="right"/>
        <w:rPr>
          <w:rFonts w:ascii="Times New Roman" w:hAnsi="Times New Roman" w:cs="Times New Roman"/>
          <w:sz w:val="21"/>
          <w:szCs w:val="21"/>
        </w:rPr>
      </w:pPr>
    </w:p>
    <w:p w14:paraId="2B1B6EE9">
      <w:pPr>
        <w:pStyle w:val="14"/>
        <w:spacing w:line="360" w:lineRule="auto"/>
        <w:ind w:firstLine="420" w:firstLineChars="200"/>
        <w:jc w:val="right"/>
        <w:rPr>
          <w:rFonts w:ascii="Times New Roman" w:hAnsi="Times New Roman" w:cs="Times New Roman"/>
          <w:sz w:val="21"/>
          <w:szCs w:val="21"/>
        </w:rPr>
      </w:pPr>
    </w:p>
    <w:p w14:paraId="32705CF1">
      <w:pPr>
        <w:pStyle w:val="14"/>
        <w:spacing w:line="360" w:lineRule="auto"/>
        <w:ind w:firstLine="420" w:firstLineChars="200"/>
        <w:jc w:val="right"/>
        <w:rPr>
          <w:rFonts w:ascii="Times New Roman" w:hAnsi="Times New Roman" w:cs="Times New Roman"/>
          <w:sz w:val="21"/>
          <w:szCs w:val="21"/>
        </w:rPr>
      </w:pPr>
    </w:p>
    <w:p w14:paraId="05267A5D">
      <w:pPr>
        <w:pStyle w:val="14"/>
        <w:spacing w:line="360" w:lineRule="auto"/>
        <w:ind w:firstLine="420" w:firstLineChars="200"/>
        <w:jc w:val="right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博时基金管理有限公司 </w:t>
      </w:r>
    </w:p>
    <w:p w14:paraId="403536E4">
      <w:pPr>
        <w:wordWrap w:val="0"/>
        <w:spacing w:line="360" w:lineRule="auto"/>
        <w:ind w:firstLine="420" w:firstLineChars="200"/>
        <w:jc w:val="right"/>
        <w:rPr>
          <w:rFonts w:hint="eastAsia" w:ascii="Times New Roman" w:hAnsi="Times New Roman" w:cs="Times New Roman" w:eastAsiaTheme="minorEastAsia"/>
          <w:szCs w:val="21"/>
          <w:lang w:eastAsia="zh-CN"/>
        </w:rPr>
      </w:pPr>
      <w:r>
        <w:rPr>
          <w:rFonts w:ascii="Times New Roman" w:hAnsi="Times New Roman" w:cs="Times New Roman"/>
          <w:szCs w:val="21"/>
        </w:rPr>
        <w:t xml:space="preserve"> </w:t>
      </w:r>
      <w:r>
        <w:rPr>
          <w:rFonts w:hint="eastAsia" w:ascii="Times New Roman" w:hAnsi="Times New Roman" w:cs="Times New Roman"/>
          <w:szCs w:val="21"/>
          <w:lang w:eastAsia="zh-CN"/>
        </w:rPr>
        <w:t>2026年5月23日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A582AB8"/>
    <w:multiLevelType w:val="multilevel"/>
    <w:tmpl w:val="5A582AB8"/>
    <w:lvl w:ilvl="0" w:tentative="0">
      <w:start w:val="1"/>
      <w:numFmt w:val="japaneseCounting"/>
      <w:lvlText w:val="%1、"/>
      <w:lvlJc w:val="left"/>
      <w:pPr>
        <w:ind w:left="878" w:hanging="456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62" w:hanging="420"/>
      </w:pPr>
    </w:lvl>
    <w:lvl w:ilvl="2" w:tentative="0">
      <w:start w:val="1"/>
      <w:numFmt w:val="lowerRoman"/>
      <w:lvlText w:val="%3."/>
      <w:lvlJc w:val="right"/>
      <w:pPr>
        <w:ind w:left="1682" w:hanging="420"/>
      </w:pPr>
    </w:lvl>
    <w:lvl w:ilvl="3" w:tentative="0">
      <w:start w:val="1"/>
      <w:numFmt w:val="decimal"/>
      <w:lvlText w:val="%4."/>
      <w:lvlJc w:val="left"/>
      <w:pPr>
        <w:ind w:left="2102" w:hanging="420"/>
      </w:pPr>
    </w:lvl>
    <w:lvl w:ilvl="4" w:tentative="0">
      <w:start w:val="1"/>
      <w:numFmt w:val="lowerLetter"/>
      <w:lvlText w:val="%5)"/>
      <w:lvlJc w:val="left"/>
      <w:pPr>
        <w:ind w:left="2522" w:hanging="420"/>
      </w:pPr>
    </w:lvl>
    <w:lvl w:ilvl="5" w:tentative="0">
      <w:start w:val="1"/>
      <w:numFmt w:val="lowerRoman"/>
      <w:lvlText w:val="%6."/>
      <w:lvlJc w:val="right"/>
      <w:pPr>
        <w:ind w:left="2942" w:hanging="420"/>
      </w:pPr>
    </w:lvl>
    <w:lvl w:ilvl="6" w:tentative="0">
      <w:start w:val="1"/>
      <w:numFmt w:val="decimal"/>
      <w:lvlText w:val="%7."/>
      <w:lvlJc w:val="left"/>
      <w:pPr>
        <w:ind w:left="3362" w:hanging="420"/>
      </w:pPr>
    </w:lvl>
    <w:lvl w:ilvl="7" w:tentative="0">
      <w:start w:val="1"/>
      <w:numFmt w:val="lowerLetter"/>
      <w:lvlText w:val="%8)"/>
      <w:lvlJc w:val="left"/>
      <w:pPr>
        <w:ind w:left="3782" w:hanging="420"/>
      </w:pPr>
    </w:lvl>
    <w:lvl w:ilvl="8" w:tentative="0">
      <w:start w:val="1"/>
      <w:numFmt w:val="lowerRoman"/>
      <w:lvlText w:val="%9."/>
      <w:lvlJc w:val="right"/>
      <w:pPr>
        <w:ind w:left="4202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B6F"/>
    <w:rsid w:val="00006F04"/>
    <w:rsid w:val="00033F96"/>
    <w:rsid w:val="00066662"/>
    <w:rsid w:val="000C1640"/>
    <w:rsid w:val="00120D3D"/>
    <w:rsid w:val="001E2F9F"/>
    <w:rsid w:val="0021543F"/>
    <w:rsid w:val="00251451"/>
    <w:rsid w:val="002811E1"/>
    <w:rsid w:val="002A7E7C"/>
    <w:rsid w:val="002B5452"/>
    <w:rsid w:val="002C2AA2"/>
    <w:rsid w:val="002E3392"/>
    <w:rsid w:val="003024E8"/>
    <w:rsid w:val="004028DF"/>
    <w:rsid w:val="004811CE"/>
    <w:rsid w:val="004845BA"/>
    <w:rsid w:val="004F4D45"/>
    <w:rsid w:val="00502638"/>
    <w:rsid w:val="0058552D"/>
    <w:rsid w:val="005909A6"/>
    <w:rsid w:val="005D07D5"/>
    <w:rsid w:val="005F599E"/>
    <w:rsid w:val="006F3847"/>
    <w:rsid w:val="006F4E48"/>
    <w:rsid w:val="00793B6F"/>
    <w:rsid w:val="007C4A87"/>
    <w:rsid w:val="007D5332"/>
    <w:rsid w:val="007E02E2"/>
    <w:rsid w:val="008365D0"/>
    <w:rsid w:val="008E756F"/>
    <w:rsid w:val="00933AF0"/>
    <w:rsid w:val="00A32C7C"/>
    <w:rsid w:val="00A71902"/>
    <w:rsid w:val="00AB16AF"/>
    <w:rsid w:val="00AC23CA"/>
    <w:rsid w:val="00B65778"/>
    <w:rsid w:val="00BC6582"/>
    <w:rsid w:val="00C246D6"/>
    <w:rsid w:val="00C27A24"/>
    <w:rsid w:val="00C32446"/>
    <w:rsid w:val="00CA3B90"/>
    <w:rsid w:val="00CC3E5B"/>
    <w:rsid w:val="00CD2F2D"/>
    <w:rsid w:val="00CD40B0"/>
    <w:rsid w:val="00CE414E"/>
    <w:rsid w:val="00D04E0E"/>
    <w:rsid w:val="00D33BDB"/>
    <w:rsid w:val="00D3606B"/>
    <w:rsid w:val="00D650F3"/>
    <w:rsid w:val="00D672C7"/>
    <w:rsid w:val="00D91770"/>
    <w:rsid w:val="00D948B9"/>
    <w:rsid w:val="00D9643A"/>
    <w:rsid w:val="00DA4525"/>
    <w:rsid w:val="00DE497D"/>
    <w:rsid w:val="00E72538"/>
    <w:rsid w:val="00EC029C"/>
    <w:rsid w:val="00EE2F38"/>
    <w:rsid w:val="00EE342A"/>
    <w:rsid w:val="00F154EF"/>
    <w:rsid w:val="00F51C6B"/>
    <w:rsid w:val="00F87F5C"/>
    <w:rsid w:val="00FF5CEF"/>
    <w:rsid w:val="01E54110"/>
    <w:rsid w:val="01EF31AA"/>
    <w:rsid w:val="0716645D"/>
    <w:rsid w:val="078A51B3"/>
    <w:rsid w:val="078F2D05"/>
    <w:rsid w:val="0AEF7740"/>
    <w:rsid w:val="0DDC490B"/>
    <w:rsid w:val="114D39AD"/>
    <w:rsid w:val="1A1A4AE0"/>
    <w:rsid w:val="1D893A7A"/>
    <w:rsid w:val="1ED614DF"/>
    <w:rsid w:val="1F7F013A"/>
    <w:rsid w:val="20746650"/>
    <w:rsid w:val="26F717FF"/>
    <w:rsid w:val="28572281"/>
    <w:rsid w:val="293A46B3"/>
    <w:rsid w:val="293B2135"/>
    <w:rsid w:val="2CEE0AE4"/>
    <w:rsid w:val="2FFF0BCF"/>
    <w:rsid w:val="302D61DA"/>
    <w:rsid w:val="30EA0CAA"/>
    <w:rsid w:val="316558EA"/>
    <w:rsid w:val="36362391"/>
    <w:rsid w:val="36CC24F7"/>
    <w:rsid w:val="38E9112C"/>
    <w:rsid w:val="39200409"/>
    <w:rsid w:val="39CE1AA6"/>
    <w:rsid w:val="3AA239F0"/>
    <w:rsid w:val="3B331FA9"/>
    <w:rsid w:val="3FF22CF9"/>
    <w:rsid w:val="427107E8"/>
    <w:rsid w:val="45EC42C8"/>
    <w:rsid w:val="46E434A7"/>
    <w:rsid w:val="46FA5602"/>
    <w:rsid w:val="48CF52A1"/>
    <w:rsid w:val="49202B06"/>
    <w:rsid w:val="4F817558"/>
    <w:rsid w:val="524D6516"/>
    <w:rsid w:val="52DD1244"/>
    <w:rsid w:val="52F53710"/>
    <w:rsid w:val="5711591F"/>
    <w:rsid w:val="5716066D"/>
    <w:rsid w:val="576963E1"/>
    <w:rsid w:val="585B2F94"/>
    <w:rsid w:val="58B06210"/>
    <w:rsid w:val="58E83DEC"/>
    <w:rsid w:val="59E75F0D"/>
    <w:rsid w:val="5B4C1057"/>
    <w:rsid w:val="5DDE1391"/>
    <w:rsid w:val="663B68C7"/>
    <w:rsid w:val="670C3872"/>
    <w:rsid w:val="696D3286"/>
    <w:rsid w:val="6A813F22"/>
    <w:rsid w:val="6DD92AC5"/>
    <w:rsid w:val="6F1745E4"/>
    <w:rsid w:val="739C5790"/>
    <w:rsid w:val="7DA55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5"/>
    <w:unhideWhenUsed/>
    <w:qFormat/>
    <w:uiPriority w:val="99"/>
    <w:pPr>
      <w:jc w:val="left"/>
    </w:pPr>
  </w:style>
  <w:style w:type="paragraph" w:styleId="3">
    <w:name w:val="Balloon Text"/>
    <w:basedOn w:val="1"/>
    <w:link w:val="17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annotation subject"/>
    <w:basedOn w:val="2"/>
    <w:next w:val="2"/>
    <w:link w:val="16"/>
    <w:semiHidden/>
    <w:unhideWhenUsed/>
    <w:qFormat/>
    <w:uiPriority w:val="99"/>
    <w:rPr>
      <w:b/>
      <w:bCs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Hyperlink"/>
    <w:basedOn w:val="9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11">
    <w:name w:val="annotation reference"/>
    <w:basedOn w:val="9"/>
    <w:semiHidden/>
    <w:unhideWhenUsed/>
    <w:qFormat/>
    <w:uiPriority w:val="99"/>
    <w:rPr>
      <w:sz w:val="21"/>
      <w:szCs w:val="21"/>
    </w:rPr>
  </w:style>
  <w:style w:type="character" w:customStyle="1" w:styleId="12">
    <w:name w:val="页眉 字符"/>
    <w:basedOn w:val="9"/>
    <w:link w:val="5"/>
    <w:qFormat/>
    <w:uiPriority w:val="99"/>
    <w:rPr>
      <w:sz w:val="18"/>
      <w:szCs w:val="18"/>
    </w:rPr>
  </w:style>
  <w:style w:type="character" w:customStyle="1" w:styleId="13">
    <w:name w:val="页脚 字符"/>
    <w:basedOn w:val="9"/>
    <w:link w:val="4"/>
    <w:qFormat/>
    <w:uiPriority w:val="99"/>
    <w:rPr>
      <w:sz w:val="18"/>
      <w:szCs w:val="18"/>
    </w:rPr>
  </w:style>
  <w:style w:type="paragraph" w:customStyle="1" w:styleId="14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eastAsia="宋体" w:cs="宋体" w:hAnsiTheme="minorHAnsi"/>
      <w:color w:val="000000"/>
      <w:sz w:val="24"/>
      <w:szCs w:val="24"/>
      <w:lang w:val="en-US" w:eastAsia="zh-CN" w:bidi="ar-SA"/>
    </w:rPr>
  </w:style>
  <w:style w:type="character" w:customStyle="1" w:styleId="15">
    <w:name w:val="批注文字 字符"/>
    <w:basedOn w:val="9"/>
    <w:link w:val="2"/>
    <w:qFormat/>
    <w:uiPriority w:val="99"/>
    <w:rPr>
      <w:kern w:val="2"/>
      <w:sz w:val="21"/>
      <w:szCs w:val="22"/>
    </w:rPr>
  </w:style>
  <w:style w:type="character" w:customStyle="1" w:styleId="16">
    <w:name w:val="批注主题 字符"/>
    <w:basedOn w:val="15"/>
    <w:link w:val="6"/>
    <w:semiHidden/>
    <w:qFormat/>
    <w:uiPriority w:val="99"/>
    <w:rPr>
      <w:b/>
      <w:bCs/>
      <w:kern w:val="2"/>
      <w:sz w:val="21"/>
      <w:szCs w:val="22"/>
    </w:rPr>
  </w:style>
  <w:style w:type="character" w:customStyle="1" w:styleId="17">
    <w:name w:val="批注框文本 字符"/>
    <w:basedOn w:val="9"/>
    <w:link w:val="3"/>
    <w:semiHidden/>
    <w:qFormat/>
    <w:uiPriority w:val="99"/>
    <w:rPr>
      <w:kern w:val="2"/>
      <w:sz w:val="18"/>
      <w:szCs w:val="18"/>
    </w:rPr>
  </w:style>
  <w:style w:type="paragraph" w:customStyle="1" w:styleId="18">
    <w:name w:val="Revision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customStyle="1" w:styleId="19">
    <w:name w:val="Unresolved Mention"/>
    <w:basedOn w:val="9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0F1083-DC10-4D99-8268-26D436B311B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198</Words>
  <Characters>1129</Characters>
  <Lines>9</Lines>
  <Paragraphs>2</Paragraphs>
  <TotalTime>4</TotalTime>
  <ScaleCrop>false</ScaleCrop>
  <LinksUpToDate>false</LinksUpToDate>
  <CharactersWithSpaces>1325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2018-12-07T09:13:00Z</dcterms:created>
  <dc:creator>汤玲</dc:creator>
  <cp:lastModifiedBy>tangl</cp:lastModifiedBy>
  <dcterms:modified xsi:type="dcterms:W3CDTF">2026-05-22T07:54:29Z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6D4B340039AA44CBAB61B9083CD3D372_13</vt:lpwstr>
  </property>
</Properties>
</file>