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B995C">
      <w:pPr>
        <w:widowControl/>
        <w:autoSpaceDE w:val="0"/>
        <w:autoSpaceDN w:val="0"/>
        <w:spacing w:line="360" w:lineRule="auto"/>
        <w:jc w:val="left"/>
        <w:textAlignment w:val="bottom"/>
        <w:rPr>
          <w:rFonts w:ascii="Arial" w:hAnsi="Arial" w:cs="Arial"/>
          <w:b/>
          <w:color w:val="000000"/>
          <w:sz w:val="24"/>
        </w:rPr>
      </w:pPr>
    </w:p>
    <w:p w14:paraId="0F407B4B">
      <w:pPr>
        <w:widowControl/>
        <w:autoSpaceDE w:val="0"/>
        <w:autoSpaceDN w:val="0"/>
        <w:spacing w:line="360" w:lineRule="auto"/>
        <w:jc w:val="center"/>
        <w:textAlignment w:val="bottom"/>
        <w:rPr>
          <w:rFonts w:ascii="Arial" w:hAnsi="Arial" w:cs="Arial"/>
          <w:b/>
          <w:color w:val="000000"/>
          <w:sz w:val="24"/>
        </w:rPr>
      </w:pPr>
    </w:p>
    <w:p w14:paraId="74FF171B">
      <w:pPr>
        <w:widowControl/>
        <w:autoSpaceDE w:val="0"/>
        <w:autoSpaceDN w:val="0"/>
        <w:spacing w:line="360" w:lineRule="auto"/>
        <w:jc w:val="center"/>
        <w:textAlignment w:val="bottom"/>
        <w:rPr>
          <w:rFonts w:ascii="Arial" w:hAnsi="Arial" w:cs="Arial"/>
          <w:b/>
          <w:color w:val="000000"/>
          <w:sz w:val="24"/>
        </w:rPr>
      </w:pPr>
    </w:p>
    <w:p w14:paraId="2DDB2936">
      <w:pPr>
        <w:spacing w:after="156" w:afterLines="50" w:line="360" w:lineRule="auto"/>
        <w:jc w:val="center"/>
        <w:rPr>
          <w:rFonts w:ascii="Arial" w:hAnsi="Arial" w:cs="Arial"/>
          <w:b/>
          <w:kern w:val="0"/>
          <w:sz w:val="52"/>
          <w:szCs w:val="52"/>
        </w:rPr>
      </w:pPr>
      <w:bookmarkStart w:id="0" w:name="_Toc28524"/>
      <w:bookmarkStart w:id="1" w:name="_Toc13220"/>
      <w:bookmarkStart w:id="2" w:name="_Toc15987771"/>
      <w:bookmarkStart w:id="3" w:name="_Toc10604959"/>
      <w:bookmarkStart w:id="4" w:name="_Toc303149255"/>
      <w:bookmarkStart w:id="5" w:name="_Toc10554386"/>
      <w:bookmarkStart w:id="6" w:name="_Toc314039855"/>
      <w:bookmarkStart w:id="7" w:name="_Toc290284042"/>
      <w:bookmarkStart w:id="8" w:name="_Toc381954569"/>
      <w:bookmarkStart w:id="9" w:name="_Toc382825811"/>
      <w:r>
        <w:rPr>
          <w:rFonts w:hint="eastAsia" w:ascii="Arial" w:hAnsi="Arial" w:cs="Arial"/>
          <w:b/>
          <w:kern w:val="0"/>
          <w:sz w:val="52"/>
          <w:szCs w:val="52"/>
        </w:rPr>
        <w:t>博时恒生港股通红利交易型开放式指数证券投资基金发起式联接基金</w:t>
      </w:r>
      <w:r>
        <w:rPr>
          <w:rFonts w:ascii="Arial" w:hAnsi="Arial" w:cs="Arial"/>
          <w:b/>
          <w:kern w:val="0"/>
          <w:sz w:val="52"/>
          <w:szCs w:val="52"/>
        </w:rPr>
        <w:t>托管协议</w:t>
      </w:r>
      <w:bookmarkEnd w:id="0"/>
      <w:bookmarkEnd w:id="1"/>
    </w:p>
    <w:bookmarkEnd w:id="2"/>
    <w:bookmarkEnd w:id="3"/>
    <w:bookmarkEnd w:id="4"/>
    <w:bookmarkEnd w:id="5"/>
    <w:bookmarkEnd w:id="6"/>
    <w:bookmarkEnd w:id="7"/>
    <w:bookmarkEnd w:id="8"/>
    <w:bookmarkEnd w:id="9"/>
    <w:p w14:paraId="7742A86A">
      <w:pPr>
        <w:tabs>
          <w:tab w:val="left" w:pos="540"/>
        </w:tabs>
        <w:adjustRightInd w:val="0"/>
        <w:snapToGrid w:val="0"/>
        <w:spacing w:line="360" w:lineRule="auto"/>
        <w:ind w:firstLine="480" w:firstLineChars="200"/>
        <w:jc w:val="center"/>
        <w:rPr>
          <w:rFonts w:ascii="Arial" w:hAnsi="Arial" w:eastAsia="仿宋_GB2312" w:cs="Arial"/>
          <w:sz w:val="24"/>
        </w:rPr>
      </w:pPr>
    </w:p>
    <w:p w14:paraId="69641981">
      <w:pPr>
        <w:tabs>
          <w:tab w:val="left" w:pos="540"/>
        </w:tabs>
        <w:adjustRightInd w:val="0"/>
        <w:snapToGrid w:val="0"/>
        <w:spacing w:line="360" w:lineRule="auto"/>
        <w:ind w:firstLine="480" w:firstLineChars="200"/>
        <w:jc w:val="center"/>
        <w:rPr>
          <w:rFonts w:ascii="Arial" w:hAnsi="Arial" w:eastAsia="仿宋_GB2312" w:cs="Arial"/>
          <w:sz w:val="24"/>
        </w:rPr>
      </w:pPr>
    </w:p>
    <w:p w14:paraId="7A42F542">
      <w:pPr>
        <w:tabs>
          <w:tab w:val="left" w:pos="540"/>
        </w:tabs>
        <w:adjustRightInd w:val="0"/>
        <w:snapToGrid w:val="0"/>
        <w:spacing w:line="360" w:lineRule="auto"/>
        <w:ind w:firstLine="480" w:firstLineChars="200"/>
        <w:jc w:val="center"/>
        <w:rPr>
          <w:rFonts w:ascii="Arial" w:hAnsi="Arial" w:eastAsia="仿宋_GB2312" w:cs="Arial"/>
          <w:sz w:val="24"/>
        </w:rPr>
      </w:pPr>
    </w:p>
    <w:p w14:paraId="23B665A5">
      <w:pPr>
        <w:tabs>
          <w:tab w:val="left" w:pos="540"/>
        </w:tabs>
        <w:adjustRightInd w:val="0"/>
        <w:snapToGrid w:val="0"/>
        <w:spacing w:line="360" w:lineRule="auto"/>
        <w:ind w:firstLine="480" w:firstLineChars="200"/>
        <w:jc w:val="center"/>
        <w:rPr>
          <w:rFonts w:ascii="Arial" w:hAnsi="Arial" w:eastAsia="仿宋_GB2312" w:cs="Arial"/>
          <w:sz w:val="24"/>
        </w:rPr>
      </w:pPr>
    </w:p>
    <w:p w14:paraId="6F4DD632">
      <w:pPr>
        <w:tabs>
          <w:tab w:val="left" w:pos="540"/>
        </w:tabs>
        <w:adjustRightInd w:val="0"/>
        <w:snapToGrid w:val="0"/>
        <w:spacing w:line="360" w:lineRule="auto"/>
        <w:ind w:firstLine="480" w:firstLineChars="200"/>
        <w:jc w:val="center"/>
        <w:rPr>
          <w:rFonts w:ascii="Arial" w:hAnsi="Arial" w:eastAsia="仿宋_GB2312" w:cs="Arial"/>
          <w:sz w:val="24"/>
        </w:rPr>
      </w:pPr>
    </w:p>
    <w:p w14:paraId="19515FBF">
      <w:pPr>
        <w:tabs>
          <w:tab w:val="left" w:pos="540"/>
        </w:tabs>
        <w:adjustRightInd w:val="0"/>
        <w:snapToGrid w:val="0"/>
        <w:spacing w:line="360" w:lineRule="auto"/>
        <w:rPr>
          <w:rFonts w:ascii="Arial" w:hAnsi="Arial" w:eastAsia="仿宋_GB2312" w:cs="Arial"/>
          <w:sz w:val="24"/>
        </w:rPr>
      </w:pPr>
    </w:p>
    <w:p w14:paraId="3DC4A17B">
      <w:pPr>
        <w:tabs>
          <w:tab w:val="left" w:pos="0"/>
        </w:tabs>
        <w:adjustRightInd w:val="0"/>
        <w:snapToGrid w:val="0"/>
        <w:spacing w:line="360" w:lineRule="auto"/>
        <w:jc w:val="center"/>
        <w:rPr>
          <w:rFonts w:ascii="Arial" w:hAnsi="Arial" w:cs="Arial"/>
          <w:b/>
          <w:sz w:val="36"/>
          <w:szCs w:val="36"/>
        </w:rPr>
      </w:pPr>
      <w:r>
        <w:rPr>
          <w:rFonts w:ascii="Arial" w:hAnsi="Arial" w:cs="Arial"/>
          <w:b/>
          <w:sz w:val="36"/>
          <w:szCs w:val="36"/>
        </w:rPr>
        <w:t>基金管理人：</w:t>
      </w:r>
      <w:r>
        <w:rPr>
          <w:rFonts w:hint="eastAsia" w:ascii="Arial" w:hAnsi="Arial" w:cs="Arial"/>
          <w:b/>
          <w:sz w:val="36"/>
          <w:szCs w:val="36"/>
        </w:rPr>
        <w:t>博时基金管理有限公司</w:t>
      </w:r>
    </w:p>
    <w:p w14:paraId="5BDCDAFA">
      <w:pPr>
        <w:tabs>
          <w:tab w:val="left" w:pos="0"/>
        </w:tabs>
        <w:adjustRightInd w:val="0"/>
        <w:snapToGrid w:val="0"/>
        <w:spacing w:line="360" w:lineRule="auto"/>
        <w:jc w:val="center"/>
        <w:rPr>
          <w:rFonts w:ascii="Arial" w:hAnsi="Arial" w:cs="Arial"/>
          <w:b/>
          <w:sz w:val="36"/>
          <w:szCs w:val="36"/>
        </w:rPr>
      </w:pPr>
      <w:r>
        <w:rPr>
          <w:rFonts w:ascii="Arial" w:hAnsi="Arial" w:cs="Arial"/>
          <w:b/>
          <w:sz w:val="36"/>
          <w:szCs w:val="36"/>
        </w:rPr>
        <w:t>基金托管人：中国国际金融股份有限公司</w:t>
      </w:r>
    </w:p>
    <w:p w14:paraId="1F1CA1F9">
      <w:pPr>
        <w:jc w:val="center"/>
        <w:rPr>
          <w:rFonts w:ascii="Arial" w:hAnsi="Arial" w:cs="Arial"/>
          <w:b/>
          <w:bCs/>
          <w:sz w:val="30"/>
        </w:rPr>
      </w:pPr>
    </w:p>
    <w:p w14:paraId="3C31411B">
      <w:pPr>
        <w:jc w:val="center"/>
        <w:rPr>
          <w:rFonts w:ascii="Arial" w:hAnsi="Arial" w:eastAsia="仿宋" w:cs="Arial"/>
          <w:b/>
          <w:bCs/>
          <w:sz w:val="28"/>
          <w:szCs w:val="28"/>
        </w:rPr>
      </w:pPr>
      <w:r>
        <w:rPr>
          <w:rFonts w:ascii="Arial" w:hAnsi="Arial" w:cs="Arial"/>
          <w:b/>
          <w:bCs/>
          <w:sz w:val="30"/>
        </w:rPr>
        <w:t>二零</w:t>
      </w:r>
      <w:r>
        <w:rPr>
          <w:rFonts w:hint="eastAsia" w:ascii="Arial" w:hAnsi="Arial" w:cs="Arial"/>
          <w:b/>
          <w:bCs/>
          <w:sz w:val="30"/>
        </w:rPr>
        <w:t>二六</w:t>
      </w:r>
      <w:r>
        <w:rPr>
          <w:rFonts w:ascii="Arial" w:hAnsi="Arial" w:cs="Arial"/>
          <w:b/>
          <w:bCs/>
          <w:sz w:val="30"/>
        </w:rPr>
        <w:t>年</w:t>
      </w:r>
      <w:r>
        <w:rPr>
          <w:rFonts w:hint="eastAsia" w:ascii="Arial" w:hAnsi="Arial" w:cs="Arial"/>
          <w:b/>
          <w:bCs/>
          <w:sz w:val="30"/>
        </w:rPr>
        <w:t>九</w:t>
      </w:r>
      <w:r>
        <w:rPr>
          <w:rFonts w:ascii="Arial" w:hAnsi="Arial" w:cs="Arial"/>
          <w:b/>
          <w:bCs/>
          <w:sz w:val="30"/>
        </w:rPr>
        <w:t>月</w:t>
      </w:r>
    </w:p>
    <w:p w14:paraId="3F4ECBC3">
      <w:pPr>
        <w:tabs>
          <w:tab w:val="left" w:pos="540"/>
        </w:tabs>
        <w:adjustRightInd w:val="0"/>
        <w:snapToGrid w:val="0"/>
        <w:spacing w:line="360" w:lineRule="auto"/>
        <w:ind w:firstLine="480" w:firstLineChars="200"/>
        <w:jc w:val="center"/>
        <w:rPr>
          <w:rFonts w:ascii="Arial" w:hAnsi="Arial" w:eastAsia="仿宋_GB2312" w:cs="Arial"/>
          <w:sz w:val="24"/>
        </w:rPr>
      </w:pPr>
    </w:p>
    <w:p w14:paraId="62493079">
      <w:pPr>
        <w:pStyle w:val="19"/>
        <w:tabs>
          <w:tab w:val="right" w:leader="dot" w:pos="8296"/>
        </w:tabs>
        <w:jc w:val="center"/>
        <w:rPr>
          <w:rFonts w:ascii="Arial" w:hAnsi="Arial" w:cs="Arial"/>
          <w:color w:val="000000"/>
          <w:sz w:val="24"/>
          <w:lang w:val="zh-CN"/>
        </w:rPr>
      </w:pPr>
      <w:r>
        <w:rPr>
          <w:rFonts w:ascii="Arial" w:hAnsi="Arial" w:eastAsia="仿宋_GB2312" w:cs="Arial"/>
          <w:sz w:val="24"/>
        </w:rPr>
        <w:br w:type="page"/>
      </w:r>
      <w:r>
        <w:rPr>
          <w:rFonts w:ascii="Arial" w:hAnsi="Arial" w:cs="Arial"/>
          <w:color w:val="000000"/>
          <w:sz w:val="24"/>
          <w:lang w:val="zh-CN"/>
        </w:rPr>
        <w:t>目录</w:t>
      </w:r>
    </w:p>
    <w:p w14:paraId="022727EF">
      <w:pPr>
        <w:pStyle w:val="19"/>
        <w:tabs>
          <w:tab w:val="right" w:leader="dot" w:pos="8296"/>
        </w:tabs>
        <w:spacing w:line="360" w:lineRule="auto"/>
        <w:rPr>
          <w:rFonts w:ascii="Arial" w:hAnsi="Arial" w:cs="Arial"/>
          <w:sz w:val="24"/>
        </w:rPr>
      </w:pPr>
      <w:r>
        <w:rPr>
          <w:rFonts w:ascii="Arial" w:hAnsi="Arial" w:cs="Arial"/>
          <w:sz w:val="24"/>
        </w:rPr>
        <w:fldChar w:fldCharType="begin"/>
      </w:r>
      <w:r>
        <w:rPr>
          <w:rFonts w:ascii="Arial" w:hAnsi="Arial" w:cs="Arial"/>
          <w:sz w:val="24"/>
        </w:rPr>
        <w:instrText xml:space="preserve"> TOC \o "1-3" \h \z \u </w:instrText>
      </w:r>
      <w:r>
        <w:rPr>
          <w:rFonts w:ascii="Arial" w:hAnsi="Arial" w:cs="Arial"/>
          <w:sz w:val="24"/>
        </w:rPr>
        <w:fldChar w:fldCharType="separate"/>
      </w:r>
      <w:r>
        <w:fldChar w:fldCharType="begin"/>
      </w:r>
      <w:r>
        <w:instrText xml:space="preserve"> HYPERLINK \l "_Toc466464087" </w:instrText>
      </w:r>
      <w:r>
        <w:fldChar w:fldCharType="separate"/>
      </w:r>
      <w:r>
        <w:rPr>
          <w:rStyle w:val="27"/>
          <w:rFonts w:ascii="Arial" w:hAnsi="Arial" w:cs="Arial"/>
          <w:kern w:val="0"/>
          <w:sz w:val="24"/>
        </w:rPr>
        <w:t>第一部分 基金托管协议当事人</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_Toc466464087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fldChar w:fldCharType="end"/>
      </w:r>
    </w:p>
    <w:p w14:paraId="48F55F1C">
      <w:pPr>
        <w:pStyle w:val="19"/>
        <w:tabs>
          <w:tab w:val="right" w:leader="dot" w:pos="8296"/>
        </w:tabs>
        <w:spacing w:line="360" w:lineRule="auto"/>
        <w:rPr>
          <w:rFonts w:ascii="Arial" w:hAnsi="Arial" w:cs="Arial"/>
          <w:sz w:val="24"/>
        </w:rPr>
      </w:pPr>
      <w:r>
        <w:fldChar w:fldCharType="begin"/>
      </w:r>
      <w:r>
        <w:instrText xml:space="preserve"> HYPERLINK \l "_Toc466464088" </w:instrText>
      </w:r>
      <w:r>
        <w:fldChar w:fldCharType="separate"/>
      </w:r>
      <w:r>
        <w:rPr>
          <w:rStyle w:val="27"/>
          <w:rFonts w:ascii="Arial" w:hAnsi="Arial" w:cs="Arial"/>
          <w:kern w:val="0"/>
          <w:sz w:val="24"/>
        </w:rPr>
        <w:t>第二部分 基金托管协议的依据、目的和原则</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_Toc466464088 \h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r>
        <w:rPr>
          <w:rFonts w:ascii="Arial" w:hAnsi="Arial" w:cs="Arial"/>
          <w:sz w:val="24"/>
        </w:rPr>
        <w:fldChar w:fldCharType="end"/>
      </w:r>
    </w:p>
    <w:p w14:paraId="206F6326">
      <w:pPr>
        <w:pStyle w:val="19"/>
        <w:tabs>
          <w:tab w:val="right" w:leader="dot" w:pos="8296"/>
        </w:tabs>
        <w:spacing w:line="360" w:lineRule="auto"/>
        <w:rPr>
          <w:rFonts w:ascii="Arial" w:hAnsi="Arial" w:cs="Arial"/>
          <w:sz w:val="24"/>
        </w:rPr>
      </w:pPr>
      <w:r>
        <w:fldChar w:fldCharType="begin"/>
      </w:r>
      <w:r>
        <w:instrText xml:space="preserve"> HYPERLINK \l "_Toc466464089" </w:instrText>
      </w:r>
      <w:r>
        <w:fldChar w:fldCharType="separate"/>
      </w:r>
      <w:r>
        <w:rPr>
          <w:rStyle w:val="27"/>
          <w:rFonts w:ascii="Arial" w:hAnsi="Arial" w:cs="Arial"/>
          <w:kern w:val="0"/>
          <w:sz w:val="24"/>
        </w:rPr>
        <w:t>第三部分 基金托管人对基金管理人的业务监督和核查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_Toc466464089 \h </w:instrText>
      </w:r>
      <w:r>
        <w:rPr>
          <w:rFonts w:ascii="Arial" w:hAnsi="Arial" w:cs="Arial"/>
          <w:sz w:val="24"/>
        </w:rPr>
        <w:fldChar w:fldCharType="separate"/>
      </w:r>
      <w:r>
        <w:rPr>
          <w:rFonts w:ascii="Arial" w:hAnsi="Arial" w:cs="Arial"/>
          <w:sz w:val="24"/>
        </w:rPr>
        <w:t>4</w:t>
      </w:r>
      <w:r>
        <w:rPr>
          <w:rFonts w:ascii="Arial" w:hAnsi="Arial" w:cs="Arial"/>
          <w:sz w:val="24"/>
        </w:rPr>
        <w:fldChar w:fldCharType="end"/>
      </w:r>
      <w:r>
        <w:rPr>
          <w:rFonts w:ascii="Arial" w:hAnsi="Arial" w:cs="Arial"/>
          <w:sz w:val="24"/>
        </w:rPr>
        <w:fldChar w:fldCharType="end"/>
      </w:r>
    </w:p>
    <w:p w14:paraId="70A42D58">
      <w:pPr>
        <w:pStyle w:val="19"/>
        <w:tabs>
          <w:tab w:val="right" w:leader="dot" w:pos="8296"/>
        </w:tabs>
        <w:spacing w:line="360" w:lineRule="auto"/>
        <w:rPr>
          <w:rFonts w:ascii="Arial" w:hAnsi="Arial" w:cs="Arial"/>
          <w:sz w:val="24"/>
        </w:rPr>
      </w:pPr>
      <w:r>
        <w:fldChar w:fldCharType="begin"/>
      </w:r>
      <w:r>
        <w:instrText xml:space="preserve"> HYPERLINK \l "_Toc466464090" </w:instrText>
      </w:r>
      <w:r>
        <w:fldChar w:fldCharType="separate"/>
      </w:r>
      <w:r>
        <w:rPr>
          <w:rStyle w:val="27"/>
          <w:rFonts w:ascii="Arial" w:hAnsi="Arial" w:cs="Arial"/>
          <w:kern w:val="0"/>
          <w:sz w:val="24"/>
        </w:rPr>
        <w:t>第四部分 基金管理人对基金托管人的业务核查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_Toc466464090 \h </w:instrText>
      </w:r>
      <w:r>
        <w:rPr>
          <w:rFonts w:ascii="Arial" w:hAnsi="Arial" w:cs="Arial"/>
          <w:sz w:val="24"/>
        </w:rPr>
        <w:fldChar w:fldCharType="separate"/>
      </w:r>
      <w:r>
        <w:rPr>
          <w:rFonts w:ascii="Arial" w:hAnsi="Arial" w:cs="Arial"/>
          <w:sz w:val="24"/>
        </w:rPr>
        <w:t>14</w:t>
      </w:r>
      <w:r>
        <w:rPr>
          <w:rFonts w:ascii="Arial" w:hAnsi="Arial" w:cs="Arial"/>
          <w:sz w:val="24"/>
        </w:rPr>
        <w:fldChar w:fldCharType="end"/>
      </w:r>
      <w:r>
        <w:rPr>
          <w:rFonts w:ascii="Arial" w:hAnsi="Arial" w:cs="Arial"/>
          <w:sz w:val="24"/>
        </w:rPr>
        <w:fldChar w:fldCharType="end"/>
      </w:r>
    </w:p>
    <w:p w14:paraId="38E17C5E">
      <w:pPr>
        <w:pStyle w:val="19"/>
        <w:tabs>
          <w:tab w:val="right" w:leader="dot" w:pos="8296"/>
        </w:tabs>
        <w:spacing w:line="360" w:lineRule="auto"/>
        <w:rPr>
          <w:rFonts w:ascii="Arial" w:hAnsi="Arial" w:cs="Arial"/>
          <w:sz w:val="24"/>
        </w:rPr>
      </w:pPr>
      <w:r>
        <w:fldChar w:fldCharType="begin"/>
      </w:r>
      <w:r>
        <w:instrText xml:space="preserve"> HYPERLINK \l "_Toc466464091" </w:instrText>
      </w:r>
      <w:r>
        <w:fldChar w:fldCharType="separate"/>
      </w:r>
      <w:r>
        <w:rPr>
          <w:rStyle w:val="27"/>
          <w:rFonts w:ascii="Arial" w:hAnsi="Arial" w:cs="Arial"/>
          <w:kern w:val="0"/>
          <w:sz w:val="24"/>
        </w:rPr>
        <w:t>第五部分 基金财产保管</w:t>
      </w:r>
      <w:r>
        <w:rPr>
          <w:rFonts w:ascii="Arial" w:hAnsi="Arial" w:cs="Arial"/>
          <w:sz w:val="24"/>
        </w:rPr>
        <w:tab/>
      </w:r>
      <w:bookmarkStart w:id="132" w:name="_GoBack"/>
      <w:bookmarkEnd w:id="132"/>
      <w:r>
        <w:rPr>
          <w:rFonts w:ascii="Arial" w:hAnsi="Arial" w:cs="Arial"/>
          <w:sz w:val="24"/>
        </w:rPr>
        <w:fldChar w:fldCharType="begin"/>
      </w:r>
      <w:r>
        <w:rPr>
          <w:rFonts w:ascii="Arial" w:hAnsi="Arial" w:cs="Arial"/>
          <w:sz w:val="24"/>
        </w:rPr>
        <w:instrText xml:space="preserve"> PAGEREF _Toc466464091 \h </w:instrText>
      </w:r>
      <w:r>
        <w:rPr>
          <w:rFonts w:ascii="Arial" w:hAnsi="Arial" w:cs="Arial"/>
          <w:sz w:val="24"/>
        </w:rPr>
        <w:fldChar w:fldCharType="separate"/>
      </w:r>
      <w:r>
        <w:rPr>
          <w:rFonts w:ascii="Arial" w:hAnsi="Arial" w:cs="Arial"/>
          <w:sz w:val="24"/>
        </w:rPr>
        <w:t>15</w:t>
      </w:r>
      <w:r>
        <w:rPr>
          <w:rFonts w:ascii="Arial" w:hAnsi="Arial" w:cs="Arial"/>
          <w:sz w:val="24"/>
        </w:rPr>
        <w:fldChar w:fldCharType="end"/>
      </w:r>
      <w:r>
        <w:rPr>
          <w:rFonts w:ascii="Arial" w:hAnsi="Arial" w:cs="Arial"/>
          <w:sz w:val="24"/>
        </w:rPr>
        <w:fldChar w:fldCharType="end"/>
      </w:r>
    </w:p>
    <w:p w14:paraId="3B00BB98">
      <w:pPr>
        <w:pStyle w:val="19"/>
        <w:tabs>
          <w:tab w:val="right" w:leader="dot" w:pos="8296"/>
        </w:tabs>
        <w:spacing w:line="360" w:lineRule="auto"/>
        <w:rPr>
          <w:rFonts w:ascii="Arial" w:hAnsi="Arial" w:cs="Arial"/>
          <w:sz w:val="24"/>
        </w:rPr>
      </w:pPr>
      <w:r>
        <w:fldChar w:fldCharType="begin"/>
      </w:r>
      <w:r>
        <w:instrText xml:space="preserve"> HYPERLINK \l "_Toc466464092" </w:instrText>
      </w:r>
      <w:r>
        <w:fldChar w:fldCharType="separate"/>
      </w:r>
      <w:r>
        <w:rPr>
          <w:rStyle w:val="27"/>
          <w:rFonts w:ascii="Arial" w:hAnsi="Arial" w:cs="Arial"/>
          <w:kern w:val="0"/>
          <w:sz w:val="24"/>
        </w:rPr>
        <w:t>第六部分 指令的发送、确认和执行</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_Toc466464092 \h </w:instrText>
      </w:r>
      <w:r>
        <w:rPr>
          <w:rFonts w:ascii="Arial" w:hAnsi="Arial" w:cs="Arial"/>
          <w:sz w:val="24"/>
        </w:rPr>
        <w:fldChar w:fldCharType="separate"/>
      </w:r>
      <w:r>
        <w:rPr>
          <w:rFonts w:ascii="Arial" w:hAnsi="Arial" w:cs="Arial"/>
          <w:sz w:val="24"/>
        </w:rPr>
        <w:t>19</w:t>
      </w:r>
      <w:r>
        <w:rPr>
          <w:rFonts w:ascii="Arial" w:hAnsi="Arial" w:cs="Arial"/>
          <w:sz w:val="24"/>
        </w:rPr>
        <w:fldChar w:fldCharType="end"/>
      </w:r>
      <w:r>
        <w:rPr>
          <w:rFonts w:ascii="Arial" w:hAnsi="Arial" w:cs="Arial"/>
          <w:sz w:val="24"/>
        </w:rPr>
        <w:fldChar w:fldCharType="end"/>
      </w:r>
    </w:p>
    <w:p w14:paraId="79B381F4">
      <w:pPr>
        <w:pStyle w:val="19"/>
        <w:tabs>
          <w:tab w:val="right" w:leader="dot" w:pos="8296"/>
        </w:tabs>
        <w:spacing w:line="360" w:lineRule="auto"/>
        <w:rPr>
          <w:rFonts w:ascii="Arial" w:hAnsi="Arial" w:cs="Arial"/>
          <w:sz w:val="24"/>
        </w:rPr>
      </w:pPr>
      <w:r>
        <w:fldChar w:fldCharType="begin"/>
      </w:r>
      <w:r>
        <w:instrText xml:space="preserve"> HYPERLINK \l "_Toc466464093" </w:instrText>
      </w:r>
      <w:r>
        <w:fldChar w:fldCharType="separate"/>
      </w:r>
      <w:r>
        <w:rPr>
          <w:rStyle w:val="27"/>
          <w:rFonts w:ascii="Arial" w:hAnsi="Arial" w:cs="Arial"/>
          <w:kern w:val="0"/>
          <w:sz w:val="24"/>
        </w:rPr>
        <w:t>第七部分 交易及清算交收安排</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_Toc466464093 \h </w:instrText>
      </w:r>
      <w:r>
        <w:rPr>
          <w:rFonts w:ascii="Arial" w:hAnsi="Arial" w:cs="Arial"/>
          <w:sz w:val="24"/>
        </w:rPr>
        <w:fldChar w:fldCharType="separate"/>
      </w:r>
      <w:r>
        <w:rPr>
          <w:rFonts w:ascii="Arial" w:hAnsi="Arial" w:cs="Arial"/>
          <w:sz w:val="24"/>
        </w:rPr>
        <w:t>24</w:t>
      </w:r>
      <w:r>
        <w:rPr>
          <w:rFonts w:ascii="Arial" w:hAnsi="Arial" w:cs="Arial"/>
          <w:sz w:val="24"/>
        </w:rPr>
        <w:fldChar w:fldCharType="end"/>
      </w:r>
      <w:r>
        <w:rPr>
          <w:rFonts w:ascii="Arial" w:hAnsi="Arial" w:cs="Arial"/>
          <w:sz w:val="24"/>
        </w:rPr>
        <w:fldChar w:fldCharType="end"/>
      </w:r>
    </w:p>
    <w:p w14:paraId="6E21B95C">
      <w:pPr>
        <w:pStyle w:val="19"/>
        <w:tabs>
          <w:tab w:val="right" w:leader="dot" w:pos="8296"/>
        </w:tabs>
        <w:spacing w:line="360" w:lineRule="auto"/>
        <w:rPr>
          <w:rFonts w:ascii="Arial" w:hAnsi="Arial" w:cs="Arial"/>
          <w:sz w:val="24"/>
        </w:rPr>
      </w:pPr>
      <w:r>
        <w:fldChar w:fldCharType="begin"/>
      </w:r>
      <w:r>
        <w:instrText xml:space="preserve"> HYPERLINK \l "_Toc466464094" </w:instrText>
      </w:r>
      <w:r>
        <w:fldChar w:fldCharType="separate"/>
      </w:r>
      <w:r>
        <w:rPr>
          <w:rStyle w:val="27"/>
          <w:rFonts w:ascii="Arial" w:hAnsi="Arial" w:cs="Arial"/>
          <w:kern w:val="0"/>
          <w:sz w:val="24"/>
        </w:rPr>
        <w:t>第八部分 基金资产净值计算和会计核算</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_Toc466464094 \h </w:instrText>
      </w:r>
      <w:r>
        <w:rPr>
          <w:rFonts w:ascii="Arial" w:hAnsi="Arial" w:cs="Arial"/>
          <w:sz w:val="24"/>
        </w:rPr>
        <w:fldChar w:fldCharType="separate"/>
      </w:r>
      <w:r>
        <w:rPr>
          <w:rFonts w:ascii="Arial" w:hAnsi="Arial" w:cs="Arial"/>
          <w:sz w:val="24"/>
        </w:rPr>
        <w:t>30</w:t>
      </w:r>
      <w:r>
        <w:rPr>
          <w:rFonts w:ascii="Arial" w:hAnsi="Arial" w:cs="Arial"/>
          <w:sz w:val="24"/>
        </w:rPr>
        <w:fldChar w:fldCharType="end"/>
      </w:r>
      <w:r>
        <w:rPr>
          <w:rFonts w:ascii="Arial" w:hAnsi="Arial" w:cs="Arial"/>
          <w:sz w:val="24"/>
        </w:rPr>
        <w:fldChar w:fldCharType="end"/>
      </w:r>
    </w:p>
    <w:p w14:paraId="6A8F0B81">
      <w:pPr>
        <w:pStyle w:val="19"/>
        <w:tabs>
          <w:tab w:val="right" w:leader="dot" w:pos="8296"/>
        </w:tabs>
        <w:spacing w:line="360" w:lineRule="auto"/>
        <w:rPr>
          <w:rFonts w:ascii="Arial" w:hAnsi="Arial" w:cs="Arial"/>
          <w:sz w:val="24"/>
        </w:rPr>
      </w:pPr>
      <w:r>
        <w:fldChar w:fldCharType="begin"/>
      </w:r>
      <w:r>
        <w:instrText xml:space="preserve"> HYPERLINK \l "_Toc466464095" </w:instrText>
      </w:r>
      <w:r>
        <w:fldChar w:fldCharType="separate"/>
      </w:r>
      <w:r>
        <w:rPr>
          <w:rStyle w:val="27"/>
          <w:rFonts w:ascii="Arial" w:hAnsi="Arial" w:cs="Arial"/>
          <w:kern w:val="0"/>
          <w:sz w:val="24"/>
        </w:rPr>
        <w:t>第九部分 基金收益分配</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_Toc466464095 \h </w:instrText>
      </w:r>
      <w:r>
        <w:rPr>
          <w:rFonts w:ascii="Arial" w:hAnsi="Arial" w:cs="Arial"/>
          <w:sz w:val="24"/>
        </w:rPr>
        <w:fldChar w:fldCharType="separate"/>
      </w:r>
      <w:r>
        <w:rPr>
          <w:rFonts w:ascii="Arial" w:hAnsi="Arial" w:cs="Arial"/>
          <w:sz w:val="24"/>
        </w:rPr>
        <w:t>36</w:t>
      </w:r>
      <w:r>
        <w:rPr>
          <w:rFonts w:ascii="Arial" w:hAnsi="Arial" w:cs="Arial"/>
          <w:sz w:val="24"/>
        </w:rPr>
        <w:fldChar w:fldCharType="end"/>
      </w:r>
      <w:r>
        <w:rPr>
          <w:rFonts w:ascii="Arial" w:hAnsi="Arial" w:cs="Arial"/>
          <w:sz w:val="24"/>
        </w:rPr>
        <w:fldChar w:fldCharType="end"/>
      </w:r>
    </w:p>
    <w:p w14:paraId="0D92225E">
      <w:pPr>
        <w:pStyle w:val="19"/>
        <w:tabs>
          <w:tab w:val="right" w:leader="dot" w:pos="8296"/>
        </w:tabs>
        <w:spacing w:line="360" w:lineRule="auto"/>
        <w:rPr>
          <w:rFonts w:ascii="Arial" w:hAnsi="Arial" w:cs="Arial"/>
          <w:sz w:val="24"/>
        </w:rPr>
      </w:pPr>
      <w:r>
        <w:fldChar w:fldCharType="begin"/>
      </w:r>
      <w:r>
        <w:instrText xml:space="preserve"> HYPERLINK \l "_Toc466464096" </w:instrText>
      </w:r>
      <w:r>
        <w:fldChar w:fldCharType="separate"/>
      </w:r>
      <w:r>
        <w:rPr>
          <w:rStyle w:val="27"/>
          <w:rFonts w:ascii="Arial" w:hAnsi="Arial" w:cs="Arial"/>
          <w:kern w:val="0"/>
          <w:sz w:val="24"/>
        </w:rPr>
        <w:t>第十部分 基金信息披露</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_Toc466464096 \h </w:instrText>
      </w:r>
      <w:r>
        <w:rPr>
          <w:rFonts w:ascii="Arial" w:hAnsi="Arial" w:cs="Arial"/>
          <w:sz w:val="24"/>
        </w:rPr>
        <w:fldChar w:fldCharType="separate"/>
      </w:r>
      <w:r>
        <w:rPr>
          <w:rFonts w:ascii="Arial" w:hAnsi="Arial" w:cs="Arial"/>
          <w:sz w:val="24"/>
        </w:rPr>
        <w:t>37</w:t>
      </w:r>
      <w:r>
        <w:rPr>
          <w:rFonts w:ascii="Arial" w:hAnsi="Arial" w:cs="Arial"/>
          <w:sz w:val="24"/>
        </w:rPr>
        <w:fldChar w:fldCharType="end"/>
      </w:r>
      <w:r>
        <w:rPr>
          <w:rFonts w:ascii="Arial" w:hAnsi="Arial" w:cs="Arial"/>
          <w:sz w:val="24"/>
        </w:rPr>
        <w:fldChar w:fldCharType="end"/>
      </w:r>
    </w:p>
    <w:p w14:paraId="71DC12B4">
      <w:pPr>
        <w:pStyle w:val="19"/>
        <w:tabs>
          <w:tab w:val="right" w:leader="dot" w:pos="8296"/>
        </w:tabs>
        <w:spacing w:line="360" w:lineRule="auto"/>
        <w:rPr>
          <w:rFonts w:ascii="Arial" w:hAnsi="Arial" w:cs="Arial"/>
          <w:sz w:val="24"/>
        </w:rPr>
      </w:pPr>
      <w:r>
        <w:fldChar w:fldCharType="begin"/>
      </w:r>
      <w:r>
        <w:instrText xml:space="preserve"> HYPERLINK \l "_Toc466464097" </w:instrText>
      </w:r>
      <w:r>
        <w:fldChar w:fldCharType="separate"/>
      </w:r>
      <w:r>
        <w:rPr>
          <w:rStyle w:val="27"/>
          <w:rFonts w:ascii="Arial" w:hAnsi="Arial" w:cs="Arial"/>
          <w:kern w:val="0"/>
          <w:sz w:val="24"/>
        </w:rPr>
        <w:t>第十一部分 基金费用</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_Toc466464097 \h </w:instrText>
      </w:r>
      <w:r>
        <w:rPr>
          <w:rFonts w:ascii="Arial" w:hAnsi="Arial" w:cs="Arial"/>
          <w:sz w:val="24"/>
        </w:rPr>
        <w:fldChar w:fldCharType="separate"/>
      </w:r>
      <w:r>
        <w:rPr>
          <w:rFonts w:ascii="Arial" w:hAnsi="Arial" w:cs="Arial"/>
          <w:sz w:val="24"/>
        </w:rPr>
        <w:t>39</w:t>
      </w:r>
      <w:r>
        <w:rPr>
          <w:rFonts w:ascii="Arial" w:hAnsi="Arial" w:cs="Arial"/>
          <w:sz w:val="24"/>
        </w:rPr>
        <w:fldChar w:fldCharType="end"/>
      </w:r>
      <w:r>
        <w:rPr>
          <w:rFonts w:ascii="Arial" w:hAnsi="Arial" w:cs="Arial"/>
          <w:sz w:val="24"/>
        </w:rPr>
        <w:fldChar w:fldCharType="end"/>
      </w:r>
    </w:p>
    <w:p w14:paraId="3C49B848">
      <w:pPr>
        <w:pStyle w:val="19"/>
        <w:tabs>
          <w:tab w:val="right" w:leader="dot" w:pos="8296"/>
        </w:tabs>
        <w:spacing w:line="360" w:lineRule="auto"/>
        <w:rPr>
          <w:rFonts w:ascii="Arial" w:hAnsi="Arial" w:cs="Arial"/>
          <w:sz w:val="24"/>
        </w:rPr>
      </w:pPr>
      <w:r>
        <w:fldChar w:fldCharType="begin"/>
      </w:r>
      <w:r>
        <w:instrText xml:space="preserve"> HYPERLINK \l "_Toc466464098" </w:instrText>
      </w:r>
      <w:r>
        <w:fldChar w:fldCharType="separate"/>
      </w:r>
      <w:r>
        <w:rPr>
          <w:rStyle w:val="27"/>
          <w:rFonts w:ascii="Arial" w:hAnsi="Arial" w:cs="Arial"/>
          <w:kern w:val="0"/>
          <w:sz w:val="24"/>
        </w:rPr>
        <w:t>第十二部分 基金份额持有人名册的保管</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_Toc466464098 \h </w:instrText>
      </w:r>
      <w:r>
        <w:rPr>
          <w:rFonts w:ascii="Arial" w:hAnsi="Arial" w:cs="Arial"/>
          <w:sz w:val="24"/>
        </w:rPr>
        <w:fldChar w:fldCharType="separate"/>
      </w:r>
      <w:r>
        <w:rPr>
          <w:rFonts w:ascii="Arial" w:hAnsi="Arial" w:cs="Arial"/>
          <w:sz w:val="24"/>
        </w:rPr>
        <w:t>42</w:t>
      </w:r>
      <w:r>
        <w:rPr>
          <w:rFonts w:ascii="Arial" w:hAnsi="Arial" w:cs="Arial"/>
          <w:sz w:val="24"/>
        </w:rPr>
        <w:fldChar w:fldCharType="end"/>
      </w:r>
      <w:r>
        <w:rPr>
          <w:rFonts w:ascii="Arial" w:hAnsi="Arial" w:cs="Arial"/>
          <w:sz w:val="24"/>
        </w:rPr>
        <w:fldChar w:fldCharType="end"/>
      </w:r>
    </w:p>
    <w:p w14:paraId="362B5105">
      <w:pPr>
        <w:pStyle w:val="19"/>
        <w:tabs>
          <w:tab w:val="right" w:leader="dot" w:pos="8296"/>
        </w:tabs>
        <w:spacing w:line="360" w:lineRule="auto"/>
        <w:rPr>
          <w:rFonts w:ascii="Arial" w:hAnsi="Arial" w:cs="Arial"/>
          <w:sz w:val="24"/>
        </w:rPr>
      </w:pPr>
      <w:r>
        <w:fldChar w:fldCharType="begin"/>
      </w:r>
      <w:r>
        <w:instrText xml:space="preserve"> HYPERLINK \l "_Toc466464099" </w:instrText>
      </w:r>
      <w:r>
        <w:fldChar w:fldCharType="separate"/>
      </w:r>
      <w:r>
        <w:rPr>
          <w:rStyle w:val="27"/>
          <w:rFonts w:ascii="Arial" w:hAnsi="Arial" w:cs="Arial"/>
          <w:kern w:val="0"/>
          <w:sz w:val="24"/>
        </w:rPr>
        <w:t>第十三部分 基金有关文件档案的保存</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_Toc466464099 \h </w:instrText>
      </w:r>
      <w:r>
        <w:rPr>
          <w:rFonts w:ascii="Arial" w:hAnsi="Arial" w:cs="Arial"/>
          <w:sz w:val="24"/>
        </w:rPr>
        <w:fldChar w:fldCharType="separate"/>
      </w:r>
      <w:r>
        <w:rPr>
          <w:rFonts w:ascii="Arial" w:hAnsi="Arial" w:cs="Arial"/>
          <w:sz w:val="24"/>
        </w:rPr>
        <w:t>43</w:t>
      </w:r>
      <w:r>
        <w:rPr>
          <w:rFonts w:ascii="Arial" w:hAnsi="Arial" w:cs="Arial"/>
          <w:sz w:val="24"/>
        </w:rPr>
        <w:fldChar w:fldCharType="end"/>
      </w:r>
      <w:r>
        <w:rPr>
          <w:rFonts w:ascii="Arial" w:hAnsi="Arial" w:cs="Arial"/>
          <w:sz w:val="24"/>
        </w:rPr>
        <w:fldChar w:fldCharType="end"/>
      </w:r>
    </w:p>
    <w:p w14:paraId="0AAA55A3">
      <w:pPr>
        <w:pStyle w:val="19"/>
        <w:tabs>
          <w:tab w:val="right" w:leader="dot" w:pos="8296"/>
        </w:tabs>
        <w:spacing w:line="360" w:lineRule="auto"/>
        <w:rPr>
          <w:rFonts w:ascii="Arial" w:hAnsi="Arial" w:cs="Arial"/>
          <w:sz w:val="24"/>
        </w:rPr>
      </w:pPr>
      <w:r>
        <w:fldChar w:fldCharType="begin"/>
      </w:r>
      <w:r>
        <w:instrText xml:space="preserve"> HYPERLINK \l "_Toc466464100" </w:instrText>
      </w:r>
      <w:r>
        <w:fldChar w:fldCharType="separate"/>
      </w:r>
      <w:r>
        <w:rPr>
          <w:rStyle w:val="27"/>
          <w:rFonts w:ascii="Arial" w:hAnsi="Arial" w:cs="Arial"/>
          <w:kern w:val="0"/>
          <w:sz w:val="24"/>
        </w:rPr>
        <w:t>第十四部分 基金管理人和基金托管人的更换</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_Toc466464100 \h </w:instrText>
      </w:r>
      <w:r>
        <w:rPr>
          <w:rFonts w:ascii="Arial" w:hAnsi="Arial" w:cs="Arial"/>
          <w:sz w:val="24"/>
        </w:rPr>
        <w:fldChar w:fldCharType="separate"/>
      </w:r>
      <w:r>
        <w:rPr>
          <w:rFonts w:ascii="Arial" w:hAnsi="Arial" w:cs="Arial"/>
          <w:sz w:val="24"/>
        </w:rPr>
        <w:t>44</w:t>
      </w:r>
      <w:r>
        <w:rPr>
          <w:rFonts w:ascii="Arial" w:hAnsi="Arial" w:cs="Arial"/>
          <w:sz w:val="24"/>
        </w:rPr>
        <w:fldChar w:fldCharType="end"/>
      </w:r>
      <w:r>
        <w:rPr>
          <w:rFonts w:ascii="Arial" w:hAnsi="Arial" w:cs="Arial"/>
          <w:sz w:val="24"/>
        </w:rPr>
        <w:fldChar w:fldCharType="end"/>
      </w:r>
    </w:p>
    <w:p w14:paraId="39450384">
      <w:pPr>
        <w:pStyle w:val="19"/>
        <w:tabs>
          <w:tab w:val="right" w:leader="dot" w:pos="8296"/>
        </w:tabs>
        <w:spacing w:line="360" w:lineRule="auto"/>
        <w:rPr>
          <w:rFonts w:ascii="Arial" w:hAnsi="Arial" w:cs="Arial"/>
          <w:sz w:val="24"/>
        </w:rPr>
      </w:pPr>
      <w:r>
        <w:fldChar w:fldCharType="begin"/>
      </w:r>
      <w:r>
        <w:instrText xml:space="preserve"> HYPERLINK \l "_Toc466464101" </w:instrText>
      </w:r>
      <w:r>
        <w:fldChar w:fldCharType="separate"/>
      </w:r>
      <w:r>
        <w:rPr>
          <w:rStyle w:val="27"/>
          <w:rFonts w:ascii="Arial" w:hAnsi="Arial" w:cs="Arial"/>
          <w:kern w:val="0"/>
          <w:sz w:val="24"/>
        </w:rPr>
        <w:t>第十五部分 禁止行为</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_Toc466464101 \h </w:instrText>
      </w:r>
      <w:r>
        <w:rPr>
          <w:rFonts w:ascii="Arial" w:hAnsi="Arial" w:cs="Arial"/>
          <w:sz w:val="24"/>
        </w:rPr>
        <w:fldChar w:fldCharType="separate"/>
      </w:r>
      <w:r>
        <w:rPr>
          <w:rFonts w:ascii="Arial" w:hAnsi="Arial" w:cs="Arial"/>
          <w:sz w:val="24"/>
        </w:rPr>
        <w:t>47</w:t>
      </w:r>
      <w:r>
        <w:rPr>
          <w:rFonts w:ascii="Arial" w:hAnsi="Arial" w:cs="Arial"/>
          <w:sz w:val="24"/>
        </w:rPr>
        <w:fldChar w:fldCharType="end"/>
      </w:r>
      <w:r>
        <w:rPr>
          <w:rFonts w:ascii="Arial" w:hAnsi="Arial" w:cs="Arial"/>
          <w:sz w:val="24"/>
        </w:rPr>
        <w:fldChar w:fldCharType="end"/>
      </w:r>
    </w:p>
    <w:p w14:paraId="1B8A1615">
      <w:pPr>
        <w:pStyle w:val="19"/>
        <w:tabs>
          <w:tab w:val="right" w:leader="dot" w:pos="8296"/>
        </w:tabs>
        <w:spacing w:line="360" w:lineRule="auto"/>
        <w:rPr>
          <w:rFonts w:ascii="Arial" w:hAnsi="Arial" w:cs="Arial"/>
          <w:sz w:val="24"/>
        </w:rPr>
      </w:pPr>
      <w:r>
        <w:fldChar w:fldCharType="begin"/>
      </w:r>
      <w:r>
        <w:instrText xml:space="preserve"> HYPERLINK \l "_Toc466464102" </w:instrText>
      </w:r>
      <w:r>
        <w:fldChar w:fldCharType="separate"/>
      </w:r>
      <w:r>
        <w:rPr>
          <w:rStyle w:val="27"/>
          <w:rFonts w:ascii="Arial" w:hAnsi="Arial" w:cs="Arial"/>
          <w:kern w:val="0"/>
          <w:sz w:val="24"/>
        </w:rPr>
        <w:t>第十六部分 基金托管协议的变更、终止与基金财产的清算</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_Toc466464102 \h </w:instrText>
      </w:r>
      <w:r>
        <w:rPr>
          <w:rFonts w:ascii="Arial" w:hAnsi="Arial" w:cs="Arial"/>
          <w:sz w:val="24"/>
        </w:rPr>
        <w:fldChar w:fldCharType="separate"/>
      </w:r>
      <w:r>
        <w:rPr>
          <w:rFonts w:ascii="Arial" w:hAnsi="Arial" w:cs="Arial"/>
          <w:sz w:val="24"/>
        </w:rPr>
        <w:t>49</w:t>
      </w:r>
      <w:r>
        <w:rPr>
          <w:rFonts w:ascii="Arial" w:hAnsi="Arial" w:cs="Arial"/>
          <w:sz w:val="24"/>
        </w:rPr>
        <w:fldChar w:fldCharType="end"/>
      </w:r>
      <w:r>
        <w:rPr>
          <w:rFonts w:ascii="Arial" w:hAnsi="Arial" w:cs="Arial"/>
          <w:sz w:val="24"/>
        </w:rPr>
        <w:fldChar w:fldCharType="end"/>
      </w:r>
    </w:p>
    <w:p w14:paraId="4A667416">
      <w:pPr>
        <w:pStyle w:val="19"/>
        <w:tabs>
          <w:tab w:val="right" w:leader="dot" w:pos="8296"/>
        </w:tabs>
        <w:spacing w:line="360" w:lineRule="auto"/>
        <w:rPr>
          <w:rFonts w:ascii="Arial" w:hAnsi="Arial" w:cs="Arial"/>
          <w:sz w:val="24"/>
        </w:rPr>
      </w:pPr>
      <w:r>
        <w:fldChar w:fldCharType="begin"/>
      </w:r>
      <w:r>
        <w:instrText xml:space="preserve"> HYPERLINK \l "_Toc466464103" </w:instrText>
      </w:r>
      <w:r>
        <w:fldChar w:fldCharType="separate"/>
      </w:r>
      <w:r>
        <w:rPr>
          <w:rStyle w:val="27"/>
          <w:rFonts w:ascii="Arial" w:hAnsi="Arial" w:cs="Arial"/>
          <w:kern w:val="0"/>
          <w:sz w:val="24"/>
        </w:rPr>
        <w:t>第十七部分 违约责任</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_Toc466464103 \h </w:instrText>
      </w:r>
      <w:r>
        <w:rPr>
          <w:rFonts w:ascii="Arial" w:hAnsi="Arial" w:cs="Arial"/>
          <w:sz w:val="24"/>
        </w:rPr>
        <w:fldChar w:fldCharType="separate"/>
      </w:r>
      <w:r>
        <w:rPr>
          <w:rFonts w:ascii="Arial" w:hAnsi="Arial" w:cs="Arial"/>
          <w:sz w:val="24"/>
        </w:rPr>
        <w:t>51</w:t>
      </w:r>
      <w:r>
        <w:rPr>
          <w:rFonts w:ascii="Arial" w:hAnsi="Arial" w:cs="Arial"/>
          <w:sz w:val="24"/>
        </w:rPr>
        <w:fldChar w:fldCharType="end"/>
      </w:r>
      <w:r>
        <w:rPr>
          <w:rFonts w:ascii="Arial" w:hAnsi="Arial" w:cs="Arial"/>
          <w:sz w:val="24"/>
        </w:rPr>
        <w:fldChar w:fldCharType="end"/>
      </w:r>
    </w:p>
    <w:p w14:paraId="1F8B2AA4">
      <w:pPr>
        <w:pStyle w:val="19"/>
        <w:tabs>
          <w:tab w:val="right" w:leader="dot" w:pos="8296"/>
        </w:tabs>
        <w:spacing w:line="360" w:lineRule="auto"/>
        <w:rPr>
          <w:rFonts w:ascii="Arial" w:hAnsi="Arial" w:cs="Arial"/>
          <w:sz w:val="24"/>
        </w:rPr>
      </w:pPr>
      <w:r>
        <w:fldChar w:fldCharType="begin"/>
      </w:r>
      <w:r>
        <w:instrText xml:space="preserve"> HYPERLINK \l "_Toc466464104" </w:instrText>
      </w:r>
      <w:r>
        <w:fldChar w:fldCharType="separate"/>
      </w:r>
      <w:r>
        <w:rPr>
          <w:rStyle w:val="27"/>
          <w:rFonts w:ascii="Arial" w:hAnsi="Arial" w:cs="Arial"/>
          <w:kern w:val="0"/>
          <w:sz w:val="24"/>
        </w:rPr>
        <w:t>第十八部分 争议解决方式</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_Toc466464104 \h </w:instrText>
      </w:r>
      <w:r>
        <w:rPr>
          <w:rFonts w:ascii="Arial" w:hAnsi="Arial" w:cs="Arial"/>
          <w:sz w:val="24"/>
        </w:rPr>
        <w:fldChar w:fldCharType="separate"/>
      </w:r>
      <w:r>
        <w:rPr>
          <w:rFonts w:ascii="Arial" w:hAnsi="Arial" w:cs="Arial"/>
          <w:sz w:val="24"/>
        </w:rPr>
        <w:t>53</w:t>
      </w:r>
      <w:r>
        <w:rPr>
          <w:rFonts w:ascii="Arial" w:hAnsi="Arial" w:cs="Arial"/>
          <w:sz w:val="24"/>
        </w:rPr>
        <w:fldChar w:fldCharType="end"/>
      </w:r>
      <w:r>
        <w:rPr>
          <w:rFonts w:ascii="Arial" w:hAnsi="Arial" w:cs="Arial"/>
          <w:sz w:val="24"/>
        </w:rPr>
        <w:fldChar w:fldCharType="end"/>
      </w:r>
    </w:p>
    <w:p w14:paraId="4386A181">
      <w:pPr>
        <w:pStyle w:val="19"/>
        <w:tabs>
          <w:tab w:val="right" w:leader="dot" w:pos="8296"/>
        </w:tabs>
        <w:spacing w:line="360" w:lineRule="auto"/>
        <w:rPr>
          <w:rFonts w:ascii="Arial" w:hAnsi="Arial" w:cs="Arial"/>
          <w:sz w:val="24"/>
        </w:rPr>
      </w:pPr>
      <w:r>
        <w:fldChar w:fldCharType="begin"/>
      </w:r>
      <w:r>
        <w:instrText xml:space="preserve"> HYPERLINK \l "_Toc466464105" </w:instrText>
      </w:r>
      <w:r>
        <w:fldChar w:fldCharType="separate"/>
      </w:r>
      <w:r>
        <w:rPr>
          <w:rStyle w:val="27"/>
          <w:rFonts w:ascii="Arial" w:hAnsi="Arial" w:cs="Arial"/>
          <w:kern w:val="0"/>
          <w:sz w:val="24"/>
        </w:rPr>
        <w:t>第十九部分 基金托管协议的效力</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_Toc466464105 \h </w:instrText>
      </w:r>
      <w:r>
        <w:rPr>
          <w:rFonts w:ascii="Arial" w:hAnsi="Arial" w:cs="Arial"/>
          <w:sz w:val="24"/>
        </w:rPr>
        <w:fldChar w:fldCharType="separate"/>
      </w:r>
      <w:r>
        <w:rPr>
          <w:rFonts w:ascii="Arial" w:hAnsi="Arial" w:cs="Arial"/>
          <w:sz w:val="24"/>
        </w:rPr>
        <w:t>54</w:t>
      </w:r>
      <w:r>
        <w:rPr>
          <w:rFonts w:ascii="Arial" w:hAnsi="Arial" w:cs="Arial"/>
          <w:sz w:val="24"/>
        </w:rPr>
        <w:fldChar w:fldCharType="end"/>
      </w:r>
      <w:r>
        <w:rPr>
          <w:rFonts w:ascii="Arial" w:hAnsi="Arial" w:cs="Arial"/>
          <w:sz w:val="24"/>
        </w:rPr>
        <w:fldChar w:fldCharType="end"/>
      </w:r>
    </w:p>
    <w:p w14:paraId="4D7D3BE9">
      <w:pPr>
        <w:pStyle w:val="19"/>
        <w:tabs>
          <w:tab w:val="right" w:leader="dot" w:pos="8296"/>
        </w:tabs>
        <w:spacing w:line="360" w:lineRule="auto"/>
        <w:rPr>
          <w:rFonts w:ascii="Arial" w:hAnsi="Arial" w:cs="Arial"/>
          <w:sz w:val="24"/>
        </w:rPr>
      </w:pPr>
      <w:r>
        <w:fldChar w:fldCharType="begin"/>
      </w:r>
      <w:r>
        <w:instrText xml:space="preserve"> HYPERLINK \l "_Toc466464106" </w:instrText>
      </w:r>
      <w:r>
        <w:fldChar w:fldCharType="separate"/>
      </w:r>
      <w:r>
        <w:rPr>
          <w:rStyle w:val="27"/>
          <w:rFonts w:ascii="Arial" w:hAnsi="Arial" w:cs="Arial"/>
          <w:kern w:val="0"/>
          <w:sz w:val="24"/>
        </w:rPr>
        <w:t>第二十部分 其他事项</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_Toc466464106 \h </w:instrText>
      </w:r>
      <w:r>
        <w:rPr>
          <w:rFonts w:ascii="Arial" w:hAnsi="Arial" w:cs="Arial"/>
          <w:sz w:val="24"/>
        </w:rPr>
        <w:fldChar w:fldCharType="separate"/>
      </w:r>
      <w:r>
        <w:rPr>
          <w:rFonts w:ascii="Arial" w:hAnsi="Arial" w:cs="Arial"/>
          <w:sz w:val="24"/>
        </w:rPr>
        <w:t>55</w:t>
      </w:r>
      <w:r>
        <w:rPr>
          <w:rFonts w:ascii="Arial" w:hAnsi="Arial" w:cs="Arial"/>
          <w:sz w:val="24"/>
        </w:rPr>
        <w:fldChar w:fldCharType="end"/>
      </w:r>
      <w:r>
        <w:rPr>
          <w:rFonts w:ascii="Arial" w:hAnsi="Arial" w:cs="Arial"/>
          <w:sz w:val="24"/>
        </w:rPr>
        <w:fldChar w:fldCharType="end"/>
      </w:r>
    </w:p>
    <w:p w14:paraId="7A77E4E9">
      <w:pPr>
        <w:pStyle w:val="19"/>
        <w:tabs>
          <w:tab w:val="right" w:leader="dot" w:pos="8296"/>
        </w:tabs>
        <w:spacing w:line="360" w:lineRule="auto"/>
        <w:rPr>
          <w:rFonts w:ascii="Arial" w:hAnsi="Arial" w:cs="Arial"/>
          <w:sz w:val="24"/>
        </w:rPr>
      </w:pPr>
      <w:r>
        <w:fldChar w:fldCharType="begin"/>
      </w:r>
      <w:r>
        <w:instrText xml:space="preserve"> HYPERLINK \l "_Toc466464107" </w:instrText>
      </w:r>
      <w:r>
        <w:fldChar w:fldCharType="separate"/>
      </w:r>
      <w:r>
        <w:rPr>
          <w:rStyle w:val="27"/>
          <w:rFonts w:ascii="Arial" w:hAnsi="Arial" w:cs="Arial"/>
          <w:kern w:val="0"/>
          <w:sz w:val="24"/>
        </w:rPr>
        <w:t>第二十一部分 基金托管协议的签订</w:t>
      </w:r>
      <w:r>
        <w:rPr>
          <w:rFonts w:ascii="Arial" w:hAnsi="Arial" w:cs="Arial"/>
          <w:sz w:val="24"/>
        </w:rPr>
        <w:tab/>
      </w:r>
      <w:r>
        <w:rPr>
          <w:rFonts w:ascii="Arial" w:hAnsi="Arial" w:cs="Arial"/>
          <w:sz w:val="24"/>
        </w:rPr>
        <w:fldChar w:fldCharType="begin"/>
      </w:r>
      <w:r>
        <w:rPr>
          <w:rFonts w:ascii="Arial" w:hAnsi="Arial" w:cs="Arial"/>
          <w:sz w:val="24"/>
        </w:rPr>
        <w:instrText xml:space="preserve"> PAGEREF _Toc466464107 \h </w:instrText>
      </w:r>
      <w:r>
        <w:rPr>
          <w:rFonts w:ascii="Arial" w:hAnsi="Arial" w:cs="Arial"/>
          <w:sz w:val="24"/>
        </w:rPr>
        <w:fldChar w:fldCharType="separate"/>
      </w:r>
      <w:r>
        <w:rPr>
          <w:rFonts w:ascii="Arial" w:hAnsi="Arial" w:cs="Arial"/>
          <w:sz w:val="24"/>
        </w:rPr>
        <w:t>56</w:t>
      </w:r>
      <w:r>
        <w:rPr>
          <w:rFonts w:ascii="Arial" w:hAnsi="Arial" w:cs="Arial"/>
          <w:sz w:val="24"/>
        </w:rPr>
        <w:fldChar w:fldCharType="end"/>
      </w:r>
      <w:r>
        <w:rPr>
          <w:rFonts w:ascii="Arial" w:hAnsi="Arial" w:cs="Arial"/>
          <w:sz w:val="24"/>
        </w:rPr>
        <w:fldChar w:fldCharType="end"/>
      </w:r>
    </w:p>
    <w:p w14:paraId="35F12A16">
      <w:pPr>
        <w:spacing w:after="120" w:line="360" w:lineRule="auto"/>
        <w:ind w:firstLine="480" w:firstLineChars="200"/>
        <w:rPr>
          <w:rFonts w:ascii="Arial" w:hAnsi="Arial" w:cs="Arial"/>
          <w:sz w:val="24"/>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ascii="Arial" w:hAnsi="Arial" w:cs="Arial"/>
          <w:sz w:val="24"/>
        </w:rPr>
        <w:fldChar w:fldCharType="end"/>
      </w:r>
    </w:p>
    <w:p w14:paraId="0F5BC46F">
      <w:pPr>
        <w:spacing w:line="360" w:lineRule="auto"/>
        <w:ind w:firstLine="480" w:firstLineChars="200"/>
        <w:rPr>
          <w:rFonts w:ascii="Arial" w:hAnsi="Arial" w:cs="Arial"/>
          <w:sz w:val="24"/>
        </w:rPr>
      </w:pPr>
      <w:r>
        <w:rPr>
          <w:rFonts w:hint="eastAsia" w:ascii="Arial" w:hAnsi="Arial" w:cs="Arial"/>
          <w:sz w:val="24"/>
        </w:rPr>
        <w:t>博时恒生港股通红利交易型开放式指数证券投资基金发起式联接基金是由博时恒生港股通高股息率交易型开放式指数证券投资基金发起式联接基金更名而来。</w:t>
      </w:r>
      <w:r>
        <w:rPr>
          <w:rFonts w:ascii="Arial" w:hAnsi="Arial" w:cs="Arial"/>
          <w:sz w:val="24"/>
        </w:rPr>
        <w:t>鉴于</w:t>
      </w:r>
      <w:r>
        <w:rPr>
          <w:rFonts w:hint="eastAsia" w:ascii="Arial" w:hAnsi="Arial" w:cs="Arial"/>
          <w:sz w:val="24"/>
        </w:rPr>
        <w:t>博时基金管理有限公司</w:t>
      </w:r>
      <w:r>
        <w:rPr>
          <w:rFonts w:ascii="Arial" w:hAnsi="Arial" w:cs="Arial"/>
          <w:sz w:val="24"/>
        </w:rPr>
        <w:t>系一家依照中国法律合法成立并有效存续的有限责任公司，按照相关法律法规的规定具备担任基金管理人的资格和能力，拟募集发行</w:t>
      </w:r>
      <w:r>
        <w:rPr>
          <w:rFonts w:hint="eastAsia" w:ascii="Arial" w:hAnsi="Arial" w:cs="Arial"/>
          <w:sz w:val="24"/>
        </w:rPr>
        <w:t>博时恒生港股通红利交易型开放式指数证券投资基金发起式联接基金</w:t>
      </w:r>
      <w:r>
        <w:rPr>
          <w:rFonts w:ascii="Arial" w:hAnsi="Arial" w:cs="Arial"/>
          <w:sz w:val="24"/>
        </w:rPr>
        <w:t>；</w:t>
      </w:r>
    </w:p>
    <w:p w14:paraId="0FEEE822">
      <w:pPr>
        <w:spacing w:line="360" w:lineRule="auto"/>
        <w:ind w:firstLine="480" w:firstLineChars="200"/>
        <w:rPr>
          <w:rFonts w:ascii="Arial" w:hAnsi="Arial" w:cs="Arial"/>
          <w:sz w:val="24"/>
        </w:rPr>
      </w:pPr>
      <w:r>
        <w:rPr>
          <w:rFonts w:ascii="Arial" w:hAnsi="Arial" w:cs="Arial"/>
          <w:sz w:val="24"/>
        </w:rPr>
        <w:t>鉴于中国国际金融股份有限公司系一家依照中国法律合法成立并有效存续的</w:t>
      </w:r>
      <w:r>
        <w:rPr>
          <w:rFonts w:hint="eastAsia" w:ascii="Arial" w:hAnsi="Arial" w:cs="Arial"/>
          <w:sz w:val="24"/>
        </w:rPr>
        <w:t>股份有限公司</w:t>
      </w:r>
      <w:r>
        <w:rPr>
          <w:rFonts w:ascii="Arial" w:hAnsi="Arial" w:cs="Arial"/>
          <w:sz w:val="24"/>
        </w:rPr>
        <w:t>，按照相关法律法规的规定具备担任基金托管人的资格和能力；</w:t>
      </w:r>
    </w:p>
    <w:p w14:paraId="3608043C">
      <w:pPr>
        <w:spacing w:line="360" w:lineRule="auto"/>
        <w:ind w:firstLine="480" w:firstLineChars="200"/>
        <w:rPr>
          <w:rFonts w:ascii="Arial" w:hAnsi="Arial" w:cs="Arial"/>
          <w:sz w:val="24"/>
        </w:rPr>
      </w:pPr>
      <w:r>
        <w:rPr>
          <w:rFonts w:ascii="Arial" w:hAnsi="Arial" w:cs="Arial"/>
          <w:sz w:val="24"/>
        </w:rPr>
        <w:t>鉴于</w:t>
      </w:r>
      <w:r>
        <w:rPr>
          <w:rFonts w:hint="eastAsia" w:ascii="Arial" w:hAnsi="Arial" w:cs="Arial"/>
          <w:sz w:val="24"/>
        </w:rPr>
        <w:t>博时基金管理有限公司</w:t>
      </w:r>
      <w:r>
        <w:rPr>
          <w:rFonts w:ascii="Arial" w:hAnsi="Arial" w:cs="Arial"/>
          <w:sz w:val="24"/>
        </w:rPr>
        <w:t>拟担任</w:t>
      </w:r>
      <w:r>
        <w:rPr>
          <w:rFonts w:hint="eastAsia" w:ascii="Arial" w:hAnsi="Arial" w:cs="Arial"/>
          <w:sz w:val="24"/>
        </w:rPr>
        <w:t>博时恒生港股通红利交易型开放式指数证券投资基金发起式联接基金</w:t>
      </w:r>
      <w:r>
        <w:rPr>
          <w:rFonts w:ascii="Arial" w:hAnsi="Arial" w:cs="Arial"/>
          <w:sz w:val="24"/>
        </w:rPr>
        <w:t>的基金管理人，中国国际金融股份有限公司拟担任</w:t>
      </w:r>
      <w:r>
        <w:rPr>
          <w:rFonts w:hint="eastAsia" w:ascii="Arial" w:hAnsi="Arial" w:cs="Arial"/>
          <w:sz w:val="24"/>
        </w:rPr>
        <w:t>博时恒生港股通红利交易型开放式指数证券投资基金发起式联接基金</w:t>
      </w:r>
      <w:r>
        <w:rPr>
          <w:rFonts w:ascii="Arial" w:hAnsi="Arial" w:cs="Arial"/>
          <w:sz w:val="24"/>
        </w:rPr>
        <w:t>的基金托管人；</w:t>
      </w:r>
    </w:p>
    <w:p w14:paraId="356214E9">
      <w:pPr>
        <w:spacing w:line="360" w:lineRule="auto"/>
        <w:ind w:firstLine="480" w:firstLineChars="200"/>
        <w:rPr>
          <w:rFonts w:ascii="Arial" w:hAnsi="Arial" w:cs="Arial"/>
          <w:sz w:val="24"/>
        </w:rPr>
      </w:pPr>
      <w:r>
        <w:rPr>
          <w:rFonts w:ascii="Arial" w:hAnsi="Arial" w:cs="Arial"/>
          <w:sz w:val="24"/>
        </w:rPr>
        <w:t>为明确</w:t>
      </w:r>
      <w:r>
        <w:rPr>
          <w:rFonts w:hint="eastAsia" w:ascii="Arial" w:hAnsi="Arial" w:cs="Arial"/>
          <w:sz w:val="24"/>
        </w:rPr>
        <w:t>博时恒生港股通红利交易型开放式指数证券投资基金发起式联接基金</w:t>
      </w:r>
      <w:r>
        <w:rPr>
          <w:rFonts w:ascii="Arial" w:hAnsi="Arial" w:cs="Arial"/>
          <w:sz w:val="24"/>
        </w:rPr>
        <w:t>的基金管理人和基金托管人之间的权利义务关系，特制订本托管协议。</w:t>
      </w:r>
    </w:p>
    <w:p w14:paraId="60B090BD">
      <w:pPr>
        <w:spacing w:line="360" w:lineRule="auto"/>
        <w:ind w:firstLine="480" w:firstLineChars="200"/>
        <w:rPr>
          <w:rFonts w:ascii="Arial" w:hAnsi="Arial" w:cs="Arial"/>
          <w:sz w:val="24"/>
        </w:rPr>
      </w:pPr>
      <w:r>
        <w:rPr>
          <w:rFonts w:ascii="Arial" w:hAnsi="Arial" w:cs="Arial"/>
          <w:sz w:val="24"/>
        </w:rPr>
        <w:t>除非另有约定，《</w:t>
      </w:r>
      <w:r>
        <w:rPr>
          <w:rFonts w:hint="eastAsia" w:ascii="Arial" w:hAnsi="Arial" w:cs="Arial"/>
          <w:sz w:val="24"/>
        </w:rPr>
        <w:t>博时恒生港股通红利交易型开放式指数证券投资基金发起式联接基金</w:t>
      </w:r>
      <w:r>
        <w:rPr>
          <w:rFonts w:ascii="Arial" w:hAnsi="Arial" w:cs="Arial"/>
          <w:sz w:val="24"/>
        </w:rPr>
        <w:t>基金合同》（以下简称“《基金合同》”）中定义的术语在用于本托管协议时应具有相同的含义；若有抵触应以《基金合同》为准，并依其条款解释。</w:t>
      </w:r>
    </w:p>
    <w:p w14:paraId="1E034411">
      <w:pPr>
        <w:widowControl/>
        <w:jc w:val="left"/>
        <w:rPr>
          <w:rFonts w:ascii="Arial" w:hAnsi="Arial" w:cs="Arial"/>
          <w:sz w:val="24"/>
        </w:rPr>
      </w:pPr>
    </w:p>
    <w:p w14:paraId="2E163B50">
      <w:pPr>
        <w:pStyle w:val="2"/>
        <w:tabs>
          <w:tab w:val="clear" w:pos="432"/>
        </w:tabs>
        <w:spacing w:before="0" w:after="0" w:line="360" w:lineRule="auto"/>
        <w:ind w:left="420"/>
        <w:rPr>
          <w:rFonts w:ascii="Arial" w:hAnsi="Arial" w:cs="Arial"/>
          <w:bCs w:val="0"/>
          <w:kern w:val="0"/>
          <w:szCs w:val="30"/>
          <w:lang w:val="en-US"/>
        </w:rPr>
      </w:pPr>
      <w:bookmarkStart w:id="10" w:name="_Toc466378876"/>
      <w:bookmarkStart w:id="11" w:name="_Toc125361073"/>
      <w:bookmarkStart w:id="12" w:name="_Toc124749225"/>
      <w:bookmarkStart w:id="13" w:name="_Toc48703884"/>
      <w:bookmarkStart w:id="14" w:name="_Toc523829992"/>
      <w:bookmarkStart w:id="15" w:name="_Toc123626167"/>
      <w:bookmarkStart w:id="16" w:name="_Toc22454432"/>
      <w:bookmarkStart w:id="17" w:name="_Toc140002336"/>
      <w:bookmarkStart w:id="18" w:name="_Toc283383014"/>
      <w:bookmarkStart w:id="19" w:name="_Toc124749936"/>
      <w:bookmarkStart w:id="20" w:name="_Toc290284043"/>
      <w:r>
        <w:rPr>
          <w:rFonts w:ascii="Arial" w:hAnsi="Arial" w:cs="Arial"/>
          <w:bCs w:val="0"/>
          <w:kern w:val="0"/>
          <w:sz w:val="24"/>
          <w:szCs w:val="24"/>
          <w:lang w:val="en-US"/>
        </w:rPr>
        <w:br w:type="page"/>
      </w:r>
      <w:bookmarkStart w:id="21" w:name="_Toc466464087"/>
      <w:r>
        <w:rPr>
          <w:rFonts w:ascii="Arial" w:hAnsi="Arial" w:cs="Arial"/>
          <w:bCs w:val="0"/>
          <w:kern w:val="0"/>
          <w:szCs w:val="30"/>
          <w:lang w:val="en-US"/>
        </w:rPr>
        <w:t>第一部分 基金托管协议当事人</w:t>
      </w:r>
      <w:bookmarkEnd w:id="10"/>
      <w:bookmarkEnd w:id="21"/>
    </w:p>
    <w:bookmarkEnd w:id="11"/>
    <w:bookmarkEnd w:id="12"/>
    <w:bookmarkEnd w:id="13"/>
    <w:bookmarkEnd w:id="14"/>
    <w:bookmarkEnd w:id="15"/>
    <w:bookmarkEnd w:id="16"/>
    <w:bookmarkEnd w:id="17"/>
    <w:bookmarkEnd w:id="18"/>
    <w:bookmarkEnd w:id="19"/>
    <w:bookmarkEnd w:id="20"/>
    <w:p w14:paraId="1BA987C6">
      <w:pPr>
        <w:spacing w:line="360" w:lineRule="auto"/>
        <w:ind w:firstLine="480" w:firstLineChars="200"/>
        <w:rPr>
          <w:rFonts w:ascii="Arial" w:hAnsi="Arial" w:cs="Arial"/>
          <w:sz w:val="24"/>
        </w:rPr>
      </w:pPr>
      <w:bookmarkStart w:id="22" w:name="_Toc48703885"/>
      <w:bookmarkStart w:id="23" w:name="_Toc22454433"/>
      <w:r>
        <w:rPr>
          <w:rFonts w:ascii="Arial" w:hAnsi="Arial" w:cs="Arial"/>
          <w:sz w:val="24"/>
        </w:rPr>
        <w:t>（一）基金管理人</w:t>
      </w:r>
      <w:bookmarkEnd w:id="22"/>
      <w:bookmarkEnd w:id="23"/>
    </w:p>
    <w:p w14:paraId="5A99E877">
      <w:pPr>
        <w:spacing w:line="360" w:lineRule="auto"/>
        <w:ind w:firstLine="480" w:firstLineChars="200"/>
        <w:rPr>
          <w:rFonts w:ascii="Arial" w:hAnsi="Arial" w:cs="Arial"/>
          <w:sz w:val="24"/>
        </w:rPr>
      </w:pPr>
      <w:bookmarkStart w:id="24" w:name="_Toc22454434"/>
      <w:bookmarkStart w:id="25" w:name="_Toc48703886"/>
      <w:r>
        <w:rPr>
          <w:rFonts w:hint="eastAsia" w:ascii="Arial" w:hAnsi="Arial" w:cs="Arial"/>
          <w:sz w:val="24"/>
        </w:rPr>
        <w:t>名称：博时基金管理有限公司</w:t>
      </w:r>
    </w:p>
    <w:p w14:paraId="3432632A">
      <w:pPr>
        <w:spacing w:line="360" w:lineRule="auto"/>
        <w:ind w:firstLine="480" w:firstLineChars="200"/>
        <w:rPr>
          <w:rFonts w:ascii="Arial" w:hAnsi="Arial" w:cs="Arial"/>
          <w:sz w:val="24"/>
        </w:rPr>
      </w:pPr>
      <w:r>
        <w:rPr>
          <w:rFonts w:hint="eastAsia" w:ascii="Arial" w:hAnsi="Arial" w:cs="Arial"/>
          <w:sz w:val="24"/>
        </w:rPr>
        <w:t>住所：深圳市福田区莲花街道福新社区益田路5999号基金大厦21层</w:t>
      </w:r>
    </w:p>
    <w:p w14:paraId="41EB2CE9">
      <w:pPr>
        <w:spacing w:line="360" w:lineRule="auto"/>
        <w:ind w:firstLine="480" w:firstLineChars="200"/>
        <w:rPr>
          <w:rFonts w:ascii="Arial" w:hAnsi="Arial" w:cs="Arial"/>
          <w:sz w:val="24"/>
        </w:rPr>
      </w:pPr>
      <w:r>
        <w:rPr>
          <w:rFonts w:hint="eastAsia" w:ascii="Arial" w:hAnsi="Arial" w:cs="Arial"/>
          <w:sz w:val="24"/>
        </w:rPr>
        <w:t>办公地址：广东省深圳市福田区益田路5999号基金大厦21层</w:t>
      </w:r>
    </w:p>
    <w:p w14:paraId="2AC4E78A">
      <w:pPr>
        <w:spacing w:line="360" w:lineRule="auto"/>
        <w:ind w:firstLine="480" w:firstLineChars="200"/>
        <w:rPr>
          <w:rFonts w:ascii="Arial" w:hAnsi="Arial" w:cs="Arial"/>
          <w:sz w:val="24"/>
        </w:rPr>
      </w:pPr>
      <w:r>
        <w:rPr>
          <w:rFonts w:hint="eastAsia" w:ascii="Arial" w:hAnsi="Arial" w:cs="Arial"/>
          <w:sz w:val="24"/>
        </w:rPr>
        <w:t>邮政编码：518040</w:t>
      </w:r>
    </w:p>
    <w:p w14:paraId="1A5D3C8A">
      <w:pPr>
        <w:spacing w:line="360" w:lineRule="auto"/>
        <w:ind w:firstLine="480" w:firstLineChars="200"/>
        <w:rPr>
          <w:rFonts w:ascii="Arial" w:hAnsi="Arial" w:cs="Arial"/>
          <w:sz w:val="24"/>
        </w:rPr>
      </w:pPr>
      <w:r>
        <w:rPr>
          <w:rFonts w:hint="eastAsia" w:ascii="Arial" w:hAnsi="Arial" w:cs="Arial"/>
          <w:sz w:val="24"/>
        </w:rPr>
        <w:t>法定代表人：张东</w:t>
      </w:r>
    </w:p>
    <w:p w14:paraId="03341D3C">
      <w:pPr>
        <w:spacing w:line="360" w:lineRule="auto"/>
        <w:ind w:firstLine="480" w:firstLineChars="200"/>
        <w:rPr>
          <w:rFonts w:ascii="Arial" w:hAnsi="Arial" w:cs="Arial"/>
          <w:sz w:val="24"/>
        </w:rPr>
      </w:pPr>
      <w:r>
        <w:rPr>
          <w:rFonts w:hint="eastAsia" w:ascii="Arial" w:hAnsi="Arial" w:cs="Arial"/>
          <w:sz w:val="24"/>
        </w:rPr>
        <w:t>成立时间： 1998年7月13日</w:t>
      </w:r>
    </w:p>
    <w:p w14:paraId="42418219">
      <w:pPr>
        <w:spacing w:line="360" w:lineRule="auto"/>
        <w:ind w:firstLine="480" w:firstLineChars="200"/>
        <w:rPr>
          <w:rFonts w:ascii="Arial" w:hAnsi="Arial" w:cs="Arial"/>
          <w:sz w:val="24"/>
        </w:rPr>
      </w:pPr>
      <w:r>
        <w:rPr>
          <w:rFonts w:hint="eastAsia" w:ascii="Arial" w:hAnsi="Arial" w:cs="Arial"/>
          <w:sz w:val="24"/>
        </w:rPr>
        <w:t>批准设立机关：中国证券监督管理委员会</w:t>
      </w:r>
    </w:p>
    <w:p w14:paraId="1F662E8E">
      <w:pPr>
        <w:spacing w:line="360" w:lineRule="auto"/>
        <w:ind w:firstLine="480" w:firstLineChars="200"/>
        <w:rPr>
          <w:rFonts w:ascii="Arial" w:hAnsi="Arial" w:cs="Arial"/>
          <w:sz w:val="24"/>
        </w:rPr>
      </w:pPr>
      <w:r>
        <w:rPr>
          <w:rFonts w:hint="eastAsia" w:ascii="Arial" w:hAnsi="Arial" w:cs="Arial"/>
          <w:sz w:val="24"/>
        </w:rPr>
        <w:t>批准设立文号：中国证监会证监基字【1998】26号</w:t>
      </w:r>
    </w:p>
    <w:p w14:paraId="4DD0055A">
      <w:pPr>
        <w:spacing w:line="360" w:lineRule="auto"/>
        <w:ind w:firstLine="480" w:firstLineChars="200"/>
        <w:rPr>
          <w:rFonts w:ascii="Arial" w:hAnsi="Arial" w:cs="Arial"/>
          <w:sz w:val="24"/>
        </w:rPr>
      </w:pPr>
      <w:r>
        <w:rPr>
          <w:rFonts w:hint="eastAsia" w:ascii="Arial" w:hAnsi="Arial" w:cs="Arial"/>
          <w:sz w:val="24"/>
        </w:rPr>
        <w:t>组织形式：有限责任公司</w:t>
      </w:r>
    </w:p>
    <w:p w14:paraId="0DC69367">
      <w:pPr>
        <w:spacing w:line="360" w:lineRule="auto"/>
        <w:ind w:firstLine="480" w:firstLineChars="200"/>
        <w:rPr>
          <w:rFonts w:ascii="Arial" w:hAnsi="Arial" w:cs="Arial"/>
          <w:sz w:val="24"/>
        </w:rPr>
      </w:pPr>
      <w:r>
        <w:rPr>
          <w:rFonts w:hint="eastAsia" w:ascii="Arial" w:hAnsi="Arial" w:cs="Arial"/>
          <w:sz w:val="24"/>
        </w:rPr>
        <w:t>注册资本：2.5亿元人民币</w:t>
      </w:r>
    </w:p>
    <w:p w14:paraId="3199DF46">
      <w:pPr>
        <w:spacing w:line="360" w:lineRule="auto"/>
        <w:ind w:firstLine="480" w:firstLineChars="200"/>
        <w:rPr>
          <w:rFonts w:ascii="Arial" w:hAnsi="Arial" w:cs="Arial"/>
          <w:sz w:val="24"/>
        </w:rPr>
      </w:pPr>
      <w:r>
        <w:rPr>
          <w:rFonts w:hint="eastAsia" w:ascii="Arial" w:hAnsi="Arial" w:cs="Arial"/>
          <w:sz w:val="24"/>
        </w:rPr>
        <w:t>存续期间：持续经营</w:t>
      </w:r>
    </w:p>
    <w:p w14:paraId="40E6A580">
      <w:pPr>
        <w:spacing w:line="360" w:lineRule="auto"/>
        <w:ind w:left="315" w:leftChars="150" w:firstLine="120" w:firstLineChars="50"/>
        <w:rPr>
          <w:rFonts w:ascii="Arial" w:hAnsi="Arial" w:cs="Arial"/>
          <w:sz w:val="24"/>
        </w:rPr>
      </w:pPr>
      <w:r>
        <w:rPr>
          <w:rFonts w:hint="eastAsia" w:ascii="Arial" w:hAnsi="Arial" w:cs="Arial"/>
          <w:sz w:val="24"/>
        </w:rPr>
        <w:t>经营范围：基金募集；基金销售；资产管理以及中国证监会许可的其它业务。</w:t>
      </w:r>
      <w:r>
        <w:rPr>
          <w:rFonts w:ascii="Arial" w:hAnsi="Arial" w:cs="Arial"/>
          <w:sz w:val="24"/>
        </w:rPr>
        <w:t>（二）基金托管人</w:t>
      </w:r>
      <w:bookmarkEnd w:id="24"/>
      <w:bookmarkEnd w:id="25"/>
    </w:p>
    <w:p w14:paraId="06E8B3ED">
      <w:pPr>
        <w:spacing w:line="360" w:lineRule="auto"/>
        <w:ind w:firstLine="480" w:firstLineChars="200"/>
        <w:rPr>
          <w:bCs/>
          <w:sz w:val="24"/>
        </w:rPr>
      </w:pPr>
      <w:r>
        <w:rPr>
          <w:bCs/>
          <w:sz w:val="24"/>
        </w:rPr>
        <w:t>名称：</w:t>
      </w:r>
      <w:r>
        <w:rPr>
          <w:rFonts w:hint="eastAsia"/>
          <w:bCs/>
          <w:sz w:val="24"/>
        </w:rPr>
        <w:t>中国国际金融股份有限公司</w:t>
      </w:r>
    </w:p>
    <w:p w14:paraId="0ECB448D">
      <w:pPr>
        <w:widowControl/>
        <w:spacing w:before="50" w:after="50" w:line="360" w:lineRule="auto"/>
        <w:ind w:firstLine="480"/>
        <w:jc w:val="left"/>
        <w:rPr>
          <w:bCs/>
          <w:sz w:val="24"/>
        </w:rPr>
      </w:pPr>
      <w:r>
        <w:rPr>
          <w:bCs/>
          <w:sz w:val="24"/>
        </w:rPr>
        <w:t>住所：</w:t>
      </w:r>
      <w:r>
        <w:rPr>
          <w:rFonts w:hint="eastAsia"/>
          <w:bCs/>
          <w:sz w:val="24"/>
        </w:rPr>
        <w:t>北京市朝阳区建国门外大街</w:t>
      </w:r>
      <w:r>
        <w:rPr>
          <w:bCs/>
          <w:sz w:val="24"/>
        </w:rPr>
        <w:t>1</w:t>
      </w:r>
      <w:r>
        <w:rPr>
          <w:rFonts w:hint="eastAsia"/>
          <w:bCs/>
          <w:sz w:val="24"/>
        </w:rPr>
        <w:t>号国贸大厦</w:t>
      </w:r>
      <w:r>
        <w:rPr>
          <w:bCs/>
          <w:sz w:val="24"/>
        </w:rPr>
        <w:t>2</w:t>
      </w:r>
      <w:r>
        <w:rPr>
          <w:rFonts w:hint="eastAsia"/>
          <w:bCs/>
          <w:sz w:val="24"/>
        </w:rPr>
        <w:t>座</w:t>
      </w:r>
      <w:r>
        <w:rPr>
          <w:bCs/>
          <w:sz w:val="24"/>
        </w:rPr>
        <w:t>27</w:t>
      </w:r>
      <w:r>
        <w:rPr>
          <w:rFonts w:hint="eastAsia"/>
          <w:bCs/>
          <w:sz w:val="24"/>
        </w:rPr>
        <w:t>层及</w:t>
      </w:r>
      <w:r>
        <w:rPr>
          <w:bCs/>
          <w:sz w:val="24"/>
        </w:rPr>
        <w:t>28</w:t>
      </w:r>
      <w:r>
        <w:rPr>
          <w:rFonts w:hint="eastAsia"/>
          <w:bCs/>
          <w:sz w:val="24"/>
        </w:rPr>
        <w:t>层</w:t>
      </w:r>
    </w:p>
    <w:p w14:paraId="42621434">
      <w:pPr>
        <w:widowControl/>
        <w:spacing w:before="50" w:after="50" w:line="360" w:lineRule="auto"/>
        <w:ind w:firstLine="480"/>
        <w:jc w:val="left"/>
        <w:rPr>
          <w:bCs/>
          <w:sz w:val="24"/>
        </w:rPr>
      </w:pPr>
      <w:r>
        <w:rPr>
          <w:bCs/>
          <w:sz w:val="24"/>
        </w:rPr>
        <w:t>法定代表人：</w:t>
      </w:r>
      <w:r>
        <w:rPr>
          <w:rFonts w:hint="eastAsia"/>
          <w:bCs/>
          <w:sz w:val="24"/>
        </w:rPr>
        <w:t xml:space="preserve">陈亮 </w:t>
      </w:r>
    </w:p>
    <w:p w14:paraId="015CE85A">
      <w:pPr>
        <w:spacing w:line="360" w:lineRule="auto"/>
        <w:ind w:firstLine="480" w:firstLineChars="200"/>
        <w:rPr>
          <w:bCs/>
          <w:sz w:val="24"/>
        </w:rPr>
      </w:pPr>
      <w:r>
        <w:rPr>
          <w:bCs/>
          <w:sz w:val="24"/>
        </w:rPr>
        <w:t>成立时间：1995</w:t>
      </w:r>
      <w:r>
        <w:rPr>
          <w:rFonts w:hint="eastAsia"/>
          <w:bCs/>
          <w:sz w:val="24"/>
        </w:rPr>
        <w:t>年</w:t>
      </w:r>
      <w:r>
        <w:rPr>
          <w:bCs/>
          <w:sz w:val="24"/>
        </w:rPr>
        <w:t>7</w:t>
      </w:r>
      <w:r>
        <w:rPr>
          <w:rFonts w:hint="eastAsia"/>
          <w:bCs/>
          <w:sz w:val="24"/>
        </w:rPr>
        <w:t>月</w:t>
      </w:r>
      <w:r>
        <w:rPr>
          <w:bCs/>
          <w:sz w:val="24"/>
        </w:rPr>
        <w:t>31</w:t>
      </w:r>
      <w:r>
        <w:rPr>
          <w:rFonts w:hint="eastAsia"/>
          <w:bCs/>
          <w:sz w:val="24"/>
        </w:rPr>
        <w:t>日</w:t>
      </w:r>
    </w:p>
    <w:p w14:paraId="31741531">
      <w:pPr>
        <w:spacing w:line="360" w:lineRule="auto"/>
        <w:ind w:firstLine="480" w:firstLineChars="200"/>
        <w:rPr>
          <w:bCs/>
          <w:sz w:val="24"/>
        </w:rPr>
      </w:pPr>
      <w:r>
        <w:rPr>
          <w:bCs/>
          <w:sz w:val="24"/>
        </w:rPr>
        <w:t>组织形式</w:t>
      </w:r>
      <w:r>
        <w:rPr>
          <w:rFonts w:hint="eastAsia"/>
          <w:bCs/>
          <w:sz w:val="24"/>
        </w:rPr>
        <w:t>：股份有限公司</w:t>
      </w:r>
    </w:p>
    <w:p w14:paraId="769CD869">
      <w:pPr>
        <w:spacing w:line="360" w:lineRule="auto"/>
        <w:ind w:firstLine="480" w:firstLineChars="200"/>
        <w:rPr>
          <w:bCs/>
          <w:sz w:val="24"/>
        </w:rPr>
      </w:pPr>
      <w:r>
        <w:rPr>
          <w:bCs/>
          <w:sz w:val="24"/>
        </w:rPr>
        <w:t>注册资本：</w:t>
      </w:r>
      <w:r>
        <w:rPr>
          <w:rFonts w:hint="eastAsia"/>
          <w:bCs/>
          <w:sz w:val="24"/>
        </w:rPr>
        <w:t>人民币</w:t>
      </w:r>
      <w:r>
        <w:rPr>
          <w:bCs/>
          <w:sz w:val="24"/>
        </w:rPr>
        <w:t>482725.6868</w:t>
      </w:r>
      <w:r>
        <w:rPr>
          <w:rFonts w:hint="eastAsia"/>
          <w:bCs/>
          <w:sz w:val="24"/>
        </w:rPr>
        <w:t>万元</w:t>
      </w:r>
    </w:p>
    <w:p w14:paraId="45CC0433">
      <w:pPr>
        <w:spacing w:line="360" w:lineRule="auto"/>
        <w:ind w:firstLine="480" w:firstLineChars="200"/>
        <w:rPr>
          <w:bCs/>
          <w:sz w:val="24"/>
        </w:rPr>
      </w:pPr>
      <w:r>
        <w:rPr>
          <w:bCs/>
          <w:sz w:val="24"/>
        </w:rPr>
        <w:t>存续期</w:t>
      </w:r>
      <w:r>
        <w:rPr>
          <w:rFonts w:hint="eastAsia"/>
          <w:bCs/>
          <w:sz w:val="24"/>
        </w:rPr>
        <w:t>限</w:t>
      </w:r>
      <w:r>
        <w:rPr>
          <w:bCs/>
          <w:sz w:val="24"/>
        </w:rPr>
        <w:t>：</w:t>
      </w:r>
      <w:r>
        <w:rPr>
          <w:rFonts w:hint="eastAsia"/>
          <w:bCs/>
          <w:sz w:val="24"/>
        </w:rPr>
        <w:t>持续经营</w:t>
      </w:r>
    </w:p>
    <w:p w14:paraId="237D5A57">
      <w:pPr>
        <w:spacing w:line="360" w:lineRule="auto"/>
        <w:ind w:firstLine="480" w:firstLineChars="200"/>
        <w:rPr>
          <w:bCs/>
          <w:color w:val="000000"/>
          <w:sz w:val="24"/>
        </w:rPr>
      </w:pPr>
      <w:r>
        <w:rPr>
          <w:bCs/>
          <w:sz w:val="24"/>
        </w:rPr>
        <w:t>基金托管资格批</w:t>
      </w:r>
      <w:r>
        <w:rPr>
          <w:rFonts w:hint="eastAsia"/>
          <w:bCs/>
          <w:sz w:val="24"/>
        </w:rPr>
        <w:t>准机关</w:t>
      </w:r>
      <w:r>
        <w:rPr>
          <w:bCs/>
          <w:sz w:val="24"/>
        </w:rPr>
        <w:t>及</w:t>
      </w:r>
      <w:r>
        <w:rPr>
          <w:rFonts w:hint="eastAsia"/>
          <w:bCs/>
          <w:sz w:val="24"/>
        </w:rPr>
        <w:t>批准</w:t>
      </w:r>
      <w:r>
        <w:rPr>
          <w:bCs/>
          <w:sz w:val="24"/>
        </w:rPr>
        <w:t>文号：</w:t>
      </w:r>
      <w:r>
        <w:rPr>
          <w:rFonts w:hint="eastAsia"/>
          <w:bCs/>
          <w:sz w:val="24"/>
        </w:rPr>
        <w:t>中国证券监督管理委员会</w:t>
      </w:r>
      <w:r>
        <w:rPr>
          <w:bCs/>
          <w:sz w:val="24"/>
        </w:rPr>
        <w:t>,</w:t>
      </w:r>
      <w:r>
        <w:rPr>
          <w:rFonts w:hint="eastAsia"/>
          <w:bCs/>
          <w:sz w:val="24"/>
        </w:rPr>
        <w:t>证监许可［</w:t>
      </w:r>
      <w:r>
        <w:rPr>
          <w:bCs/>
          <w:sz w:val="24"/>
        </w:rPr>
        <w:t>2015</w:t>
      </w:r>
      <w:r>
        <w:rPr>
          <w:rFonts w:hint="eastAsia"/>
          <w:bCs/>
          <w:sz w:val="24"/>
        </w:rPr>
        <w:t>］</w:t>
      </w:r>
      <w:r>
        <w:rPr>
          <w:bCs/>
          <w:sz w:val="24"/>
        </w:rPr>
        <w:t>1441</w:t>
      </w:r>
      <w:r>
        <w:rPr>
          <w:rFonts w:hint="eastAsia"/>
          <w:bCs/>
          <w:sz w:val="24"/>
        </w:rPr>
        <w:t>号</w:t>
      </w:r>
    </w:p>
    <w:p w14:paraId="0747ADD2">
      <w:pPr>
        <w:spacing w:line="360" w:lineRule="auto"/>
        <w:ind w:firstLine="480" w:firstLineChars="200"/>
        <w:rPr>
          <w:rFonts w:ascii="Arial" w:hAnsi="Arial" w:cs="Arial"/>
          <w:bCs/>
          <w:sz w:val="24"/>
          <w:szCs w:val="20"/>
        </w:rPr>
      </w:pPr>
      <w:r>
        <w:rPr>
          <w:rFonts w:hint="eastAsia"/>
          <w:bCs/>
          <w:sz w:val="24"/>
        </w:rPr>
        <w:t>经营范围：许可项目：证券业务；外汇业务；公募证券投资基金销售；证券公司为期货公司提供中间介绍业务；证券投资基金托管。（依法须经批准的项目，经相关部门批准后方可开展经营活动，具体经营项目以相关部门批准文件或许可证件为准）（不得从事国家和本市产业政策禁止和限制类项目的经营活动。）</w:t>
      </w:r>
    </w:p>
    <w:p w14:paraId="34C40820">
      <w:pPr>
        <w:spacing w:after="120" w:line="360" w:lineRule="auto"/>
        <w:rPr>
          <w:rFonts w:ascii="Arial" w:hAnsi="Arial" w:cs="Arial"/>
          <w:sz w:val="24"/>
        </w:rPr>
      </w:pPr>
    </w:p>
    <w:p w14:paraId="69A79FE4">
      <w:pPr>
        <w:pStyle w:val="2"/>
        <w:tabs>
          <w:tab w:val="clear" w:pos="432"/>
        </w:tabs>
        <w:spacing w:before="0" w:after="0" w:line="360" w:lineRule="auto"/>
        <w:ind w:left="420"/>
        <w:rPr>
          <w:rFonts w:ascii="Arial" w:hAnsi="Arial" w:cs="Arial"/>
          <w:bCs w:val="0"/>
          <w:kern w:val="0"/>
          <w:szCs w:val="30"/>
          <w:lang w:val="en-US"/>
        </w:rPr>
      </w:pPr>
      <w:bookmarkStart w:id="26" w:name="_Toc466378877"/>
      <w:bookmarkStart w:id="27" w:name="_Toc125361074"/>
      <w:bookmarkStart w:id="28" w:name="_Toc48703887"/>
      <w:bookmarkStart w:id="29" w:name="_Toc523829993"/>
      <w:bookmarkStart w:id="30" w:name="_Toc283383015"/>
      <w:bookmarkStart w:id="31" w:name="_Toc466788852"/>
      <w:bookmarkStart w:id="32" w:name="_Toc290284044"/>
      <w:bookmarkStart w:id="33" w:name="_Toc124749937"/>
      <w:bookmarkStart w:id="34" w:name="_Toc140002337"/>
      <w:bookmarkStart w:id="35" w:name="_Toc123626168"/>
      <w:bookmarkStart w:id="36" w:name="_Toc124749226"/>
      <w:bookmarkStart w:id="37" w:name="_Toc22454435"/>
      <w:r>
        <w:rPr>
          <w:rFonts w:ascii="Arial" w:hAnsi="Arial" w:cs="Arial"/>
          <w:b w:val="0"/>
          <w:kern w:val="0"/>
          <w:sz w:val="24"/>
        </w:rPr>
        <w:br w:type="page"/>
      </w:r>
      <w:bookmarkStart w:id="38" w:name="_Toc466464088"/>
      <w:r>
        <w:rPr>
          <w:rFonts w:ascii="Arial" w:hAnsi="Arial" w:cs="Arial"/>
          <w:bCs w:val="0"/>
          <w:kern w:val="0"/>
          <w:szCs w:val="30"/>
          <w:lang w:val="en-US"/>
        </w:rPr>
        <w:t>第二部分 基金托管协议的依据、目的和原则</w:t>
      </w:r>
      <w:bookmarkEnd w:id="26"/>
      <w:bookmarkEnd w:id="38"/>
    </w:p>
    <w:bookmarkEnd w:id="27"/>
    <w:bookmarkEnd w:id="28"/>
    <w:bookmarkEnd w:id="29"/>
    <w:bookmarkEnd w:id="30"/>
    <w:bookmarkEnd w:id="31"/>
    <w:bookmarkEnd w:id="32"/>
    <w:bookmarkEnd w:id="33"/>
    <w:bookmarkEnd w:id="34"/>
    <w:bookmarkEnd w:id="35"/>
    <w:bookmarkEnd w:id="36"/>
    <w:bookmarkEnd w:id="37"/>
    <w:p w14:paraId="4C729C33">
      <w:pPr>
        <w:spacing w:line="360" w:lineRule="auto"/>
        <w:ind w:firstLine="480" w:firstLineChars="200"/>
        <w:rPr>
          <w:rFonts w:ascii="Arial" w:hAnsi="Arial" w:cs="Arial"/>
          <w:sz w:val="24"/>
        </w:rPr>
      </w:pPr>
      <w:r>
        <w:rPr>
          <w:rFonts w:ascii="Arial" w:hAnsi="Arial" w:cs="Arial"/>
          <w:sz w:val="24"/>
        </w:rPr>
        <w:t>（一）订立托管协议的依据</w:t>
      </w:r>
    </w:p>
    <w:p w14:paraId="49FBFA6B">
      <w:pPr>
        <w:spacing w:line="360" w:lineRule="auto"/>
        <w:ind w:firstLine="480" w:firstLineChars="200"/>
        <w:rPr>
          <w:rFonts w:ascii="Arial" w:hAnsi="Arial" w:cs="Arial"/>
          <w:bCs/>
          <w:sz w:val="24"/>
          <w:szCs w:val="20"/>
        </w:rPr>
      </w:pPr>
      <w:r>
        <w:rPr>
          <w:rFonts w:ascii="Arial" w:hAnsi="Arial" w:cs="Arial"/>
          <w:bCs/>
          <w:sz w:val="24"/>
          <w:szCs w:val="20"/>
        </w:rPr>
        <w:t>本协议依据</w:t>
      </w:r>
      <w:r>
        <w:rPr>
          <w:rFonts w:hint="eastAsia" w:ascii="Arial" w:hAnsi="Arial" w:cs="Arial"/>
          <w:bCs/>
          <w:sz w:val="24"/>
          <w:szCs w:val="20"/>
        </w:rPr>
        <w:t>《中华人民共和国证券法》</w:t>
      </w:r>
      <w:r>
        <w:rPr>
          <w:rFonts w:ascii="Arial" w:hAnsi="Arial" w:cs="Arial"/>
          <w:bCs/>
          <w:sz w:val="24"/>
          <w:szCs w:val="20"/>
        </w:rPr>
        <w:t>（以下称“《</w:t>
      </w:r>
      <w:r>
        <w:rPr>
          <w:rFonts w:hint="eastAsia" w:ascii="Arial" w:hAnsi="Arial" w:cs="Arial"/>
          <w:bCs/>
          <w:sz w:val="24"/>
          <w:szCs w:val="20"/>
        </w:rPr>
        <w:t>证券法</w:t>
      </w:r>
      <w:r>
        <w:rPr>
          <w:rFonts w:ascii="Arial" w:hAnsi="Arial" w:cs="Arial"/>
          <w:bCs/>
          <w:sz w:val="24"/>
          <w:szCs w:val="20"/>
        </w:rPr>
        <w:t>》”）</w:t>
      </w:r>
      <w:r>
        <w:rPr>
          <w:rFonts w:hint="eastAsia" w:ascii="Arial" w:hAnsi="Arial" w:cs="Arial"/>
          <w:bCs/>
          <w:sz w:val="24"/>
          <w:szCs w:val="20"/>
        </w:rPr>
        <w:t>、</w:t>
      </w:r>
      <w:r>
        <w:rPr>
          <w:rFonts w:ascii="Arial" w:hAnsi="Arial" w:cs="Arial"/>
          <w:bCs/>
          <w:sz w:val="24"/>
          <w:szCs w:val="20"/>
        </w:rPr>
        <w:t>《中华人民共和国证券投资基金法》（以下称“《基金法》”）</w:t>
      </w:r>
      <w:r>
        <w:rPr>
          <w:rFonts w:hint="eastAsia" w:ascii="Arial" w:hAnsi="Arial" w:cs="Arial"/>
          <w:bCs/>
          <w:sz w:val="24"/>
          <w:szCs w:val="20"/>
        </w:rPr>
        <w:t>、《公开募集证券投资基金运作管理办法》（以下称“《运作办法》”）、《证券投资基金托管业务管理办法》、《非银行金融机构开展证券投资基金托管业务暂行规定》、</w:t>
      </w:r>
      <w:r>
        <w:rPr>
          <w:rFonts w:hint="eastAsia"/>
          <w:bCs/>
          <w:sz w:val="24"/>
        </w:rPr>
        <w:t>《公开募集开放式证券投资基金流动性风险管理规定》（以下称“《流动性风险管理规定》”）、</w:t>
      </w:r>
      <w:r>
        <w:rPr>
          <w:rFonts w:hint="eastAsia" w:ascii="Arial" w:hAnsi="Arial" w:cs="Arial"/>
          <w:bCs/>
          <w:sz w:val="24"/>
          <w:szCs w:val="20"/>
        </w:rPr>
        <w:t>《公开募集证券投资基金信息披露管理办法》（以下称“《信息披露办法》”）、《证券投资基金信息披露内容与格式准则第</w:t>
      </w:r>
      <w:r>
        <w:rPr>
          <w:rFonts w:ascii="Arial" w:hAnsi="Arial" w:cs="Arial"/>
          <w:bCs/>
          <w:sz w:val="24"/>
          <w:szCs w:val="20"/>
        </w:rPr>
        <w:t>7</w:t>
      </w:r>
      <w:r>
        <w:rPr>
          <w:rFonts w:hint="eastAsia" w:ascii="Arial" w:hAnsi="Arial" w:cs="Arial"/>
          <w:bCs/>
          <w:sz w:val="24"/>
          <w:szCs w:val="20"/>
        </w:rPr>
        <w:t>号</w:t>
      </w:r>
      <w:r>
        <w:rPr>
          <w:rFonts w:ascii="Arial" w:hAnsi="Arial" w:cs="Arial"/>
          <w:bCs/>
          <w:sz w:val="24"/>
          <w:szCs w:val="20"/>
        </w:rPr>
        <w:t>&lt;</w:t>
      </w:r>
      <w:r>
        <w:rPr>
          <w:rFonts w:hint="eastAsia" w:ascii="Arial" w:hAnsi="Arial" w:cs="Arial"/>
          <w:bCs/>
          <w:sz w:val="24"/>
          <w:szCs w:val="20"/>
        </w:rPr>
        <w:t>托管协议的内容与格式</w:t>
      </w:r>
      <w:r>
        <w:rPr>
          <w:rFonts w:ascii="Arial" w:hAnsi="Arial" w:cs="Arial"/>
          <w:bCs/>
          <w:sz w:val="24"/>
          <w:szCs w:val="20"/>
        </w:rPr>
        <w:t>&gt;</w:t>
      </w:r>
      <w:r>
        <w:rPr>
          <w:rFonts w:hint="eastAsia" w:ascii="Arial" w:hAnsi="Arial" w:cs="Arial"/>
          <w:bCs/>
          <w:sz w:val="24"/>
          <w:szCs w:val="20"/>
        </w:rPr>
        <w:t>》和其他有关法律、法规、规章</w:t>
      </w:r>
      <w:r>
        <w:rPr>
          <w:rFonts w:ascii="Arial" w:hAnsi="Arial" w:cs="Arial"/>
          <w:bCs/>
          <w:sz w:val="24"/>
          <w:szCs w:val="20"/>
        </w:rPr>
        <w:t>等有关法律法规、《基金合同》及其他有关规定制订。</w:t>
      </w:r>
    </w:p>
    <w:p w14:paraId="168C11A1">
      <w:pPr>
        <w:spacing w:line="360" w:lineRule="auto"/>
        <w:ind w:firstLine="480" w:firstLineChars="200"/>
        <w:rPr>
          <w:rFonts w:ascii="Arial" w:hAnsi="Arial" w:cs="Arial"/>
          <w:sz w:val="24"/>
        </w:rPr>
      </w:pPr>
      <w:r>
        <w:rPr>
          <w:rFonts w:ascii="Arial" w:hAnsi="Arial" w:cs="Arial"/>
          <w:sz w:val="24"/>
        </w:rPr>
        <w:t>（二）订立托管协议的目的</w:t>
      </w:r>
    </w:p>
    <w:p w14:paraId="07D17592">
      <w:pPr>
        <w:spacing w:line="360" w:lineRule="auto"/>
        <w:ind w:firstLine="480" w:firstLineChars="200"/>
        <w:rPr>
          <w:rFonts w:ascii="Arial" w:hAnsi="Arial" w:cs="Arial"/>
          <w:sz w:val="24"/>
        </w:rPr>
      </w:pPr>
      <w:r>
        <w:rPr>
          <w:rFonts w:ascii="Arial" w:hAnsi="Arial" w:cs="Arial"/>
          <w:sz w:val="24"/>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5F40715D">
      <w:pPr>
        <w:spacing w:line="360" w:lineRule="auto"/>
        <w:ind w:firstLine="480" w:firstLineChars="200"/>
        <w:rPr>
          <w:rFonts w:ascii="Arial" w:hAnsi="Arial" w:cs="Arial"/>
          <w:sz w:val="24"/>
        </w:rPr>
      </w:pPr>
      <w:r>
        <w:rPr>
          <w:rFonts w:ascii="Arial" w:hAnsi="Arial" w:cs="Arial"/>
          <w:sz w:val="24"/>
        </w:rPr>
        <w:t>（三）订立托管协议的原则</w:t>
      </w:r>
    </w:p>
    <w:p w14:paraId="01DB794C">
      <w:pPr>
        <w:spacing w:line="360" w:lineRule="auto"/>
        <w:ind w:firstLine="480" w:firstLineChars="200"/>
        <w:rPr>
          <w:rFonts w:ascii="Arial" w:hAnsi="Arial" w:cs="Arial"/>
          <w:sz w:val="24"/>
        </w:rPr>
      </w:pPr>
      <w:r>
        <w:rPr>
          <w:rFonts w:ascii="Arial" w:hAnsi="Arial" w:cs="Arial"/>
          <w:sz w:val="24"/>
        </w:rPr>
        <w:t>基金管理人和基金托管人本着平等自愿、诚实信用、充分保护基金份额持有人合法权益的原则，经协商一致，签订本协议。</w:t>
      </w:r>
    </w:p>
    <w:p w14:paraId="22385D69">
      <w:pPr>
        <w:spacing w:line="360" w:lineRule="auto"/>
        <w:ind w:firstLine="480" w:firstLineChars="200"/>
        <w:rPr>
          <w:rFonts w:ascii="Arial" w:hAnsi="Arial" w:cs="Arial"/>
          <w:sz w:val="24"/>
        </w:rPr>
      </w:pPr>
      <w:r>
        <w:rPr>
          <w:rFonts w:ascii="Arial" w:hAnsi="Arial" w:cs="Arial"/>
          <w:sz w:val="24"/>
        </w:rPr>
        <w:t xml:space="preserve">（四）解释 </w:t>
      </w:r>
    </w:p>
    <w:p w14:paraId="09B0AC06">
      <w:pPr>
        <w:spacing w:line="360" w:lineRule="auto"/>
        <w:ind w:firstLine="480" w:firstLineChars="200"/>
        <w:rPr>
          <w:rFonts w:ascii="Arial" w:hAnsi="Arial" w:cs="Arial"/>
          <w:sz w:val="24"/>
        </w:rPr>
      </w:pPr>
      <w:r>
        <w:rPr>
          <w:rFonts w:ascii="Arial" w:hAnsi="Arial" w:cs="Arial"/>
          <w:sz w:val="24"/>
        </w:rPr>
        <w:t>除非文义另有所指，本协议所使用的所有术语与基金合同的相应术语具有相同含义。</w:t>
      </w:r>
    </w:p>
    <w:p w14:paraId="52B6EFE1">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rPr>
        <w:br w:type="page"/>
      </w:r>
      <w:bookmarkStart w:id="39" w:name="_Toc466464089"/>
      <w:bookmarkStart w:id="40" w:name="_Toc466378878"/>
      <w:bookmarkStart w:id="41" w:name="_Toc140002338"/>
      <w:bookmarkStart w:id="42" w:name="_Toc290284045"/>
      <w:bookmarkStart w:id="43" w:name="_Toc124749938"/>
      <w:bookmarkStart w:id="44" w:name="_Toc125361075"/>
      <w:bookmarkStart w:id="45" w:name="_Toc283383016"/>
      <w:bookmarkStart w:id="46" w:name="_Toc124749227"/>
      <w:r>
        <w:rPr>
          <w:rFonts w:ascii="Arial" w:hAnsi="Arial" w:cs="Arial"/>
          <w:bCs w:val="0"/>
          <w:kern w:val="0"/>
          <w:szCs w:val="30"/>
          <w:lang w:val="en-US"/>
        </w:rPr>
        <w:t>第三部分 基金托管人对基金管理人的业务监督和核查</w:t>
      </w:r>
      <w:bookmarkEnd w:id="39"/>
      <w:bookmarkEnd w:id="40"/>
    </w:p>
    <w:p w14:paraId="44877651">
      <w:pPr>
        <w:spacing w:line="372" w:lineRule="auto"/>
        <w:ind w:firstLine="480" w:firstLineChars="200"/>
        <w:rPr>
          <w:rFonts w:ascii="Arial" w:hAnsi="Arial" w:cs="Arial"/>
          <w:sz w:val="24"/>
        </w:rPr>
      </w:pPr>
      <w:r>
        <w:rPr>
          <w:rFonts w:ascii="Arial" w:hAnsi="Arial" w:cs="Arial"/>
          <w:sz w:val="24"/>
        </w:rPr>
        <w:t>（一）</w:t>
      </w:r>
      <w:bookmarkEnd w:id="41"/>
      <w:bookmarkEnd w:id="42"/>
      <w:bookmarkEnd w:id="43"/>
      <w:bookmarkEnd w:id="44"/>
      <w:bookmarkEnd w:id="45"/>
      <w:bookmarkEnd w:id="46"/>
      <w:r>
        <w:rPr>
          <w:rFonts w:ascii="Arial" w:hAnsi="Arial" w:cs="Arial"/>
          <w:sz w:val="24"/>
        </w:rPr>
        <w:t>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14:paraId="0FC36D19">
      <w:pPr>
        <w:spacing w:line="372" w:lineRule="auto"/>
        <w:ind w:firstLine="480" w:firstLineChars="200"/>
        <w:rPr>
          <w:rFonts w:ascii="Arial" w:hAnsi="Arial" w:cs="Arial"/>
          <w:sz w:val="24"/>
        </w:rPr>
      </w:pPr>
      <w:r>
        <w:rPr>
          <w:rFonts w:ascii="Arial" w:hAnsi="Arial" w:cs="Arial"/>
          <w:sz w:val="24"/>
        </w:rPr>
        <w:t>本基金将投资于以下金融工具：</w:t>
      </w:r>
    </w:p>
    <w:p w14:paraId="5B158F83">
      <w:pPr>
        <w:spacing w:line="372" w:lineRule="auto"/>
        <w:ind w:firstLine="480" w:firstLineChars="200"/>
        <w:rPr>
          <w:bCs/>
          <w:sz w:val="24"/>
        </w:rPr>
      </w:pPr>
      <w:r>
        <w:rPr>
          <w:rFonts w:hint="eastAsia"/>
          <w:bCs/>
          <w:sz w:val="24"/>
        </w:rPr>
        <w:t>本基金主要投资于目标ETF、标的指数即恒生港股通红利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51BEEEBC">
      <w:pPr>
        <w:spacing w:line="372" w:lineRule="auto"/>
        <w:ind w:firstLine="480" w:firstLineChars="200"/>
        <w:rPr>
          <w:bCs/>
          <w:sz w:val="24"/>
        </w:rPr>
      </w:pPr>
      <w:r>
        <w:rPr>
          <w:rFonts w:hint="eastAsia"/>
          <w:bCs/>
          <w:sz w:val="24"/>
        </w:rPr>
        <w:t>本基金可根据相关法律法规和基金合同的约定参与融资和转融通证券出借业务。</w:t>
      </w:r>
    </w:p>
    <w:p w14:paraId="2378418E">
      <w:pPr>
        <w:spacing w:line="372" w:lineRule="auto"/>
        <w:ind w:firstLine="480" w:firstLineChars="200"/>
        <w:rPr>
          <w:bCs/>
          <w:sz w:val="24"/>
        </w:rPr>
      </w:pPr>
      <w:r>
        <w:rPr>
          <w:rFonts w:hint="eastAsia"/>
          <w:bCs/>
          <w:sz w:val="24"/>
        </w:rPr>
        <w:t>如法律法规或监管机构以后允许基金投资其他品种，基金管理人在履行适当程序后，可以将其纳入投资范围。</w:t>
      </w:r>
    </w:p>
    <w:p w14:paraId="508A870D">
      <w:pPr>
        <w:spacing w:line="372" w:lineRule="auto"/>
        <w:ind w:firstLine="480" w:firstLineChars="200"/>
        <w:rPr>
          <w:bCs/>
          <w:sz w:val="24"/>
        </w:rPr>
      </w:pPr>
      <w:r>
        <w:rPr>
          <w:rFonts w:hint="eastAsia"/>
          <w:bCs/>
          <w:sz w:val="24"/>
        </w:rPr>
        <w:t>本基金投资于目标ETF的资产比例不低于基金资产净值的90%，股指期货、国债期货、股</w:t>
      </w:r>
      <w:r>
        <w:rPr>
          <w:bCs/>
          <w:sz w:val="24"/>
        </w:rPr>
        <w:t>票</w:t>
      </w:r>
      <w:r>
        <w:rPr>
          <w:rFonts w:hint="eastAsia"/>
          <w:bCs/>
          <w:sz w:val="24"/>
        </w:rPr>
        <w:t>期权及其他金融工具的投资比例依照法律法规或监管机构的规定执行。本基金每个交易日日终在扣除股指期货、国债期货和股票期权合约需缴纳的交易保证金后，对现金或者到期日在一年以内的政府债券的投资比例不低于基金资产净值的5%，其中，现金不包括结算备付金、存出保证金、应收申购款等。</w:t>
      </w:r>
    </w:p>
    <w:p w14:paraId="5F1FCDFC">
      <w:pPr>
        <w:spacing w:line="372" w:lineRule="auto"/>
        <w:ind w:firstLine="480" w:firstLineChars="200"/>
        <w:rPr>
          <w:bCs/>
          <w:sz w:val="24"/>
        </w:rPr>
      </w:pPr>
      <w:r>
        <w:rPr>
          <w:rFonts w:hint="eastAsia"/>
          <w:bCs/>
          <w:sz w:val="24"/>
        </w:rPr>
        <w:t>如果法律法规或中国证监会变更投资品种的投资比例限制，基金管理人在履行适当程序后，可以调整上述投资品种的投资比例。</w:t>
      </w:r>
    </w:p>
    <w:p w14:paraId="1ED82D0D">
      <w:pPr>
        <w:spacing w:line="372" w:lineRule="auto"/>
        <w:ind w:firstLine="480" w:firstLineChars="200"/>
        <w:rPr>
          <w:rFonts w:ascii="Arial" w:hAnsi="Arial" w:cs="Arial"/>
          <w:sz w:val="24"/>
        </w:rPr>
      </w:pPr>
      <w:r>
        <w:rPr>
          <w:rFonts w:ascii="Arial" w:hAnsi="Arial" w:cs="Arial"/>
          <w:sz w:val="24"/>
        </w:rPr>
        <w:t>（二）基金托管人根据有关法律法规的规定及《基金合同》的约定，对基金投资、融资比例进行监督。基金托管人按下述比例和调整期限进行监督：</w:t>
      </w:r>
    </w:p>
    <w:p w14:paraId="1BFB4FC5">
      <w:pPr>
        <w:spacing w:line="372" w:lineRule="auto"/>
        <w:ind w:firstLine="480" w:firstLineChars="200"/>
        <w:rPr>
          <w:bCs/>
          <w:sz w:val="24"/>
        </w:rPr>
      </w:pPr>
      <w:r>
        <w:rPr>
          <w:rFonts w:hint="eastAsia"/>
          <w:bCs/>
          <w:sz w:val="24"/>
        </w:rPr>
        <w:t>1、基金投资组合比例限制</w:t>
      </w:r>
    </w:p>
    <w:p w14:paraId="2E0993AF">
      <w:pPr>
        <w:spacing w:line="372" w:lineRule="auto"/>
        <w:ind w:firstLine="480" w:firstLineChars="200"/>
        <w:rPr>
          <w:bCs/>
          <w:sz w:val="24"/>
        </w:rPr>
      </w:pPr>
      <w:r>
        <w:rPr>
          <w:rFonts w:hint="eastAsia"/>
          <w:bCs/>
          <w:sz w:val="24"/>
        </w:rPr>
        <w:t>（1）本基金投资于目标ETF的资产比例不低于基金资产净值的90%；</w:t>
      </w:r>
    </w:p>
    <w:p w14:paraId="5D335132">
      <w:pPr>
        <w:spacing w:line="372" w:lineRule="auto"/>
        <w:ind w:firstLine="480" w:firstLineChars="200"/>
        <w:rPr>
          <w:bCs/>
          <w:sz w:val="24"/>
        </w:rPr>
      </w:pPr>
      <w:r>
        <w:rPr>
          <w:rFonts w:hint="eastAsia"/>
          <w:bCs/>
          <w:sz w:val="24"/>
        </w:rPr>
        <w:t>（2）每个交易日日终在扣除股指期货、国债期货和股票期权合约需缴纳的交易保证金后，本基金持有的现金或者到期日在一年以内的政府债券的比例不低于基金资产净值的5%，其中现金不包括结算备付金、存出保证金、应收申购款等；</w:t>
      </w:r>
    </w:p>
    <w:p w14:paraId="64048F1B">
      <w:pPr>
        <w:spacing w:line="372" w:lineRule="auto"/>
        <w:ind w:firstLine="480" w:firstLineChars="200"/>
        <w:rPr>
          <w:bCs/>
          <w:sz w:val="24"/>
        </w:rPr>
      </w:pPr>
      <w:r>
        <w:rPr>
          <w:rFonts w:hint="eastAsia"/>
          <w:bCs/>
          <w:sz w:val="24"/>
        </w:rPr>
        <w:t>（3）本基金投资于同一原始权益人的各类资产支持证券的比例，不得超过基金资产净值的10％；</w:t>
      </w:r>
    </w:p>
    <w:p w14:paraId="2FBA88A9">
      <w:pPr>
        <w:spacing w:line="372" w:lineRule="auto"/>
        <w:ind w:firstLine="480" w:firstLineChars="200"/>
        <w:rPr>
          <w:bCs/>
          <w:sz w:val="24"/>
        </w:rPr>
      </w:pPr>
      <w:r>
        <w:rPr>
          <w:rFonts w:hint="eastAsia"/>
          <w:bCs/>
          <w:sz w:val="24"/>
        </w:rPr>
        <w:t>（4）本基金持有的全部资产支持证券，其市值不得超过基金资产净值的20％；</w:t>
      </w:r>
    </w:p>
    <w:p w14:paraId="011E169F">
      <w:pPr>
        <w:spacing w:line="372" w:lineRule="auto"/>
        <w:ind w:firstLine="480" w:firstLineChars="200"/>
        <w:rPr>
          <w:bCs/>
          <w:sz w:val="24"/>
        </w:rPr>
      </w:pPr>
      <w:r>
        <w:rPr>
          <w:rFonts w:hint="eastAsia"/>
          <w:bCs/>
          <w:sz w:val="24"/>
        </w:rPr>
        <w:t>（5）本基金持有的同一(指同一信用级别)资产支持证券的比例，不得超过该资产支持证券规模的10％；</w:t>
      </w:r>
    </w:p>
    <w:p w14:paraId="2729A13D">
      <w:pPr>
        <w:spacing w:line="372" w:lineRule="auto"/>
        <w:ind w:firstLine="480" w:firstLineChars="200"/>
        <w:rPr>
          <w:bCs/>
          <w:sz w:val="24"/>
        </w:rPr>
      </w:pPr>
      <w:r>
        <w:rPr>
          <w:rFonts w:hint="eastAsia"/>
          <w:bCs/>
          <w:sz w:val="24"/>
        </w:rPr>
        <w:t>（6）本基金管理人管理的且本基金托管人托管的全部基金投资于同一原始权益人的各类资产支持证券，不得超过其各类资产支持证券合计规模的10％；</w:t>
      </w:r>
    </w:p>
    <w:p w14:paraId="6457546C">
      <w:pPr>
        <w:spacing w:line="372" w:lineRule="auto"/>
        <w:ind w:firstLine="480" w:firstLineChars="200"/>
        <w:rPr>
          <w:bCs/>
          <w:sz w:val="24"/>
        </w:rPr>
      </w:pPr>
      <w:r>
        <w:rPr>
          <w:rFonts w:hint="eastAsia"/>
          <w:bCs/>
          <w:sz w:val="24"/>
        </w:rPr>
        <w:t>（7）本基金应投资于信用级别评级为BBB以上(含BBB)的资产支持证券。基金持有资产支持证券期间，如果其信用等级下降、不再符合投资标准，应在评级报告发布之日起3个月内予以全部卖出；</w:t>
      </w:r>
    </w:p>
    <w:p w14:paraId="63B5903C">
      <w:pPr>
        <w:spacing w:line="372" w:lineRule="auto"/>
        <w:ind w:firstLine="480" w:firstLineChars="200"/>
        <w:rPr>
          <w:bCs/>
          <w:sz w:val="24"/>
        </w:rPr>
      </w:pPr>
      <w:r>
        <w:rPr>
          <w:rFonts w:hint="eastAsia"/>
          <w:bCs/>
          <w:sz w:val="24"/>
        </w:rPr>
        <w:t>（8）基金财产参与股票发行申购，本基金所申报的金额不超过本基金的总资产，本基金所申报的股票数量不超过拟发行股票公司本次发行股票的总量；</w:t>
      </w:r>
    </w:p>
    <w:p w14:paraId="1E40D906">
      <w:pPr>
        <w:spacing w:line="372" w:lineRule="auto"/>
        <w:ind w:firstLine="480" w:firstLineChars="200"/>
        <w:rPr>
          <w:bCs/>
          <w:sz w:val="24"/>
        </w:rPr>
      </w:pPr>
      <w:r>
        <w:rPr>
          <w:rFonts w:hint="eastAsia"/>
          <w:bCs/>
          <w:sz w:val="24"/>
        </w:rPr>
        <w:t>（9）本基金进入全国银行间同业市场进行债券回购的资金余额不得超过基金资产净值的40%，进入全国银行间同业市场进行债券回购的最长期限为1年，债券回购到期后不得展期；</w:t>
      </w:r>
    </w:p>
    <w:p w14:paraId="749A8EFE">
      <w:pPr>
        <w:spacing w:line="372" w:lineRule="auto"/>
        <w:ind w:firstLine="480" w:firstLineChars="200"/>
        <w:rPr>
          <w:bCs/>
          <w:sz w:val="24"/>
        </w:rPr>
      </w:pPr>
      <w:r>
        <w:rPr>
          <w:rFonts w:hint="eastAsia"/>
          <w:bCs/>
          <w:sz w:val="24"/>
        </w:rPr>
        <w:t>（10）本基金参与股指期货和国债期货投资的，应遵循下列限制：</w:t>
      </w:r>
    </w:p>
    <w:p w14:paraId="7E0EBE1B">
      <w:pPr>
        <w:spacing w:line="372" w:lineRule="auto"/>
        <w:ind w:firstLine="480" w:firstLineChars="200"/>
        <w:rPr>
          <w:bCs/>
          <w:sz w:val="24"/>
        </w:rPr>
      </w:pPr>
      <w:r>
        <w:rPr>
          <w:rFonts w:hint="eastAsia"/>
          <w:bCs/>
          <w:sz w:val="24"/>
        </w:rPr>
        <w:t>1）本基金在任何交易日日终，持有的买入股指期货合约价值，不得超过基金资产净值的10%；</w:t>
      </w:r>
    </w:p>
    <w:p w14:paraId="08858596">
      <w:pPr>
        <w:spacing w:line="372" w:lineRule="auto"/>
        <w:ind w:firstLine="480" w:firstLineChars="200"/>
        <w:rPr>
          <w:bCs/>
          <w:sz w:val="24"/>
        </w:rPr>
      </w:pPr>
      <w:r>
        <w:rPr>
          <w:rFonts w:hint="eastAsia"/>
          <w:bCs/>
          <w:sz w:val="24"/>
        </w:rPr>
        <w:t>2）在任何交易日日终，本基金持有的买入股指期货、国债期货合约价值和有价证券市值之和，不得超过基金资产净值的100%；其中，有价证券指股票、债券（不含到期日在一年以内的政府债券）、资产支持证券、买入返售金融资产（不含质押式回购）等；</w:t>
      </w:r>
    </w:p>
    <w:p w14:paraId="42506461">
      <w:pPr>
        <w:spacing w:line="372" w:lineRule="auto"/>
        <w:ind w:firstLine="480" w:firstLineChars="200"/>
        <w:rPr>
          <w:bCs/>
          <w:sz w:val="24"/>
        </w:rPr>
      </w:pPr>
      <w:r>
        <w:rPr>
          <w:rFonts w:hint="eastAsia"/>
          <w:bCs/>
          <w:sz w:val="24"/>
        </w:rPr>
        <w:t>3）本基金在任何交易日日终，持有的卖出股指期货合约价值不得超过基金持有的股票总市值的20%；</w:t>
      </w:r>
    </w:p>
    <w:p w14:paraId="1D807987">
      <w:pPr>
        <w:spacing w:line="372" w:lineRule="auto"/>
        <w:ind w:firstLine="480" w:firstLineChars="200"/>
        <w:rPr>
          <w:bCs/>
          <w:sz w:val="24"/>
        </w:rPr>
      </w:pPr>
      <w:r>
        <w:rPr>
          <w:rFonts w:hint="eastAsia"/>
          <w:bCs/>
          <w:sz w:val="24"/>
        </w:rPr>
        <w:t>4）本基金在任何交易日内交易（不包括平仓）的股指期货合约的成交金额不得超过上一交易日基金资产净值的20%；</w:t>
      </w:r>
    </w:p>
    <w:p w14:paraId="6DF143E3">
      <w:pPr>
        <w:spacing w:line="372" w:lineRule="auto"/>
        <w:ind w:firstLine="480" w:firstLineChars="200"/>
        <w:rPr>
          <w:bCs/>
          <w:sz w:val="24"/>
        </w:rPr>
      </w:pPr>
      <w:r>
        <w:rPr>
          <w:rFonts w:hint="eastAsia"/>
          <w:bCs/>
          <w:sz w:val="24"/>
        </w:rPr>
        <w:t xml:space="preserve">5）本基金所持有的股票市值和买入、卖出股指期货合约价值，合计（轧差计算）应当符合基金合同关于股票投资比例的有关规定； </w:t>
      </w:r>
    </w:p>
    <w:p w14:paraId="57EAE6C6">
      <w:pPr>
        <w:spacing w:line="372" w:lineRule="auto"/>
        <w:ind w:firstLine="480" w:firstLineChars="200"/>
        <w:rPr>
          <w:bCs/>
          <w:sz w:val="24"/>
        </w:rPr>
      </w:pPr>
      <w:r>
        <w:rPr>
          <w:rFonts w:hint="eastAsia"/>
          <w:bCs/>
          <w:sz w:val="24"/>
        </w:rPr>
        <w:t>6）本基金在任何交易日日终，持有的买入国债期货合约价值，不得超过基金资产净值的15%；</w:t>
      </w:r>
    </w:p>
    <w:p w14:paraId="02DC15A1">
      <w:pPr>
        <w:spacing w:line="372" w:lineRule="auto"/>
        <w:ind w:firstLine="480" w:firstLineChars="200"/>
        <w:rPr>
          <w:bCs/>
          <w:sz w:val="24"/>
        </w:rPr>
      </w:pPr>
      <w:r>
        <w:rPr>
          <w:rFonts w:hint="eastAsia"/>
          <w:bCs/>
          <w:sz w:val="24"/>
        </w:rPr>
        <w:t>7）本基金在任何交易日日终，持有的卖出国债期货合约价值不得超过基金持有的债券总市值的30%；</w:t>
      </w:r>
    </w:p>
    <w:p w14:paraId="627ED52C">
      <w:pPr>
        <w:spacing w:line="372" w:lineRule="auto"/>
        <w:ind w:firstLine="480" w:firstLineChars="200"/>
        <w:rPr>
          <w:bCs/>
          <w:sz w:val="24"/>
        </w:rPr>
      </w:pPr>
      <w:r>
        <w:rPr>
          <w:rFonts w:hint="eastAsia"/>
          <w:bCs/>
          <w:sz w:val="24"/>
        </w:rPr>
        <w:t>8）本基金在任何交易日内交易（不包括平仓）的国债期货合约的成交金额不得超过上一交易日基金资产净值的30%；</w:t>
      </w:r>
    </w:p>
    <w:p w14:paraId="0BE5766A">
      <w:pPr>
        <w:spacing w:line="372" w:lineRule="auto"/>
        <w:ind w:firstLine="480" w:firstLineChars="200"/>
        <w:rPr>
          <w:bCs/>
          <w:sz w:val="24"/>
        </w:rPr>
      </w:pPr>
      <w:r>
        <w:rPr>
          <w:rFonts w:hint="eastAsia"/>
          <w:bCs/>
          <w:sz w:val="24"/>
        </w:rPr>
        <w:t>9）本基金所持有的债券（不含到期日在一年以内的政府债券）市值和买入、卖出国债期货合约价值，合计（轧差计算）应当符合基金合同关于债券投资比例的有关约定；</w:t>
      </w:r>
    </w:p>
    <w:p w14:paraId="28A7D27A">
      <w:pPr>
        <w:spacing w:line="372" w:lineRule="auto"/>
        <w:ind w:firstLine="480" w:firstLineChars="200"/>
        <w:rPr>
          <w:bCs/>
          <w:sz w:val="24"/>
        </w:rPr>
      </w:pPr>
      <w:r>
        <w:rPr>
          <w:rFonts w:hint="eastAsia"/>
          <w:bCs/>
          <w:sz w:val="24"/>
        </w:rPr>
        <w:t>（11）本基金参与股票期权交易的，需遵守下列规定：</w:t>
      </w:r>
    </w:p>
    <w:p w14:paraId="36D995C1">
      <w:pPr>
        <w:spacing w:line="372" w:lineRule="auto"/>
        <w:ind w:firstLine="480" w:firstLineChars="200"/>
        <w:rPr>
          <w:bCs/>
          <w:sz w:val="24"/>
        </w:rPr>
      </w:pPr>
      <w:r>
        <w:rPr>
          <w:rFonts w:hint="eastAsia"/>
          <w:bCs/>
          <w:sz w:val="24"/>
        </w:rPr>
        <w:t>1）因未平仓的股票期权合约支付和收取的权利金总额不得超过基金资产净值的10%；</w:t>
      </w:r>
    </w:p>
    <w:p w14:paraId="3D264CA0">
      <w:pPr>
        <w:spacing w:line="372" w:lineRule="auto"/>
        <w:ind w:firstLine="480" w:firstLineChars="200"/>
        <w:rPr>
          <w:bCs/>
          <w:sz w:val="24"/>
        </w:rPr>
      </w:pPr>
      <w:r>
        <w:rPr>
          <w:rFonts w:hint="eastAsia"/>
          <w:bCs/>
          <w:sz w:val="24"/>
        </w:rPr>
        <w:t>2）开仓卖出认购股票期权的，应持有足额标的证券；开仓卖出认沽股票期权的，应持有合约行权所需的全额现金或交易所规则认可的可冲抵股票期权保证金的现金等价物；</w:t>
      </w:r>
    </w:p>
    <w:p w14:paraId="47CA11BC">
      <w:pPr>
        <w:spacing w:line="372" w:lineRule="auto"/>
        <w:ind w:firstLine="480" w:firstLineChars="200"/>
        <w:rPr>
          <w:bCs/>
          <w:sz w:val="24"/>
        </w:rPr>
      </w:pPr>
      <w:r>
        <w:rPr>
          <w:rFonts w:hint="eastAsia"/>
          <w:bCs/>
          <w:sz w:val="24"/>
        </w:rPr>
        <w:t>3）未平仓的股票期权合约面值不得超过基金资产净值的 20%。其中，合约面值按照行权价乘以合约乘数计算；</w:t>
      </w:r>
    </w:p>
    <w:p w14:paraId="33B91411">
      <w:pPr>
        <w:spacing w:line="372" w:lineRule="auto"/>
        <w:ind w:firstLine="480" w:firstLineChars="200"/>
        <w:rPr>
          <w:bCs/>
          <w:sz w:val="24"/>
        </w:rPr>
      </w:pPr>
      <w:r>
        <w:rPr>
          <w:rFonts w:hint="eastAsia"/>
          <w:bCs/>
          <w:sz w:val="24"/>
        </w:rPr>
        <w:t>（12）本基金参与转融通证券出借交易的，需遵守下列规定：</w:t>
      </w:r>
    </w:p>
    <w:p w14:paraId="5F6FE68A">
      <w:pPr>
        <w:spacing w:line="372" w:lineRule="auto"/>
        <w:ind w:firstLine="480" w:firstLineChars="200"/>
        <w:rPr>
          <w:bCs/>
          <w:sz w:val="24"/>
        </w:rPr>
      </w:pPr>
      <w:r>
        <w:rPr>
          <w:rFonts w:hint="eastAsia"/>
          <w:bCs/>
          <w:sz w:val="24"/>
        </w:rPr>
        <w:t xml:space="preserve">1）出借证券资产不得超过基金资产净值的 30%，出借期限在10个交易日以上的出借证券应纳入《流动性风险管理规定》所述流动性受限证券的范围； </w:t>
      </w:r>
    </w:p>
    <w:p w14:paraId="70BC8335">
      <w:pPr>
        <w:spacing w:line="372" w:lineRule="auto"/>
        <w:ind w:firstLine="480" w:firstLineChars="200"/>
        <w:rPr>
          <w:bCs/>
          <w:sz w:val="24"/>
        </w:rPr>
      </w:pPr>
      <w:r>
        <w:rPr>
          <w:rFonts w:hint="eastAsia"/>
          <w:bCs/>
          <w:sz w:val="24"/>
        </w:rPr>
        <w:t>2）参与出借业务的单只证券不得超过基金持有该证券总量的50%；</w:t>
      </w:r>
    </w:p>
    <w:p w14:paraId="555ACED1">
      <w:pPr>
        <w:spacing w:line="372" w:lineRule="auto"/>
        <w:ind w:firstLine="480" w:firstLineChars="200"/>
        <w:rPr>
          <w:bCs/>
          <w:sz w:val="24"/>
        </w:rPr>
      </w:pPr>
      <w:r>
        <w:rPr>
          <w:rFonts w:hint="eastAsia"/>
          <w:bCs/>
          <w:sz w:val="24"/>
        </w:rPr>
        <w:t>3）最近6个月内日均基金资产净值不得低于2亿元；</w:t>
      </w:r>
    </w:p>
    <w:p w14:paraId="611DD5ED">
      <w:pPr>
        <w:spacing w:line="372" w:lineRule="auto"/>
        <w:ind w:firstLine="480" w:firstLineChars="200"/>
        <w:rPr>
          <w:bCs/>
          <w:sz w:val="24"/>
        </w:rPr>
      </w:pPr>
      <w:r>
        <w:rPr>
          <w:rFonts w:hint="eastAsia"/>
          <w:bCs/>
          <w:sz w:val="24"/>
        </w:rPr>
        <w:t>4）证券出借的平均剩余期限不得超过30天，平均剩余期限按照市值加权平均计算；</w:t>
      </w:r>
    </w:p>
    <w:p w14:paraId="185F1509">
      <w:pPr>
        <w:spacing w:line="372" w:lineRule="auto"/>
        <w:ind w:firstLine="480" w:firstLineChars="200"/>
        <w:rPr>
          <w:bCs/>
          <w:sz w:val="24"/>
        </w:rPr>
      </w:pPr>
      <w:r>
        <w:rPr>
          <w:rFonts w:hint="eastAsia"/>
          <w:bCs/>
          <w:sz w:val="24"/>
        </w:rPr>
        <w:t>5）因证券市场波动、证券发行人合并、基金规模变动等基金管理人之外的因素致使基金投资不符合上述规定的，基金管理人不得新增出借业务；</w:t>
      </w:r>
    </w:p>
    <w:p w14:paraId="193A7182">
      <w:pPr>
        <w:spacing w:line="372" w:lineRule="auto"/>
        <w:ind w:firstLine="480" w:firstLineChars="200"/>
        <w:rPr>
          <w:bCs/>
          <w:sz w:val="24"/>
        </w:rPr>
      </w:pPr>
      <w:r>
        <w:rPr>
          <w:rFonts w:hint="eastAsia"/>
          <w:bCs/>
          <w:sz w:val="24"/>
        </w:rPr>
        <w:t>（13）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51503CF5">
      <w:pPr>
        <w:spacing w:line="372" w:lineRule="auto"/>
        <w:ind w:firstLine="480" w:firstLineChars="20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7F28CA8F">
      <w:pPr>
        <w:spacing w:line="372" w:lineRule="auto"/>
        <w:ind w:firstLine="480" w:firstLineChars="200"/>
        <w:rPr>
          <w:bCs/>
          <w:sz w:val="24"/>
        </w:rPr>
      </w:pPr>
      <w:r>
        <w:rPr>
          <w:rFonts w:hint="eastAsia"/>
          <w:bCs/>
          <w:sz w:val="24"/>
        </w:rPr>
        <w:t>（15）本基金资产总值不超过基金资产净值的140%；</w:t>
      </w:r>
    </w:p>
    <w:p w14:paraId="05121C25">
      <w:pPr>
        <w:spacing w:line="372" w:lineRule="auto"/>
        <w:ind w:firstLine="480" w:firstLineChars="200"/>
        <w:rPr>
          <w:bCs/>
          <w:sz w:val="24"/>
        </w:rPr>
      </w:pPr>
      <w:r>
        <w:rPr>
          <w:rFonts w:hint="eastAsia"/>
          <w:bCs/>
          <w:sz w:val="24"/>
        </w:rPr>
        <w:t>（16）本基金投资存托凭证的比例限制依照境内上市交易的股票执行；</w:t>
      </w:r>
    </w:p>
    <w:p w14:paraId="7473383B">
      <w:pPr>
        <w:spacing w:line="372" w:lineRule="auto"/>
        <w:ind w:firstLine="480" w:firstLineChars="200"/>
        <w:rPr>
          <w:bCs/>
          <w:sz w:val="24"/>
        </w:rPr>
      </w:pPr>
      <w:r>
        <w:rPr>
          <w:rFonts w:hint="eastAsia"/>
          <w:bCs/>
          <w:sz w:val="24"/>
        </w:rPr>
        <w:t>（17）本基金参与融资的，每个交易日日终，本基金持有的融资买入股票与其他有价证券市值之和，不得超过基金资产净值的95%；</w:t>
      </w:r>
    </w:p>
    <w:p w14:paraId="183F118E">
      <w:pPr>
        <w:spacing w:line="372" w:lineRule="auto"/>
        <w:ind w:firstLine="480" w:firstLineChars="200"/>
        <w:rPr>
          <w:bCs/>
          <w:sz w:val="24"/>
        </w:rPr>
      </w:pPr>
      <w:r>
        <w:rPr>
          <w:rFonts w:hint="eastAsia"/>
          <w:bCs/>
          <w:sz w:val="24"/>
        </w:rPr>
        <w:t>（18）法律法规及中国证监会规定的和《基金合同》约定的其他投资限制。</w:t>
      </w:r>
    </w:p>
    <w:p w14:paraId="5914CCC9">
      <w:pPr>
        <w:spacing w:line="372" w:lineRule="auto"/>
        <w:ind w:firstLine="480" w:firstLineChars="200"/>
        <w:rPr>
          <w:bCs/>
          <w:sz w:val="24"/>
        </w:rPr>
      </w:pPr>
      <w:r>
        <w:rPr>
          <w:rFonts w:hint="eastAsia"/>
          <w:bCs/>
          <w:sz w:val="24"/>
        </w:rPr>
        <w:t>因证券市场波动、基金规模变动等基金管理人之外的因素致使基金投资比例不符合上述第（1）项投资比例的，基金管理人应当在20个交易日内进行调整；除上述（1）、（2）、（7）、（12）、（13）、（14）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法律法规另有规定的，从其规定。</w:t>
      </w:r>
    </w:p>
    <w:p w14:paraId="5D85C390">
      <w:pPr>
        <w:spacing w:line="372"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BFB2CF6">
      <w:pPr>
        <w:spacing w:line="372" w:lineRule="auto"/>
        <w:ind w:firstLine="480" w:firstLineChars="200"/>
        <w:rPr>
          <w:bCs/>
          <w:sz w:val="24"/>
        </w:rPr>
      </w:pPr>
      <w:r>
        <w:rPr>
          <w:rFonts w:hint="eastAsia"/>
          <w:bCs/>
          <w:sz w:val="24"/>
        </w:rPr>
        <w:t>如果法律法规对基金合同约定投资组合比例限制进行变更的，以变更后的规定为准。法律法规或监管部门取消上述限制，如适用于本基金，在履行适当程序后，则本基金投资不再受相关限制。</w:t>
      </w:r>
    </w:p>
    <w:p w14:paraId="10AA8776">
      <w:pPr>
        <w:spacing w:line="372" w:lineRule="auto"/>
        <w:ind w:firstLine="480" w:firstLineChars="200"/>
        <w:rPr>
          <w:rFonts w:ascii="Arial" w:hAnsi="Arial" w:cs="Arial"/>
          <w:sz w:val="24"/>
        </w:rPr>
      </w:pPr>
      <w:r>
        <w:rPr>
          <w:rFonts w:ascii="Arial" w:hAnsi="Arial" w:cs="Arial"/>
          <w:sz w:val="24"/>
        </w:rPr>
        <w:t>（三）如本基金需进行期货投资，则在开始进行期货投资之前，基金管理人应与基金托管人、期货公司三方一同就股指期货开户、清算、估值、交收等事宜另行签署《期货投资托管操作三方备忘录》。</w:t>
      </w:r>
    </w:p>
    <w:p w14:paraId="15F11206">
      <w:pPr>
        <w:spacing w:line="372" w:lineRule="auto"/>
        <w:ind w:firstLine="480" w:firstLineChars="200"/>
        <w:rPr>
          <w:rFonts w:ascii="Arial" w:hAnsi="Arial" w:cs="Arial"/>
          <w:sz w:val="24"/>
        </w:rPr>
      </w:pPr>
      <w:r>
        <w:rPr>
          <w:rFonts w:ascii="Arial" w:hAnsi="Arial" w:cs="Arial"/>
          <w:sz w:val="24"/>
        </w:rPr>
        <w:t>（四）基金托管人</w:t>
      </w:r>
      <w:bookmarkStart w:id="47" w:name="OLE_LINK1"/>
      <w:r>
        <w:rPr>
          <w:rFonts w:ascii="Arial" w:hAnsi="Arial" w:cs="Arial"/>
          <w:sz w:val="24"/>
        </w:rPr>
        <w:t>根据有关法律法规的规定及《基金合同》的约定，</w:t>
      </w:r>
      <w:bookmarkEnd w:id="47"/>
      <w:r>
        <w:rPr>
          <w:rFonts w:ascii="Arial" w:hAnsi="Arial" w:cs="Arial"/>
          <w:sz w:val="24"/>
        </w:rPr>
        <w:t>对本托管协议第</w:t>
      </w:r>
      <w:r>
        <w:rPr>
          <w:rFonts w:hint="eastAsia" w:ascii="Arial" w:hAnsi="Arial" w:cs="Arial"/>
          <w:sz w:val="24"/>
        </w:rPr>
        <w:t>十五部分</w:t>
      </w:r>
      <w:r>
        <w:rPr>
          <w:rFonts w:ascii="Arial" w:hAnsi="Arial" w:cs="Arial"/>
          <w:sz w:val="24"/>
        </w:rPr>
        <w:t>第（九）款基金投资禁止行为进行监督。基金托管人通过事后监督方式对基金管理人基金投资禁止行为进行监督。</w:t>
      </w:r>
    </w:p>
    <w:p w14:paraId="0560C998">
      <w:pPr>
        <w:spacing w:line="372" w:lineRule="auto"/>
        <w:ind w:firstLine="480" w:firstLineChars="200"/>
        <w:rPr>
          <w:rFonts w:ascii="Arial" w:hAnsi="Arial" w:cs="Arial"/>
          <w:sz w:val="24"/>
        </w:rPr>
      </w:pPr>
      <w:r>
        <w:rPr>
          <w:rFonts w:hint="eastAsia" w:ascii="Arial" w:hAnsi="Arial" w:cs="Arial"/>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595B36E">
      <w:pPr>
        <w:spacing w:line="372" w:lineRule="auto"/>
        <w:ind w:firstLine="480" w:firstLineChars="200"/>
        <w:rPr>
          <w:rFonts w:ascii="Arial" w:hAnsi="Arial" w:cs="Arial"/>
          <w:sz w:val="24"/>
        </w:rPr>
      </w:pPr>
      <w:r>
        <w:rPr>
          <w:rFonts w:hint="eastAsia" w:ascii="Arial" w:hAnsi="Arial" w:cs="Arial"/>
          <w:sz w:val="24"/>
        </w:rPr>
        <w:t>法律、行政法规或监管部门取消或调整上述限制，如适用于本基金，在履行适当程序后，则本基金投资不再受相关限制或按照调整后的规定执行。</w:t>
      </w:r>
    </w:p>
    <w:p w14:paraId="510DD4A3">
      <w:pPr>
        <w:spacing w:line="360" w:lineRule="auto"/>
        <w:ind w:firstLine="480" w:firstLineChars="200"/>
        <w:rPr>
          <w:rFonts w:ascii="Arial" w:hAnsi="Arial" w:cs="Arial"/>
          <w:sz w:val="24"/>
        </w:rPr>
      </w:pPr>
      <w:r>
        <w:rPr>
          <w:rFonts w:ascii="Arial" w:hAnsi="Arial" w:cs="Arial"/>
          <w:sz w:val="24"/>
        </w:rPr>
        <w:t>（五）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w:t>
      </w:r>
      <w:r>
        <w:rPr>
          <w:rFonts w:hint="eastAsia" w:ascii="Arial" w:hAnsi="Arial" w:cs="Arial"/>
          <w:sz w:val="24"/>
        </w:rPr>
        <w:t>定期或不定期</w:t>
      </w:r>
      <w:r>
        <w:rPr>
          <w:rFonts w:ascii="Arial" w:hAnsi="Arial" w:cs="Arial"/>
          <w:sz w:val="24"/>
        </w:rPr>
        <w:t>对银行间债券市场交易对手名单及结算方式进行更新，新名单确定前已与本次剔除的交易对手进行但尚未结算的交易，仍应按照协议进行结算。基金管理人有责任确保及时将更新后的交易对手名单发送给基金托管人，否则由此造成的损失应由基金管理人承担。如基金管理人根据市场情况需要临时调整银行间债券市场交易对手名单及结算方式的，应向基金托管人说明理由，并在与交易对手发生交易前3个工作日内与基金托管人协商解决。</w:t>
      </w:r>
    </w:p>
    <w:p w14:paraId="11CB9D04">
      <w:pPr>
        <w:spacing w:line="360" w:lineRule="auto"/>
        <w:ind w:firstLine="480" w:firstLineChars="200"/>
        <w:rPr>
          <w:rFonts w:ascii="Arial" w:hAnsi="Arial" w:cs="Arial"/>
          <w:sz w:val="24"/>
        </w:rPr>
      </w:pPr>
      <w:r>
        <w:rPr>
          <w:rFonts w:ascii="Arial" w:hAnsi="Arial" w:cs="Arial"/>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但不承担交易对手不履行合同造成的损失。如基金托管人事后发现基金管理人没有按照事先约定的交易对手或交易结算方式进行交易时，基金托管人应及时提醒基金管理人，基金托管人不承担由此造成的任何损失和责任。</w:t>
      </w:r>
    </w:p>
    <w:p w14:paraId="72D68281">
      <w:pPr>
        <w:spacing w:line="360" w:lineRule="auto"/>
        <w:ind w:firstLine="480" w:firstLineChars="200"/>
        <w:rPr>
          <w:rFonts w:ascii="Arial" w:hAnsi="Arial" w:cs="Arial"/>
          <w:sz w:val="24"/>
        </w:rPr>
      </w:pPr>
      <w:r>
        <w:rPr>
          <w:rFonts w:hint="eastAsia" w:ascii="Arial" w:hAnsi="Arial" w:cs="Arial"/>
          <w:sz w:val="24"/>
        </w:rPr>
        <w:t>如果基金托管人发现基金管理人与不在名单内的银行间债券市场交易对手进行交易，应及时提醒基金管理人撤销交易，经提醒后基金管理人仍执行交易并造成基金财产损失的，由基金管理人承担相应责任，基金托管人不承担责任，发生此种情形时，基金托管人有权报告中国证监会。</w:t>
      </w:r>
    </w:p>
    <w:p w14:paraId="53F84B7E">
      <w:pPr>
        <w:spacing w:line="360" w:lineRule="auto"/>
        <w:ind w:firstLine="480" w:firstLineChars="200"/>
        <w:rPr>
          <w:rFonts w:ascii="Arial" w:hAnsi="Arial" w:cs="Arial"/>
          <w:sz w:val="24"/>
        </w:rPr>
      </w:pPr>
      <w:r>
        <w:rPr>
          <w:rFonts w:ascii="Arial" w:hAnsi="Arial" w:cs="Arial"/>
          <w:sz w:val="24"/>
        </w:rPr>
        <w:t>（六）基金托管人根据有关法律法规的规定及《基金合同》的约定，对基金管理人投资流通受限证券进行监督。</w:t>
      </w:r>
    </w:p>
    <w:p w14:paraId="618503A6">
      <w:pPr>
        <w:spacing w:line="360" w:lineRule="auto"/>
        <w:ind w:firstLine="480" w:firstLineChars="200"/>
        <w:rPr>
          <w:rFonts w:ascii="Arial" w:hAnsi="Arial" w:cs="Arial"/>
          <w:sz w:val="24"/>
        </w:rPr>
      </w:pPr>
      <w:r>
        <w:rPr>
          <w:rFonts w:ascii="Arial" w:hAnsi="Arial" w:cs="Arial"/>
          <w:sz w:val="24"/>
        </w:rPr>
        <w:t>基金管理人投资流通受限证券，应遵守《关于基金投资非公开发行股票等流通受限证券有关问题的通知》等有关法律法规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14:paraId="5055452C">
      <w:pPr>
        <w:spacing w:line="360" w:lineRule="auto"/>
        <w:ind w:firstLine="480" w:firstLineChars="200"/>
        <w:rPr>
          <w:rFonts w:ascii="Arial" w:hAnsi="Arial" w:cs="Arial"/>
          <w:sz w:val="24"/>
        </w:rPr>
      </w:pPr>
      <w:r>
        <w:rPr>
          <w:rFonts w:ascii="Arial" w:hAnsi="Arial" w:cs="Arial"/>
          <w:sz w:val="24"/>
        </w:rPr>
        <w:t>1、本基金投资的流通受限证券</w:t>
      </w:r>
      <w:r>
        <w:rPr>
          <w:rFonts w:hint="eastAsia" w:ascii="Arial" w:hAnsi="Arial" w:cs="Arial"/>
          <w:sz w:val="24"/>
        </w:rPr>
        <w:t>，包括由《上市公司证券发行管理办法》规范的非公开发行股票</w:t>
      </w:r>
      <w:r>
        <w:rPr>
          <w:rFonts w:ascii="Arial" w:hAnsi="Arial" w:cs="Arial"/>
          <w:sz w:val="24"/>
        </w:rPr>
        <w:t>、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14:paraId="7ED404CB">
      <w:pPr>
        <w:spacing w:line="360" w:lineRule="auto"/>
        <w:ind w:firstLine="480" w:firstLineChars="200"/>
        <w:rPr>
          <w:rFonts w:ascii="Arial" w:hAnsi="Arial" w:cs="Arial"/>
          <w:sz w:val="24"/>
        </w:rPr>
      </w:pPr>
      <w:r>
        <w:rPr>
          <w:rFonts w:ascii="Arial" w:hAnsi="Arial" w:cs="Arial"/>
          <w:sz w:val="24"/>
        </w:rPr>
        <w:t>本基金投资的流通受限证券限于可由中国证券登记结算有限责任公司或中央国债登记结算有限责任公司负责登记和存管，并可在证券交易所或全国银行间债券市场交易的证券。</w:t>
      </w:r>
    </w:p>
    <w:p w14:paraId="1DBED047">
      <w:pPr>
        <w:spacing w:line="360" w:lineRule="auto"/>
        <w:ind w:firstLine="480" w:firstLineChars="200"/>
        <w:rPr>
          <w:rFonts w:ascii="Arial" w:hAnsi="Arial" w:cs="Arial"/>
          <w:sz w:val="24"/>
        </w:rPr>
      </w:pPr>
      <w:r>
        <w:rPr>
          <w:rFonts w:ascii="Arial" w:hAnsi="Arial" w:cs="Arial"/>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14:paraId="35574C51">
      <w:pPr>
        <w:spacing w:line="360" w:lineRule="auto"/>
        <w:ind w:firstLine="480" w:firstLineChars="200"/>
        <w:rPr>
          <w:rFonts w:ascii="Arial" w:hAnsi="Arial" w:cs="Arial"/>
          <w:sz w:val="24"/>
        </w:rPr>
      </w:pPr>
      <w:r>
        <w:rPr>
          <w:rFonts w:ascii="Arial" w:hAnsi="Arial" w:cs="Arial"/>
          <w:sz w:val="24"/>
        </w:rPr>
        <w:t>本基金投资流通受限证券，不得预付任何形式的保证金。</w:t>
      </w:r>
    </w:p>
    <w:p w14:paraId="2E8A4C1F">
      <w:pPr>
        <w:spacing w:line="360" w:lineRule="auto"/>
        <w:ind w:firstLine="480" w:firstLineChars="200"/>
        <w:rPr>
          <w:rFonts w:ascii="Arial" w:hAnsi="Arial" w:cs="Arial"/>
          <w:sz w:val="24"/>
        </w:rPr>
      </w:pPr>
      <w:r>
        <w:rPr>
          <w:rFonts w:ascii="Arial" w:hAnsi="Arial" w:cs="Arial"/>
          <w:sz w:val="24"/>
        </w:rPr>
        <w:t>2、</w:t>
      </w:r>
      <w:r>
        <w:rPr>
          <w:rFonts w:hint="eastAsia" w:ascii="Arial" w:hAnsi="Arial" w:cs="Arial"/>
          <w:sz w:val="24"/>
        </w:rPr>
        <w:t>在首次投资流通受限证券之前，基金管理人应当制定相关投资决策流程、风险控制制度、流动性风险处置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14:paraId="15710B4F">
      <w:pPr>
        <w:spacing w:line="360" w:lineRule="auto"/>
        <w:ind w:firstLine="480" w:firstLineChars="200"/>
        <w:rPr>
          <w:rFonts w:ascii="Arial" w:hAnsi="Arial" w:cs="Arial"/>
          <w:sz w:val="24"/>
        </w:rPr>
      </w:pPr>
      <w:r>
        <w:rPr>
          <w:rFonts w:ascii="Arial" w:hAnsi="Arial" w:cs="Arial"/>
          <w:sz w:val="24"/>
        </w:rPr>
        <w:t>风险处置预案应包括但不限于因投资流通受限证券需要解决的基金投资比例限制失调、基金流动性困难以及相关损失的应对解决措施，以及有关异常情况的处置。</w:t>
      </w:r>
    </w:p>
    <w:p w14:paraId="78F97E67">
      <w:pPr>
        <w:spacing w:line="360" w:lineRule="auto"/>
        <w:ind w:firstLine="480" w:firstLineChars="200"/>
        <w:rPr>
          <w:rFonts w:ascii="Arial" w:hAnsi="Arial" w:cs="Arial"/>
          <w:sz w:val="24"/>
        </w:rPr>
      </w:pPr>
      <w:r>
        <w:rPr>
          <w:rFonts w:ascii="Arial" w:hAnsi="Arial" w:cs="Arial"/>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致使基金托管人承担连带赔偿责任的，基金管理人应赔偿基金托管人由此遭受的损失。</w:t>
      </w:r>
    </w:p>
    <w:p w14:paraId="6E5D9507">
      <w:pPr>
        <w:spacing w:line="360" w:lineRule="auto"/>
        <w:ind w:firstLine="480" w:firstLineChars="200"/>
        <w:rPr>
          <w:rFonts w:ascii="Arial" w:hAnsi="Arial" w:cs="Arial"/>
          <w:sz w:val="24"/>
        </w:rPr>
      </w:pPr>
      <w:r>
        <w:rPr>
          <w:rFonts w:ascii="Arial" w:hAnsi="Arial" w:cs="Arial"/>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14:paraId="2BB65573">
      <w:pPr>
        <w:spacing w:line="360" w:lineRule="auto"/>
        <w:ind w:firstLine="480" w:firstLineChars="200"/>
        <w:rPr>
          <w:rFonts w:ascii="Arial" w:hAnsi="Arial" w:cs="Arial"/>
          <w:sz w:val="24"/>
        </w:rPr>
      </w:pPr>
      <w:r>
        <w:rPr>
          <w:rFonts w:ascii="Arial" w:hAnsi="Arial" w:cs="Arial"/>
          <w:sz w:val="24"/>
        </w:rPr>
        <w:t>（1）中国证监会批准发行非公开发行股票的批准文件。</w:t>
      </w:r>
    </w:p>
    <w:p w14:paraId="5B285DBE">
      <w:pPr>
        <w:spacing w:line="360" w:lineRule="auto"/>
        <w:ind w:firstLine="480" w:firstLineChars="200"/>
        <w:rPr>
          <w:rFonts w:ascii="Arial" w:hAnsi="Arial" w:cs="Arial"/>
          <w:sz w:val="24"/>
        </w:rPr>
      </w:pPr>
      <w:r>
        <w:rPr>
          <w:rFonts w:ascii="Arial" w:hAnsi="Arial" w:cs="Arial"/>
          <w:sz w:val="24"/>
        </w:rPr>
        <w:t>（2）非公开发行股票有关发行数量、发行价格、锁定期等发行资料。</w:t>
      </w:r>
    </w:p>
    <w:p w14:paraId="65C6EE7D">
      <w:pPr>
        <w:spacing w:line="360" w:lineRule="auto"/>
        <w:ind w:firstLine="480" w:firstLineChars="200"/>
        <w:rPr>
          <w:rFonts w:ascii="Arial" w:hAnsi="Arial" w:cs="Arial"/>
          <w:sz w:val="24"/>
        </w:rPr>
      </w:pPr>
      <w:r>
        <w:rPr>
          <w:rFonts w:ascii="Arial" w:hAnsi="Arial" w:cs="Arial"/>
          <w:sz w:val="24"/>
        </w:rPr>
        <w:t>（3）非公开发行股票发行人与中国证券登记结算有限责任公司或中央国债登记结算有限责任公司签订的证券登记及服务协议。</w:t>
      </w:r>
    </w:p>
    <w:p w14:paraId="1E74361B">
      <w:pPr>
        <w:spacing w:line="360" w:lineRule="auto"/>
        <w:ind w:firstLine="480" w:firstLineChars="200"/>
        <w:rPr>
          <w:rFonts w:ascii="Arial" w:hAnsi="Arial" w:cs="Arial"/>
          <w:sz w:val="24"/>
        </w:rPr>
      </w:pPr>
      <w:r>
        <w:rPr>
          <w:rFonts w:ascii="Arial" w:hAnsi="Arial" w:cs="Arial"/>
          <w:sz w:val="24"/>
        </w:rPr>
        <w:t>（4）基金拟认购的数量、价格、总成本、账面价值。</w:t>
      </w:r>
    </w:p>
    <w:p w14:paraId="6F86DE7B">
      <w:pPr>
        <w:spacing w:line="360" w:lineRule="auto"/>
        <w:ind w:firstLine="480" w:firstLineChars="200"/>
        <w:rPr>
          <w:rFonts w:ascii="Arial" w:hAnsi="Arial" w:cs="Arial"/>
          <w:sz w:val="24"/>
        </w:rPr>
      </w:pPr>
      <w:r>
        <w:rPr>
          <w:rFonts w:hint="eastAsia" w:ascii="Arial" w:hAnsi="Arial" w:cs="Arial"/>
          <w:sz w:val="24"/>
        </w:rPr>
        <w:t>由于基金管理人未及时提供有关证券的具体的必要的信息，致使基金托管人无法审核认购指令而影响认购款项划拨的，基金托管人免于承担责任。</w:t>
      </w:r>
    </w:p>
    <w:p w14:paraId="74A09E5D">
      <w:pPr>
        <w:spacing w:line="360" w:lineRule="auto"/>
        <w:ind w:firstLine="480" w:firstLineChars="200"/>
        <w:rPr>
          <w:rFonts w:ascii="Arial" w:hAnsi="Arial" w:cs="Arial"/>
          <w:sz w:val="24"/>
        </w:rPr>
      </w:pPr>
      <w:r>
        <w:rPr>
          <w:rFonts w:ascii="Arial" w:hAnsi="Arial" w:cs="Arial"/>
          <w:sz w:val="24"/>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14:paraId="7F5A08E9">
      <w:pPr>
        <w:spacing w:line="360" w:lineRule="auto"/>
        <w:ind w:firstLine="480" w:firstLineChars="200"/>
        <w:rPr>
          <w:rFonts w:ascii="Arial" w:hAnsi="Arial" w:cs="Arial"/>
          <w:sz w:val="24"/>
        </w:rPr>
      </w:pPr>
      <w:r>
        <w:rPr>
          <w:rFonts w:ascii="Arial" w:hAnsi="Arial" w:cs="Arial"/>
          <w:sz w:val="24"/>
        </w:rPr>
        <w:t>5、基金托管人根据有关规定有权对基金管理人进行以下事项监督：</w:t>
      </w:r>
    </w:p>
    <w:p w14:paraId="22A546BD">
      <w:pPr>
        <w:spacing w:line="360" w:lineRule="auto"/>
        <w:ind w:firstLine="480" w:firstLineChars="200"/>
        <w:rPr>
          <w:rFonts w:ascii="Arial" w:hAnsi="Arial" w:cs="Arial"/>
          <w:sz w:val="24"/>
        </w:rPr>
      </w:pPr>
      <w:r>
        <w:rPr>
          <w:rFonts w:ascii="Arial" w:hAnsi="Arial" w:cs="Arial"/>
          <w:sz w:val="24"/>
        </w:rPr>
        <w:t>（1）本基金投资流通受限证券时的法律法规遵守情况。</w:t>
      </w:r>
    </w:p>
    <w:p w14:paraId="4D7DD394">
      <w:pPr>
        <w:spacing w:line="360" w:lineRule="auto"/>
        <w:ind w:firstLine="480" w:firstLineChars="200"/>
        <w:rPr>
          <w:rFonts w:ascii="Arial" w:hAnsi="Arial" w:cs="Arial"/>
          <w:sz w:val="24"/>
        </w:rPr>
      </w:pPr>
      <w:r>
        <w:rPr>
          <w:rFonts w:ascii="Arial" w:hAnsi="Arial" w:cs="Arial"/>
          <w:sz w:val="24"/>
        </w:rPr>
        <w:t>（2）在基金投资流通受限证券管理工作方面有关制度、流动性风险处置预案的建立与完善情况。</w:t>
      </w:r>
    </w:p>
    <w:p w14:paraId="70C41CEF">
      <w:pPr>
        <w:spacing w:line="360" w:lineRule="auto"/>
        <w:ind w:firstLine="480" w:firstLineChars="200"/>
        <w:rPr>
          <w:rFonts w:ascii="Arial" w:hAnsi="Arial" w:cs="Arial"/>
          <w:sz w:val="24"/>
        </w:rPr>
      </w:pPr>
      <w:r>
        <w:rPr>
          <w:rFonts w:ascii="Arial" w:hAnsi="Arial" w:cs="Arial"/>
          <w:sz w:val="24"/>
        </w:rPr>
        <w:t>（3）有关比例限制的执行情况。</w:t>
      </w:r>
    </w:p>
    <w:p w14:paraId="16AC687F">
      <w:pPr>
        <w:spacing w:line="360" w:lineRule="auto"/>
        <w:ind w:firstLine="480" w:firstLineChars="200"/>
        <w:rPr>
          <w:rFonts w:ascii="Arial" w:hAnsi="Arial" w:cs="Arial"/>
          <w:sz w:val="24"/>
        </w:rPr>
      </w:pPr>
      <w:r>
        <w:rPr>
          <w:rFonts w:ascii="Arial" w:hAnsi="Arial" w:cs="Arial"/>
          <w:sz w:val="24"/>
        </w:rPr>
        <w:t>（4）信息披露情况。</w:t>
      </w:r>
    </w:p>
    <w:p w14:paraId="569241F3">
      <w:pPr>
        <w:spacing w:line="360" w:lineRule="auto"/>
        <w:ind w:firstLine="480" w:firstLineChars="200"/>
        <w:rPr>
          <w:rFonts w:ascii="Arial" w:hAnsi="Arial" w:cs="Arial"/>
          <w:sz w:val="24"/>
        </w:rPr>
      </w:pPr>
      <w:r>
        <w:rPr>
          <w:rFonts w:ascii="Arial" w:hAnsi="Arial" w:cs="Arial"/>
          <w:sz w:val="24"/>
        </w:rPr>
        <w:t>6</w:t>
      </w:r>
      <w:r>
        <w:rPr>
          <w:rFonts w:hint="eastAsia" w:ascii="Arial" w:hAnsi="Arial" w:cs="Arial"/>
          <w:sz w:val="24"/>
        </w:rPr>
        <w:t>、</w:t>
      </w:r>
      <w:r>
        <w:rPr>
          <w:rFonts w:ascii="Arial" w:hAnsi="Arial" w:cs="Arial"/>
          <w:sz w:val="24"/>
        </w:rPr>
        <w:t>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14:paraId="344B1FEA">
      <w:pPr>
        <w:spacing w:line="360" w:lineRule="auto"/>
        <w:ind w:firstLine="480" w:firstLineChars="200"/>
        <w:rPr>
          <w:rFonts w:ascii="Arial" w:hAnsi="Arial" w:cs="Arial"/>
          <w:sz w:val="24"/>
        </w:rPr>
      </w:pPr>
      <w:r>
        <w:rPr>
          <w:rFonts w:ascii="Arial" w:hAnsi="Arial" w:cs="Arial"/>
          <w:sz w:val="24"/>
        </w:rPr>
        <w:t>7、相关法律法规对基金投资流通受限证券有新规定的，从其规定。</w:t>
      </w:r>
    </w:p>
    <w:p w14:paraId="44DE6C6A">
      <w:pPr>
        <w:spacing w:line="360" w:lineRule="auto"/>
        <w:ind w:firstLine="480" w:firstLineChars="200"/>
        <w:rPr>
          <w:rFonts w:ascii="Arial" w:hAnsi="Arial" w:cs="Arial"/>
          <w:sz w:val="24"/>
        </w:rPr>
      </w:pPr>
      <w:r>
        <w:rPr>
          <w:rFonts w:hint="eastAsia" w:ascii="Arial" w:hAnsi="Arial" w:cs="Arial"/>
          <w:sz w:val="24"/>
        </w:rPr>
        <w:t>（七）基金托管人对基金管理人转融通证券出借业务进行监督</w:t>
      </w:r>
    </w:p>
    <w:p w14:paraId="467FCD05">
      <w:pPr>
        <w:spacing w:line="360" w:lineRule="auto"/>
        <w:ind w:firstLine="480" w:firstLineChars="200"/>
        <w:rPr>
          <w:rFonts w:ascii="Arial" w:hAnsi="Arial" w:cs="Arial"/>
          <w:sz w:val="24"/>
        </w:rPr>
      </w:pPr>
      <w:r>
        <w:rPr>
          <w:rFonts w:hint="eastAsia" w:ascii="Arial" w:hAnsi="Arial" w:cs="Arial"/>
          <w:sz w:val="24"/>
        </w:rPr>
        <w:t>基金管理人运用基金财产参与转融通证券出借业务，应当遵守审慎经营原则，配备技术系统和专业人员，制定科学合理的投资策略和风险管理制度，完善业务流程，有效防范和控制风险，基金托管人将对基金参与转融通证券出借业务进行监督和复核。</w:t>
      </w:r>
    </w:p>
    <w:p w14:paraId="585051CA">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八</w:t>
      </w:r>
      <w:r>
        <w:rPr>
          <w:rFonts w:ascii="Arial" w:hAnsi="Arial" w:cs="Arial"/>
          <w:sz w:val="24"/>
        </w:rPr>
        <w:t>）</w:t>
      </w:r>
      <w:r>
        <w:rPr>
          <w:rFonts w:hint="eastAsia" w:ascii="Arial" w:hAnsi="Arial" w:cs="Arial"/>
          <w:sz w:val="24"/>
        </w:rPr>
        <w:t>基金托管人对基金管理人选择存款银行进行监督</w:t>
      </w:r>
    </w:p>
    <w:p w14:paraId="44472931">
      <w:pPr>
        <w:spacing w:line="360" w:lineRule="auto"/>
        <w:ind w:firstLine="480" w:firstLineChars="200"/>
        <w:rPr>
          <w:rFonts w:ascii="Arial" w:hAnsi="Arial" w:cs="Arial"/>
          <w:sz w:val="24"/>
        </w:rPr>
      </w:pPr>
      <w:r>
        <w:rPr>
          <w:rFonts w:hint="eastAsia" w:ascii="Arial" w:hAnsi="Arial" w:cs="Arial"/>
          <w:sz w:val="24"/>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w:t>
      </w:r>
      <w:r>
        <w:rPr>
          <w:rFonts w:ascii="Arial" w:hAnsi="Arial" w:cs="Arial"/>
          <w:sz w:val="24"/>
        </w:rPr>
        <w:t>如基金管理人未向基金托管人提供符合条件的存款银行名单，基金托管人有权不对基金投资银行存款的交易对手进行监督。</w:t>
      </w:r>
    </w:p>
    <w:p w14:paraId="686F9DBE">
      <w:pPr>
        <w:spacing w:line="360" w:lineRule="auto"/>
        <w:ind w:firstLine="480" w:firstLineChars="200"/>
        <w:rPr>
          <w:rFonts w:ascii="Arial" w:hAnsi="Arial" w:cs="Arial"/>
          <w:sz w:val="24"/>
        </w:rPr>
      </w:pPr>
      <w:r>
        <w:rPr>
          <w:rFonts w:ascii="Arial" w:hAnsi="Arial" w:cs="Arial"/>
          <w:sz w:val="24"/>
        </w:rPr>
        <w:t xml:space="preserve">本基金投资银行存款应符合如下规定： </w:t>
      </w:r>
    </w:p>
    <w:p w14:paraId="2C44A658">
      <w:pPr>
        <w:spacing w:line="360" w:lineRule="auto"/>
        <w:ind w:firstLine="480" w:firstLineChars="200"/>
        <w:rPr>
          <w:rFonts w:ascii="Arial" w:hAnsi="Arial" w:cs="Arial"/>
          <w:sz w:val="24"/>
        </w:rPr>
      </w:pPr>
      <w:r>
        <w:rPr>
          <w:rFonts w:hint="eastAsia" w:ascii="Arial" w:hAnsi="Arial" w:cs="Arial"/>
          <w:sz w:val="24"/>
        </w:rPr>
        <w:t>（</w:t>
      </w:r>
      <w:r>
        <w:rPr>
          <w:rFonts w:ascii="Arial" w:hAnsi="Arial" w:cs="Arial"/>
          <w:sz w:val="24"/>
        </w:rPr>
        <w:t>1</w:t>
      </w:r>
      <w:r>
        <w:rPr>
          <w:rFonts w:hint="eastAsia" w:ascii="Arial" w:hAnsi="Arial" w:cs="Arial"/>
          <w:sz w:val="24"/>
        </w:rPr>
        <w:t>）</w:t>
      </w:r>
      <w:r>
        <w:rPr>
          <w:rFonts w:ascii="Arial" w:hAnsi="Arial" w:cs="Arial"/>
          <w:sz w:val="24"/>
        </w:rPr>
        <w:t>基金管理人、基金托管人应当与存款银行建立定期对账机制，确保基金银行存款业务账目及核算的真实、准确。</w:t>
      </w:r>
    </w:p>
    <w:p w14:paraId="467F10F9">
      <w:pPr>
        <w:spacing w:line="360" w:lineRule="auto"/>
        <w:ind w:firstLine="480" w:firstLineChars="200"/>
        <w:rPr>
          <w:rFonts w:ascii="Arial" w:hAnsi="Arial" w:cs="Arial"/>
          <w:sz w:val="24"/>
        </w:rPr>
      </w:pPr>
      <w:r>
        <w:rPr>
          <w:rFonts w:hint="eastAsia" w:ascii="Arial" w:hAnsi="Arial" w:cs="Arial"/>
          <w:sz w:val="24"/>
        </w:rPr>
        <w:t>（</w:t>
      </w:r>
      <w:r>
        <w:rPr>
          <w:rFonts w:ascii="Arial" w:hAnsi="Arial" w:cs="Arial"/>
          <w:sz w:val="24"/>
        </w:rPr>
        <w:t>2</w:t>
      </w:r>
      <w:r>
        <w:rPr>
          <w:rFonts w:hint="eastAsia" w:ascii="Arial" w:hAnsi="Arial" w:cs="Arial"/>
          <w:sz w:val="24"/>
        </w:rPr>
        <w:t>）</w:t>
      </w:r>
      <w:r>
        <w:rPr>
          <w:rFonts w:ascii="Arial" w:hAnsi="Arial" w:cs="Arial"/>
          <w:sz w:val="24"/>
        </w:rPr>
        <w:t xml:space="preserve">基金托管人应加强对基金银行存款业务的监督与核查，严格审查、复核相关协议、账户资料、投资指令、存款证实书等有关文件，切实履行托管职责。 </w:t>
      </w:r>
    </w:p>
    <w:p w14:paraId="3D758283">
      <w:pPr>
        <w:spacing w:line="360" w:lineRule="auto"/>
        <w:ind w:firstLine="480" w:firstLineChars="200"/>
        <w:rPr>
          <w:rFonts w:ascii="Arial" w:hAnsi="Arial" w:cs="Arial"/>
          <w:sz w:val="24"/>
        </w:rPr>
      </w:pPr>
      <w:r>
        <w:rPr>
          <w:rFonts w:hint="eastAsia" w:ascii="Arial" w:hAnsi="Arial" w:cs="Arial"/>
          <w:sz w:val="24"/>
        </w:rPr>
        <w:t>（</w:t>
      </w:r>
      <w:r>
        <w:rPr>
          <w:rFonts w:ascii="Arial" w:hAnsi="Arial" w:cs="Arial"/>
          <w:sz w:val="24"/>
        </w:rPr>
        <w:t>3</w:t>
      </w:r>
      <w:r>
        <w:rPr>
          <w:rFonts w:hint="eastAsia" w:ascii="Arial" w:hAnsi="Arial" w:cs="Arial"/>
          <w:sz w:val="24"/>
        </w:rPr>
        <w:t>）</w:t>
      </w:r>
      <w:r>
        <w:rPr>
          <w:rFonts w:ascii="Arial" w:hAnsi="Arial" w:cs="Arial"/>
          <w:sz w:val="24"/>
        </w:rPr>
        <w:t>基金管理人与基金托管人在开展基金存款业务时，应严格遵守《基金法》、《运作办法》等有关法律法规，以及国家有关账户管理、利率管理、支付结算等的各项规定。</w:t>
      </w:r>
    </w:p>
    <w:p w14:paraId="1BB80837">
      <w:pPr>
        <w:adjustRightInd w:val="0"/>
        <w:snapToGrid w:val="0"/>
        <w:spacing w:line="360" w:lineRule="auto"/>
        <w:ind w:firstLine="480" w:firstLineChars="200"/>
        <w:rPr>
          <w:rFonts w:ascii="Arial" w:hAnsi="Arial" w:cs="Arial"/>
          <w:sz w:val="24"/>
        </w:rPr>
      </w:pPr>
      <w:r>
        <w:rPr>
          <w:rFonts w:hint="eastAsia" w:ascii="Arial" w:hAnsi="Arial" w:cs="Arial"/>
          <w:sz w:val="24"/>
        </w:rPr>
        <w:t>（4）</w:t>
      </w:r>
      <w:r>
        <w:rPr>
          <w:rFonts w:ascii="Arial" w:hAnsi="Arial" w:cs="Arial"/>
          <w:sz w:val="24"/>
        </w:rPr>
        <w:t>基金托管人发现基金管理人在选择存款银行时有违反有关法律法规的规定及基金合同的约定的行为，应及时以书面形式通知基金管理人</w:t>
      </w:r>
      <w:r>
        <w:rPr>
          <w:rFonts w:hint="eastAsia" w:ascii="Arial" w:hAnsi="Arial" w:cs="Arial"/>
          <w:sz w:val="24"/>
        </w:rPr>
        <w:t>限期</w:t>
      </w:r>
      <w:r>
        <w:rPr>
          <w:rFonts w:ascii="Arial" w:hAnsi="Arial" w:cs="Arial"/>
          <w:sz w:val="24"/>
        </w:rPr>
        <w:t>纠正。基金管理人对基金托管人通知的违规事项未能在</w:t>
      </w:r>
      <w:r>
        <w:rPr>
          <w:rFonts w:hint="eastAsia" w:ascii="Arial" w:hAnsi="Arial" w:cs="Arial"/>
          <w:sz w:val="24"/>
        </w:rPr>
        <w:t>限期</w:t>
      </w:r>
      <w:r>
        <w:rPr>
          <w:rFonts w:ascii="Arial" w:hAnsi="Arial" w:cs="Arial"/>
          <w:sz w:val="24"/>
        </w:rPr>
        <w:t>内纠正的，基金托管人应报告中国证监会。基金托管人发现基金管理人有重大违规行为，应立即报告中国证监会，同时通知基金管理人在</w:t>
      </w:r>
      <w:r>
        <w:rPr>
          <w:rFonts w:hint="eastAsia" w:ascii="Arial" w:hAnsi="Arial" w:cs="Arial"/>
          <w:sz w:val="24"/>
        </w:rPr>
        <w:t>限期</w:t>
      </w:r>
      <w:r>
        <w:rPr>
          <w:rFonts w:ascii="Arial" w:hAnsi="Arial" w:cs="Arial"/>
          <w:sz w:val="24"/>
        </w:rPr>
        <w:t>内纠正或拒绝结算。</w:t>
      </w:r>
    </w:p>
    <w:p w14:paraId="2F7DB2E1">
      <w:pPr>
        <w:adjustRightInd w:val="0"/>
        <w:snapToGrid w:val="0"/>
        <w:spacing w:line="360" w:lineRule="auto"/>
        <w:ind w:firstLine="480" w:firstLineChars="200"/>
        <w:rPr>
          <w:rFonts w:ascii="Arial" w:hAnsi="Arial" w:cs="Arial"/>
          <w:sz w:val="24"/>
        </w:rPr>
      </w:pPr>
      <w:r>
        <w:rPr>
          <w:rFonts w:hint="eastAsia" w:ascii="Arial" w:hAnsi="Arial" w:cs="Arial"/>
          <w:sz w:val="24"/>
        </w:rPr>
        <w:t>（九）</w:t>
      </w:r>
      <w:r>
        <w:rPr>
          <w:rFonts w:ascii="Arial" w:hAnsi="Arial" w:cs="Arial"/>
          <w:sz w:val="24"/>
        </w:rPr>
        <w:t>基金托管人根据有关法律法规的规定及《基金合同》的约定，对基金资产净值计算、</w:t>
      </w:r>
      <w:r>
        <w:rPr>
          <w:rFonts w:hint="eastAsia" w:ascii="Arial" w:hAnsi="Arial" w:cs="Arial"/>
          <w:sz w:val="24"/>
        </w:rPr>
        <w:t>各类</w:t>
      </w:r>
      <w:r>
        <w:rPr>
          <w:rFonts w:ascii="Arial" w:hAnsi="Arial" w:cs="Arial"/>
          <w:sz w:val="24"/>
        </w:rPr>
        <w:t>基金份额净值、应收资金到账、基金费用开支及收入确定、基金收益分配、相关信息披露、基金宣传推介材料中登载基金业绩表现数据等进行监督和核查。</w:t>
      </w:r>
    </w:p>
    <w:p w14:paraId="4F4D0E5E">
      <w:pPr>
        <w:spacing w:line="360" w:lineRule="auto"/>
        <w:ind w:firstLine="480" w:firstLineChars="200"/>
        <w:rPr>
          <w:rFonts w:ascii="Arial" w:hAnsi="Arial" w:cs="Arial"/>
          <w:sz w:val="24"/>
        </w:rPr>
      </w:pPr>
      <w:r>
        <w:rPr>
          <w:rFonts w:ascii="Arial" w:hAnsi="Arial" w:cs="Arial"/>
          <w:sz w:val="24"/>
        </w:rPr>
        <w:t>如果基金管理人未经基金托管人的审核擅自将不实的业绩表现数据印制在宣传推介材料上</w:t>
      </w:r>
      <w:r>
        <w:rPr>
          <w:rFonts w:hint="eastAsia" w:ascii="Arial" w:hAnsi="Arial" w:cs="Arial"/>
          <w:sz w:val="24"/>
        </w:rPr>
        <w:t>或以其他方式进行宣传推介</w:t>
      </w:r>
      <w:r>
        <w:rPr>
          <w:rFonts w:ascii="Arial" w:hAnsi="Arial" w:cs="Arial"/>
          <w:sz w:val="24"/>
        </w:rPr>
        <w:t>，则基金托管人对此不承担任何责任，并</w:t>
      </w:r>
      <w:r>
        <w:rPr>
          <w:rFonts w:hint="eastAsia" w:ascii="Arial" w:hAnsi="Arial" w:cs="Arial"/>
          <w:sz w:val="24"/>
        </w:rPr>
        <w:t>有权</w:t>
      </w:r>
      <w:r>
        <w:rPr>
          <w:rFonts w:ascii="Arial" w:hAnsi="Arial" w:cs="Arial"/>
          <w:sz w:val="24"/>
        </w:rPr>
        <w:t>在发现后立即报告证监会。</w:t>
      </w:r>
    </w:p>
    <w:p w14:paraId="205B1FEB">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十</w:t>
      </w:r>
      <w:r>
        <w:rPr>
          <w:rFonts w:ascii="Arial" w:hAnsi="Arial" w:cs="Arial"/>
          <w:sz w:val="24"/>
        </w:rPr>
        <w:t>）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w:t>
      </w:r>
      <w:r>
        <w:rPr>
          <w:rFonts w:hint="eastAsia" w:ascii="Arial" w:hAnsi="Arial" w:cs="Arial"/>
          <w:sz w:val="24"/>
        </w:rPr>
        <w:t>有权</w:t>
      </w:r>
      <w:r>
        <w:rPr>
          <w:rFonts w:ascii="Arial" w:hAnsi="Arial" w:cs="Arial"/>
          <w:sz w:val="24"/>
        </w:rPr>
        <w:t>报告中国证监会。</w:t>
      </w:r>
    </w:p>
    <w:p w14:paraId="5BD07B3D">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十一</w:t>
      </w:r>
      <w:r>
        <w:rPr>
          <w:rFonts w:ascii="Arial" w:hAnsi="Arial" w:cs="Arial"/>
          <w:sz w:val="24"/>
        </w:rPr>
        <w:t>）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18830B1C">
      <w:pPr>
        <w:spacing w:line="360" w:lineRule="auto"/>
        <w:ind w:firstLine="480" w:firstLineChars="200"/>
        <w:rPr>
          <w:rFonts w:ascii="Arial" w:hAnsi="Arial" w:cs="Arial"/>
          <w:sz w:val="24"/>
        </w:rPr>
      </w:pPr>
      <w:r>
        <w:rPr>
          <w:rFonts w:ascii="Arial" w:hAnsi="Arial" w:cs="Arial"/>
          <w:sz w:val="24"/>
        </w:rPr>
        <w:t>（十</w:t>
      </w:r>
      <w:r>
        <w:rPr>
          <w:rFonts w:hint="eastAsia" w:ascii="Arial" w:hAnsi="Arial" w:cs="Arial"/>
          <w:sz w:val="24"/>
        </w:rPr>
        <w:t>二</w:t>
      </w:r>
      <w:r>
        <w:rPr>
          <w:rFonts w:ascii="Arial" w:hAnsi="Arial" w:cs="Arial"/>
          <w:sz w:val="24"/>
        </w:rPr>
        <w:t>）</w:t>
      </w:r>
      <w:r>
        <w:rPr>
          <w:rFonts w:hint="eastAsia" w:ascii="Arial" w:hAnsi="Arial" w:cs="Arial"/>
          <w:sz w:val="24"/>
        </w:rPr>
        <w:t>对于依据交易程序尚未成交的且基金托管人在交易前能够监控的投资指令，基金托管人发现该投资指令违反法律法规规定或者违反基金合同约定的，应当拒绝执行，立即通知基金管理人，并向证监会报告。对于此类基金托管人拒绝执行的交易行为，基金托管人在履行了对基金管理人的通知义务后，即视为完全履行了其投资监督职责。对于基金管理人此类违反《基金法》、本协议或其他有关法律法规行为造成基金财产或基金份额持有人损失的，由基金管理人承担全部责任，基金托管人免于承担责任。</w:t>
      </w:r>
    </w:p>
    <w:p w14:paraId="2424B17B">
      <w:pPr>
        <w:spacing w:line="360" w:lineRule="auto"/>
        <w:ind w:firstLine="480" w:firstLineChars="200"/>
        <w:rPr>
          <w:rFonts w:ascii="Arial" w:hAnsi="Arial" w:cs="Arial"/>
          <w:sz w:val="24"/>
        </w:rPr>
      </w:pPr>
      <w:r>
        <w:rPr>
          <w:rFonts w:ascii="Arial" w:hAnsi="Arial" w:cs="Arial"/>
          <w:sz w:val="24"/>
        </w:rPr>
        <w:t>若基金托管人发现基金管理人依据交易程序已经生效的指令违反法律、行政法规和其他有关规定，或者违反《基金合同》约定的，应当立即通知基金管理人，由此造成的损失由基金管理人承担</w:t>
      </w:r>
      <w:r>
        <w:rPr>
          <w:rFonts w:hint="eastAsia" w:ascii="Arial" w:hAnsi="Arial" w:cs="Arial"/>
          <w:sz w:val="24"/>
        </w:rPr>
        <w:t>，基金托管人在履行其通知义务后，予以免责</w:t>
      </w:r>
      <w:r>
        <w:rPr>
          <w:rFonts w:ascii="Arial" w:hAnsi="Arial" w:cs="Arial"/>
          <w:sz w:val="24"/>
        </w:rPr>
        <w:t>。</w:t>
      </w:r>
    </w:p>
    <w:p w14:paraId="609A6FBD">
      <w:pPr>
        <w:spacing w:line="360" w:lineRule="auto"/>
        <w:ind w:firstLine="480" w:firstLineChars="200"/>
        <w:rPr>
          <w:rFonts w:ascii="Arial" w:hAnsi="Arial" w:cs="Arial"/>
          <w:sz w:val="24"/>
        </w:rPr>
      </w:pPr>
      <w:r>
        <w:rPr>
          <w:rFonts w:hint="eastAsia" w:ascii="Arial" w:hAnsi="Arial" w:cs="Arial"/>
          <w:sz w:val="24"/>
        </w:rPr>
        <w:t>对于必须于估值完成后方可获知的监控指标或依据交易程序已经成交的投资指令，基金托管人发现该投资指令违反法律法规或者违反基金合同约定的，应当立即通知基金管理人，并报告证监会</w:t>
      </w:r>
      <w:r>
        <w:rPr>
          <w:rFonts w:ascii="Arial" w:hAnsi="Arial" w:cs="Arial"/>
          <w:sz w:val="24"/>
        </w:rPr>
        <w:t>，</w:t>
      </w:r>
      <w:r>
        <w:rPr>
          <w:rFonts w:hint="eastAsia" w:ascii="Arial" w:hAnsi="Arial" w:cs="Arial"/>
          <w:sz w:val="24"/>
        </w:rPr>
        <w:t>基金托管人不承担由此产生的相关责任。</w:t>
      </w:r>
    </w:p>
    <w:p w14:paraId="345C4B0F">
      <w:pPr>
        <w:spacing w:line="360" w:lineRule="auto"/>
        <w:ind w:firstLine="480" w:firstLineChars="200"/>
        <w:rPr>
          <w:rFonts w:ascii="Arial" w:hAnsi="Arial" w:cs="Arial"/>
          <w:sz w:val="24"/>
        </w:rPr>
      </w:pPr>
      <w:r>
        <w:rPr>
          <w:rFonts w:ascii="Arial" w:hAnsi="Arial" w:cs="Arial"/>
          <w:sz w:val="24"/>
        </w:rPr>
        <w:t>（十</w:t>
      </w:r>
      <w:r>
        <w:rPr>
          <w:rFonts w:hint="eastAsia" w:ascii="Arial" w:hAnsi="Arial" w:cs="Arial"/>
          <w:sz w:val="24"/>
        </w:rPr>
        <w:t>三</w:t>
      </w:r>
      <w:r>
        <w:rPr>
          <w:rFonts w:ascii="Arial" w:hAnsi="Arial" w:cs="Arial"/>
          <w:sz w:val="24"/>
        </w:rPr>
        <w:t>）基金托管人发现基金管理人有重大违规行为，</w:t>
      </w:r>
      <w:r>
        <w:rPr>
          <w:rFonts w:hint="eastAsia" w:ascii="Arial" w:hAnsi="Arial" w:cs="Arial"/>
          <w:sz w:val="24"/>
        </w:rPr>
        <w:t>有权</w:t>
      </w:r>
      <w:r>
        <w:rPr>
          <w:rFonts w:ascii="Arial" w:hAnsi="Arial" w:cs="Arial"/>
          <w:sz w:val="24"/>
        </w:rPr>
        <w:t>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w:t>
      </w:r>
      <w:r>
        <w:rPr>
          <w:rFonts w:hint="eastAsia" w:ascii="Arial" w:hAnsi="Arial" w:cs="Arial"/>
          <w:sz w:val="24"/>
        </w:rPr>
        <w:t>有权</w:t>
      </w:r>
      <w:r>
        <w:rPr>
          <w:rFonts w:ascii="Arial" w:hAnsi="Arial" w:cs="Arial"/>
          <w:sz w:val="24"/>
        </w:rPr>
        <w:t>报告中国证监会。</w:t>
      </w:r>
    </w:p>
    <w:p w14:paraId="3FB2F433">
      <w:pPr>
        <w:spacing w:line="360" w:lineRule="auto"/>
        <w:ind w:firstLine="480" w:firstLineChars="200"/>
        <w:rPr>
          <w:rFonts w:ascii="Arial" w:hAnsi="Arial" w:cs="Arial"/>
          <w:sz w:val="24"/>
        </w:rPr>
      </w:pPr>
      <w:r>
        <w:rPr>
          <w:rFonts w:hint="eastAsia" w:ascii="Arial" w:hAnsi="Arial" w:cs="Arial"/>
          <w:sz w:val="24"/>
        </w:rPr>
        <w:t>（十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0450B4B9">
      <w:pPr>
        <w:spacing w:line="360" w:lineRule="auto"/>
        <w:ind w:firstLine="480" w:firstLineChars="200"/>
        <w:rPr>
          <w:rFonts w:ascii="Arial" w:hAnsi="Arial" w:cs="Arial"/>
          <w:sz w:val="24"/>
        </w:rPr>
      </w:pPr>
      <w:r>
        <w:rPr>
          <w:rFonts w:hint="eastAsia" w:ascii="Arial" w:hAnsi="Arial" w:cs="Arial"/>
          <w:sz w:val="24"/>
        </w:rPr>
        <w:t>侧袋机制实施期间的具体规则依照相关法律法规的规定和基金合同的约定执行。</w:t>
      </w:r>
    </w:p>
    <w:p w14:paraId="74FB341C">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48" w:name="_Toc466464090"/>
      <w:bookmarkStart w:id="49" w:name="_Toc466378879"/>
      <w:bookmarkStart w:id="50" w:name="_Toc125361076"/>
      <w:bookmarkStart w:id="51" w:name="_Toc290284046"/>
      <w:bookmarkStart w:id="52" w:name="_Toc140002339"/>
      <w:bookmarkStart w:id="53" w:name="_Toc124749939"/>
      <w:bookmarkStart w:id="54" w:name="_Toc283383017"/>
      <w:bookmarkStart w:id="55" w:name="_Toc124749228"/>
      <w:bookmarkStart w:id="56" w:name="_Toc123705448"/>
      <w:r>
        <w:rPr>
          <w:rFonts w:ascii="Arial" w:hAnsi="Arial" w:cs="Arial"/>
          <w:bCs w:val="0"/>
          <w:kern w:val="0"/>
          <w:szCs w:val="30"/>
          <w:lang w:val="en-US"/>
        </w:rPr>
        <w:t>第四部分 基金管理人对基金托管人的业务核查</w:t>
      </w:r>
      <w:bookmarkEnd w:id="48"/>
      <w:bookmarkEnd w:id="49"/>
    </w:p>
    <w:bookmarkEnd w:id="50"/>
    <w:bookmarkEnd w:id="51"/>
    <w:bookmarkEnd w:id="52"/>
    <w:bookmarkEnd w:id="53"/>
    <w:bookmarkEnd w:id="54"/>
    <w:bookmarkEnd w:id="55"/>
    <w:bookmarkEnd w:id="56"/>
    <w:p w14:paraId="3E7208E1">
      <w:pPr>
        <w:spacing w:line="360" w:lineRule="auto"/>
        <w:ind w:firstLine="480" w:firstLineChars="200"/>
        <w:rPr>
          <w:rFonts w:ascii="Arial" w:hAnsi="Arial" w:cs="Arial"/>
          <w:sz w:val="24"/>
        </w:rPr>
      </w:pPr>
      <w:r>
        <w:rPr>
          <w:rFonts w:ascii="Arial" w:hAnsi="Arial" w:cs="Arial"/>
          <w:sz w:val="24"/>
        </w:rPr>
        <w:t>（一）</w:t>
      </w:r>
      <w:r>
        <w:rPr>
          <w:rFonts w:hint="eastAsia" w:ascii="Arial" w:hAnsi="Arial" w:cs="Arial"/>
          <w:sz w:val="24"/>
        </w:rPr>
        <w:t>根据本协议及有关规定，</w:t>
      </w:r>
      <w:r>
        <w:rPr>
          <w:rFonts w:ascii="Arial" w:hAnsi="Arial" w:cs="Arial"/>
          <w:sz w:val="24"/>
        </w:rPr>
        <w:t>基金管理人对基金托管人履行托管职责情况进行核查，核查事项包括基金托管人安全保管基金财产、开设基金财产的托管资金专门账户、证券账户等投资所需账户、复核基金管理人计算的基金资产净值及</w:t>
      </w:r>
      <w:r>
        <w:rPr>
          <w:rFonts w:hint="eastAsia" w:ascii="Arial" w:hAnsi="Arial" w:cs="Arial"/>
          <w:sz w:val="24"/>
        </w:rPr>
        <w:t>各类</w:t>
      </w:r>
      <w:r>
        <w:rPr>
          <w:rFonts w:ascii="Arial" w:hAnsi="Arial" w:cs="Arial"/>
          <w:sz w:val="24"/>
        </w:rPr>
        <w:t>基金份额净值、根据基金管理人指令办理清算交收、相关信息披露和监督基金投资运作等行为。</w:t>
      </w:r>
    </w:p>
    <w:p w14:paraId="0AAB19D0">
      <w:pPr>
        <w:spacing w:line="360" w:lineRule="auto"/>
        <w:ind w:firstLine="480" w:firstLineChars="200"/>
        <w:rPr>
          <w:rFonts w:ascii="Arial" w:hAnsi="Arial" w:cs="Arial"/>
          <w:sz w:val="24"/>
        </w:rPr>
      </w:pPr>
      <w:r>
        <w:rPr>
          <w:rFonts w:ascii="Arial" w:hAnsi="Arial" w:cs="Arial"/>
          <w:sz w:val="24"/>
        </w:rPr>
        <w:t>（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5E906748">
      <w:pPr>
        <w:spacing w:line="360" w:lineRule="auto"/>
        <w:ind w:firstLine="480" w:firstLineChars="200"/>
        <w:rPr>
          <w:rFonts w:ascii="Arial" w:hAnsi="Arial" w:cs="Arial"/>
          <w:sz w:val="24"/>
        </w:rPr>
      </w:pPr>
      <w:r>
        <w:rPr>
          <w:rFonts w:ascii="Arial" w:hAnsi="Arial" w:cs="Arial"/>
          <w:sz w:val="24"/>
        </w:rPr>
        <w:t>（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w:t>
      </w:r>
      <w:r>
        <w:rPr>
          <w:rFonts w:hint="eastAsia" w:ascii="Arial" w:hAnsi="Arial" w:cs="Arial"/>
          <w:sz w:val="24"/>
        </w:rPr>
        <w:t>有权</w:t>
      </w:r>
      <w:r>
        <w:rPr>
          <w:rFonts w:ascii="Arial" w:hAnsi="Arial" w:cs="Arial"/>
          <w:sz w:val="24"/>
        </w:rPr>
        <w:t>报告中国证监会。</w:t>
      </w:r>
    </w:p>
    <w:p w14:paraId="317089B4">
      <w:pPr>
        <w:spacing w:line="360" w:lineRule="auto"/>
        <w:ind w:firstLine="480" w:firstLineChars="200"/>
        <w:rPr>
          <w:rFonts w:ascii="Arial" w:hAnsi="Arial" w:cs="Arial"/>
          <w:sz w:val="24"/>
        </w:rPr>
      </w:pPr>
    </w:p>
    <w:p w14:paraId="79807DB0">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57" w:name="_Toc466464091"/>
      <w:bookmarkStart w:id="58" w:name="_Toc466378880"/>
      <w:bookmarkStart w:id="59" w:name="_Toc523829995"/>
      <w:bookmarkStart w:id="60" w:name="_Toc124749940"/>
      <w:bookmarkStart w:id="61" w:name="_Toc48703889"/>
      <w:bookmarkStart w:id="62" w:name="_Toc124749229"/>
      <w:bookmarkStart w:id="63" w:name="_Toc466788854"/>
      <w:bookmarkStart w:id="64" w:name="_Toc22454437"/>
      <w:bookmarkStart w:id="65" w:name="_Toc125361077"/>
      <w:bookmarkStart w:id="66" w:name="_Toc290284047"/>
      <w:bookmarkStart w:id="67" w:name="_Toc140002340"/>
      <w:bookmarkStart w:id="68" w:name="_Toc283383018"/>
      <w:bookmarkStart w:id="69" w:name="_Toc123626171"/>
      <w:r>
        <w:rPr>
          <w:rFonts w:ascii="Arial" w:hAnsi="Arial" w:cs="Arial"/>
          <w:bCs w:val="0"/>
          <w:kern w:val="0"/>
          <w:szCs w:val="30"/>
          <w:lang w:val="en-US"/>
        </w:rPr>
        <w:t>第五部分 基金财产保管</w:t>
      </w:r>
      <w:bookmarkEnd w:id="57"/>
      <w:bookmarkEnd w:id="58"/>
    </w:p>
    <w:bookmarkEnd w:id="59"/>
    <w:bookmarkEnd w:id="60"/>
    <w:bookmarkEnd w:id="61"/>
    <w:bookmarkEnd w:id="62"/>
    <w:bookmarkEnd w:id="63"/>
    <w:bookmarkEnd w:id="64"/>
    <w:bookmarkEnd w:id="65"/>
    <w:bookmarkEnd w:id="66"/>
    <w:bookmarkEnd w:id="67"/>
    <w:bookmarkEnd w:id="68"/>
    <w:bookmarkEnd w:id="69"/>
    <w:p w14:paraId="49C37187">
      <w:pPr>
        <w:spacing w:line="360" w:lineRule="auto"/>
        <w:ind w:firstLine="480" w:firstLineChars="200"/>
        <w:rPr>
          <w:rFonts w:ascii="Arial" w:hAnsi="Arial" w:cs="Arial"/>
          <w:sz w:val="24"/>
        </w:rPr>
      </w:pPr>
      <w:bookmarkStart w:id="70" w:name="_Toc37159173"/>
      <w:r>
        <w:rPr>
          <w:rFonts w:ascii="Arial" w:hAnsi="Arial" w:cs="Arial"/>
          <w:sz w:val="24"/>
        </w:rPr>
        <w:t>（一）基金财产保管的原则</w:t>
      </w:r>
      <w:bookmarkEnd w:id="70"/>
    </w:p>
    <w:p w14:paraId="76A9953A">
      <w:pPr>
        <w:spacing w:line="360" w:lineRule="auto"/>
        <w:ind w:firstLine="480" w:firstLineChars="200"/>
        <w:rPr>
          <w:rFonts w:ascii="Arial" w:hAnsi="Arial" w:cs="Arial"/>
          <w:sz w:val="24"/>
        </w:rPr>
      </w:pPr>
      <w:r>
        <w:rPr>
          <w:rFonts w:ascii="Arial" w:hAnsi="Arial" w:cs="Arial"/>
          <w:sz w:val="24"/>
        </w:rPr>
        <w:t>1、基金财产应独立于基金管理人、基金托管人的固有财产。</w:t>
      </w:r>
    </w:p>
    <w:p w14:paraId="7F3EB6B8">
      <w:pPr>
        <w:spacing w:line="360" w:lineRule="auto"/>
        <w:ind w:firstLine="480" w:firstLineChars="200"/>
        <w:rPr>
          <w:rFonts w:ascii="Arial" w:hAnsi="Arial" w:cs="Arial"/>
          <w:sz w:val="24"/>
        </w:rPr>
      </w:pPr>
      <w:r>
        <w:rPr>
          <w:rFonts w:ascii="Arial" w:hAnsi="Arial" w:cs="Arial"/>
          <w:sz w:val="24"/>
        </w:rPr>
        <w:t>2、基金托管人按照规定开设基金财产的托管资金专门账户和证券账户等投资所需账户。</w:t>
      </w:r>
    </w:p>
    <w:p w14:paraId="218C1FD4">
      <w:pPr>
        <w:spacing w:line="360" w:lineRule="auto"/>
        <w:ind w:firstLine="480" w:firstLineChars="200"/>
        <w:rPr>
          <w:rFonts w:ascii="Arial" w:hAnsi="Arial" w:cs="Arial"/>
          <w:sz w:val="24"/>
        </w:rPr>
      </w:pPr>
      <w:r>
        <w:rPr>
          <w:rFonts w:hint="eastAsia" w:ascii="Arial" w:hAnsi="Arial" w:cs="Arial"/>
          <w:sz w:val="24"/>
        </w:rPr>
        <w:t>3</w:t>
      </w:r>
      <w:r>
        <w:rPr>
          <w:rFonts w:ascii="Arial" w:hAnsi="Arial" w:cs="Arial"/>
          <w:sz w:val="24"/>
        </w:rPr>
        <w:t>、基金托管人对所托管的不同基金财产分别设置账户，与基金托管人的其他业务和其他基金的托管业务实行严格的分账管理，确保基金财产的完整与独立。</w:t>
      </w:r>
    </w:p>
    <w:p w14:paraId="77E6E340">
      <w:pPr>
        <w:spacing w:line="360" w:lineRule="auto"/>
        <w:ind w:firstLine="480" w:firstLineChars="200"/>
        <w:rPr>
          <w:rFonts w:ascii="Arial" w:hAnsi="Arial" w:cs="Arial"/>
          <w:sz w:val="24"/>
        </w:rPr>
      </w:pPr>
      <w:r>
        <w:rPr>
          <w:rFonts w:hint="eastAsia" w:ascii="Arial" w:hAnsi="Arial" w:cs="Arial"/>
          <w:sz w:val="24"/>
        </w:rPr>
        <w:t>4</w:t>
      </w:r>
      <w:r>
        <w:rPr>
          <w:rFonts w:ascii="Arial" w:hAnsi="Arial" w:cs="Arial"/>
          <w:sz w:val="24"/>
        </w:rPr>
        <w:t>、基金托管人按照《基金合同》和本协议的约定保管基金财产，如有特殊情况双方可另行协商解决。基金托管人未经基金管理人的</w:t>
      </w:r>
      <w:r>
        <w:rPr>
          <w:rFonts w:hint="eastAsia" w:ascii="Arial" w:hAnsi="Arial" w:cs="Arial"/>
          <w:sz w:val="24"/>
        </w:rPr>
        <w:t>合法合规</w:t>
      </w:r>
      <w:r>
        <w:rPr>
          <w:rFonts w:ascii="Arial" w:hAnsi="Arial" w:cs="Arial"/>
          <w:sz w:val="24"/>
        </w:rPr>
        <w:t>指令</w:t>
      </w:r>
      <w:r>
        <w:rPr>
          <w:rFonts w:hint="eastAsia" w:ascii="Arial" w:hAnsi="Arial" w:cs="Arial"/>
          <w:sz w:val="24"/>
        </w:rPr>
        <w:t>或法律法规、《基金合同》及本协议另有规定</w:t>
      </w:r>
      <w:r>
        <w:rPr>
          <w:rFonts w:ascii="Arial" w:hAnsi="Arial" w:cs="Arial"/>
          <w:sz w:val="24"/>
        </w:rPr>
        <w:t>，不得自行运用、处分、分配本基金的任何资产（不包含基金托管人依据中国证券登记结算有限责任公司数据完成场内交易交收、托管资产开户银行扣收结算费和账户维护费等费用）。</w:t>
      </w:r>
      <w:r>
        <w:rPr>
          <w:rFonts w:hint="eastAsia" w:ascii="Arial" w:hAnsi="Arial" w:cs="Arial"/>
          <w:sz w:val="24"/>
        </w:rPr>
        <w:t>不属于基金托管人实际或应当有效控制下的资产及实物证券等在基金托管人保管期间的损坏、灭失，基金托管人不承担由此产生的责任。</w:t>
      </w:r>
    </w:p>
    <w:p w14:paraId="3D57F625">
      <w:pPr>
        <w:spacing w:line="360" w:lineRule="auto"/>
        <w:ind w:firstLine="480" w:firstLineChars="200"/>
        <w:rPr>
          <w:rFonts w:ascii="Arial" w:hAnsi="Arial" w:cs="Arial"/>
          <w:sz w:val="24"/>
        </w:rPr>
      </w:pPr>
      <w:r>
        <w:rPr>
          <w:rFonts w:hint="eastAsia" w:ascii="Arial" w:hAnsi="Arial" w:cs="Arial"/>
          <w:sz w:val="24"/>
        </w:rPr>
        <w:t>5</w:t>
      </w:r>
      <w:r>
        <w:rPr>
          <w:rFonts w:ascii="Arial" w:hAnsi="Arial" w:cs="Arial"/>
          <w:sz w:val="24"/>
        </w:rPr>
        <w:t>、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14:paraId="14F7B88F">
      <w:pPr>
        <w:spacing w:line="360" w:lineRule="auto"/>
        <w:ind w:firstLine="480" w:firstLineChars="200"/>
        <w:rPr>
          <w:rFonts w:ascii="Arial" w:hAnsi="Arial" w:cs="Arial"/>
          <w:sz w:val="24"/>
        </w:rPr>
      </w:pPr>
      <w:r>
        <w:rPr>
          <w:rFonts w:hint="eastAsia" w:ascii="Arial" w:hAnsi="Arial" w:cs="Arial"/>
          <w:sz w:val="24"/>
        </w:rPr>
        <w:t>6</w:t>
      </w:r>
      <w:r>
        <w:rPr>
          <w:rFonts w:ascii="Arial" w:hAnsi="Arial" w:cs="Arial"/>
          <w:sz w:val="24"/>
        </w:rPr>
        <w:t>、</w:t>
      </w:r>
      <w:r>
        <w:rPr>
          <w:rFonts w:hint="eastAsia" w:ascii="Arial" w:hAnsi="Arial" w:cs="Arial"/>
          <w:sz w:val="24"/>
        </w:rPr>
        <w:t>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基金托管人对基金托管人以外机构实际有效控制的证券不承担保管责任。</w:t>
      </w:r>
    </w:p>
    <w:p w14:paraId="1935FDF1">
      <w:pPr>
        <w:spacing w:line="360" w:lineRule="auto"/>
        <w:ind w:firstLine="480" w:firstLineChars="200"/>
        <w:rPr>
          <w:rFonts w:ascii="Arial" w:hAnsi="Arial" w:cs="Arial"/>
          <w:sz w:val="24"/>
        </w:rPr>
      </w:pPr>
      <w:r>
        <w:rPr>
          <w:rFonts w:hint="eastAsia" w:ascii="Arial" w:hAnsi="Arial" w:cs="Arial"/>
          <w:sz w:val="24"/>
        </w:rPr>
        <w:t>7、</w:t>
      </w:r>
      <w:r>
        <w:rPr>
          <w:rFonts w:ascii="Arial" w:hAnsi="Arial" w:cs="Arial"/>
          <w:sz w:val="24"/>
        </w:rPr>
        <w:t>除依据法律法规和《基金合同》的规定外，基金托管人不得委托第三人托管基金财产。</w:t>
      </w:r>
    </w:p>
    <w:p w14:paraId="193061E7">
      <w:pPr>
        <w:spacing w:line="360" w:lineRule="auto"/>
        <w:ind w:firstLine="480" w:firstLineChars="200"/>
        <w:rPr>
          <w:rFonts w:ascii="Arial" w:hAnsi="Arial" w:cs="Arial"/>
          <w:bCs/>
          <w:sz w:val="24"/>
          <w:szCs w:val="20"/>
        </w:rPr>
      </w:pPr>
      <w:r>
        <w:rPr>
          <w:rFonts w:hint="eastAsia" w:ascii="Arial" w:hAnsi="Arial" w:cs="Arial"/>
          <w:bCs/>
          <w:sz w:val="24"/>
          <w:szCs w:val="20"/>
        </w:rPr>
        <w:t>8、基金管理人从事证券投资基金管理业务，应当遵循公平、诚信的原则，禁止任何形式的利益输送。由于基金管理人违反以上条款而造成基金损失的，由基金管理人承担。</w:t>
      </w:r>
    </w:p>
    <w:p w14:paraId="0EA4D89A">
      <w:pPr>
        <w:spacing w:line="360" w:lineRule="auto"/>
        <w:ind w:firstLine="480" w:firstLineChars="200"/>
        <w:rPr>
          <w:rFonts w:ascii="Arial" w:hAnsi="Arial" w:cs="Arial"/>
          <w:sz w:val="24"/>
        </w:rPr>
      </w:pPr>
      <w:bookmarkStart w:id="71" w:name="_Toc37159174"/>
      <w:r>
        <w:rPr>
          <w:rFonts w:ascii="Arial" w:hAnsi="Arial" w:cs="Arial"/>
          <w:sz w:val="24"/>
        </w:rPr>
        <w:t>（二）基金募集资金的验</w:t>
      </w:r>
      <w:bookmarkEnd w:id="71"/>
      <w:r>
        <w:rPr>
          <w:rFonts w:ascii="Arial" w:hAnsi="Arial" w:cs="Arial"/>
          <w:sz w:val="24"/>
        </w:rPr>
        <w:t>资</w:t>
      </w:r>
    </w:p>
    <w:p w14:paraId="45D6FD66">
      <w:pPr>
        <w:spacing w:line="360" w:lineRule="auto"/>
        <w:ind w:firstLine="480" w:firstLineChars="200"/>
        <w:rPr>
          <w:rFonts w:ascii="Arial" w:hAnsi="Arial" w:cs="Arial"/>
          <w:sz w:val="24"/>
        </w:rPr>
      </w:pPr>
      <w:r>
        <w:rPr>
          <w:rFonts w:ascii="Arial" w:hAnsi="Arial" w:cs="Arial"/>
          <w:sz w:val="24"/>
        </w:rPr>
        <w:t>1、 基金募集期间募集的资金应存于基金管理人在具有托管资格的商业银行开立的“基金募集专户”。该账户由基金管理人开立并管理。</w:t>
      </w:r>
    </w:p>
    <w:p w14:paraId="618C5F62">
      <w:pPr>
        <w:spacing w:line="360" w:lineRule="auto"/>
        <w:ind w:firstLine="480" w:firstLineChars="200"/>
        <w:rPr>
          <w:rFonts w:ascii="Arial" w:hAnsi="Arial" w:cs="Arial"/>
          <w:sz w:val="24"/>
        </w:rPr>
      </w:pPr>
      <w:r>
        <w:rPr>
          <w:rFonts w:ascii="Arial" w:hAnsi="Arial" w:cs="Arial"/>
          <w:sz w:val="24"/>
        </w:rPr>
        <w:t>2、基金募集期满或基金停止募集时，</w:t>
      </w:r>
      <w:r>
        <w:rPr>
          <w:rFonts w:hint="eastAsia" w:ascii="Arial" w:hAnsi="Arial" w:cs="Arial"/>
          <w:sz w:val="24"/>
        </w:rPr>
        <w:t>发起资金的认购金额、发起资金提供方及其承诺的持有期限</w:t>
      </w:r>
      <w:r>
        <w:rPr>
          <w:rFonts w:ascii="Arial" w:hAnsi="Arial" w:cs="Arial"/>
          <w:sz w:val="24"/>
        </w:rPr>
        <w:t>符合《基金法》、《公开募集证券投资基金运作管理办法》等有关规定后，基金管理人应将属于基金财产的全部资金划入基金托管人为本基金开立的基金托管资金账户，同时在规定时间内，聘请</w:t>
      </w:r>
      <w:r>
        <w:rPr>
          <w:rFonts w:hint="eastAsia" w:ascii="Arial" w:hAnsi="Arial" w:cs="Arial"/>
          <w:sz w:val="24"/>
        </w:rPr>
        <w:t>符合《证券法》规定</w:t>
      </w:r>
      <w:r>
        <w:rPr>
          <w:rFonts w:ascii="Arial" w:hAnsi="Arial" w:cs="Arial"/>
          <w:sz w:val="24"/>
        </w:rPr>
        <w:t>的会计师事务所进行验资，出具验资报告</w:t>
      </w:r>
      <w:r>
        <w:rPr>
          <w:rFonts w:hint="eastAsia" w:ascii="Arial" w:hAnsi="Arial" w:cs="Arial"/>
          <w:sz w:val="24"/>
        </w:rPr>
        <w:t>，验资机构需在验资报告中对发起资金提供方及其持有份额进行专门说明</w:t>
      </w:r>
      <w:r>
        <w:rPr>
          <w:rFonts w:ascii="Arial" w:hAnsi="Arial" w:cs="Arial"/>
          <w:sz w:val="24"/>
        </w:rPr>
        <w:t>。出具的验资报告由参加验资的2名或2名以上中国注册会计师签字方为有效。</w:t>
      </w:r>
    </w:p>
    <w:p w14:paraId="7D922FE6">
      <w:pPr>
        <w:spacing w:line="360" w:lineRule="auto"/>
        <w:ind w:firstLine="480" w:firstLineChars="200"/>
        <w:rPr>
          <w:rFonts w:ascii="Arial" w:hAnsi="Arial" w:cs="Arial"/>
          <w:sz w:val="24"/>
        </w:rPr>
      </w:pPr>
      <w:r>
        <w:rPr>
          <w:rFonts w:ascii="Arial" w:hAnsi="Arial" w:cs="Arial"/>
          <w:sz w:val="24"/>
        </w:rPr>
        <w:t>3、若基金募集期限届满，未能达到《基金合同》</w:t>
      </w:r>
      <w:r>
        <w:rPr>
          <w:rFonts w:hint="eastAsia" w:ascii="Arial" w:hAnsi="Arial" w:cs="Arial"/>
          <w:sz w:val="24"/>
        </w:rPr>
        <w:t>备案</w:t>
      </w:r>
      <w:r>
        <w:rPr>
          <w:rFonts w:ascii="Arial" w:hAnsi="Arial" w:cs="Arial"/>
          <w:sz w:val="24"/>
        </w:rPr>
        <w:t>的条件，由基金管理人按规定办理退款等事宜</w:t>
      </w:r>
      <w:r>
        <w:rPr>
          <w:rFonts w:hint="eastAsia" w:ascii="Arial" w:hAnsi="Arial" w:cs="Arial"/>
          <w:sz w:val="24"/>
        </w:rPr>
        <w:t>，基金托管人应提供必要的协助</w:t>
      </w:r>
      <w:r>
        <w:rPr>
          <w:rFonts w:ascii="Arial" w:hAnsi="Arial" w:cs="Arial"/>
          <w:sz w:val="24"/>
        </w:rPr>
        <w:t>。</w:t>
      </w:r>
    </w:p>
    <w:p w14:paraId="456FFD55">
      <w:pPr>
        <w:spacing w:line="360" w:lineRule="auto"/>
        <w:ind w:firstLine="480" w:firstLineChars="200"/>
        <w:rPr>
          <w:rFonts w:ascii="Arial" w:hAnsi="Arial" w:cs="Arial"/>
          <w:sz w:val="24"/>
        </w:rPr>
      </w:pPr>
      <w:r>
        <w:rPr>
          <w:rFonts w:hint="eastAsia" w:ascii="Arial" w:hAnsi="Arial" w:cs="Arial"/>
          <w:sz w:val="24"/>
        </w:rPr>
        <w:t>（三）基金的托管资金专门账户的开立和管理</w:t>
      </w:r>
    </w:p>
    <w:p w14:paraId="3DFDC130">
      <w:pPr>
        <w:spacing w:line="360" w:lineRule="auto"/>
        <w:ind w:firstLine="480" w:firstLineChars="200"/>
        <w:rPr>
          <w:rFonts w:ascii="Arial" w:hAnsi="Arial" w:cs="Arial"/>
          <w:sz w:val="24"/>
        </w:rPr>
      </w:pPr>
      <w:r>
        <w:rPr>
          <w:rFonts w:hint="eastAsia" w:ascii="Arial" w:hAnsi="Arial" w:cs="Arial"/>
          <w:sz w:val="24"/>
        </w:rPr>
        <w:t>1、基金托管人以基金的名义在具有基金托管资格的商业银行开设托管资金专门账户，并根据基金管理人合法合规的指令办理资金收付。本基金的银行预留印鉴由基金托管人保管和使用。本基金的一切货币收支活动，包括但不限于投资、支付赎回金额、支付基金收益、收取申购款，均需通过本基金的托管资金专门账户进行。</w:t>
      </w:r>
    </w:p>
    <w:p w14:paraId="5323006C">
      <w:pPr>
        <w:spacing w:line="360" w:lineRule="auto"/>
        <w:ind w:firstLine="480" w:firstLineChars="200"/>
        <w:rPr>
          <w:rFonts w:ascii="Arial" w:hAnsi="Arial" w:cs="Arial"/>
          <w:sz w:val="24"/>
        </w:rPr>
      </w:pPr>
      <w:r>
        <w:rPr>
          <w:rFonts w:hint="eastAsia" w:ascii="Arial" w:hAnsi="Arial" w:cs="Arial"/>
          <w:sz w:val="24"/>
        </w:rPr>
        <w:t>2、托管资金专门账户的开立和使用，限于满足开展本基金业务的需要。基金托管人和基金管理人不得假借本基金的名义开立其他任何银行账户，亦不得使用基金的任何银行账户进行本基金业务以外的活动。</w:t>
      </w:r>
    </w:p>
    <w:p w14:paraId="4ABAECBB">
      <w:pPr>
        <w:spacing w:line="360" w:lineRule="auto"/>
        <w:ind w:firstLine="480" w:firstLineChars="200"/>
        <w:rPr>
          <w:rFonts w:ascii="Arial" w:hAnsi="Arial" w:cs="Arial"/>
          <w:sz w:val="24"/>
        </w:rPr>
      </w:pPr>
      <w:r>
        <w:rPr>
          <w:rFonts w:hint="eastAsia" w:ascii="Arial" w:hAnsi="Arial" w:cs="Arial"/>
          <w:sz w:val="24"/>
        </w:rPr>
        <w:t>3、托管资金专门账户的开立和管理应符合银行业监督管理机构的有关规定。</w:t>
      </w:r>
    </w:p>
    <w:p w14:paraId="1F5AF83F">
      <w:pPr>
        <w:spacing w:line="360" w:lineRule="auto"/>
        <w:ind w:firstLine="480" w:firstLineChars="200"/>
        <w:rPr>
          <w:rFonts w:ascii="Arial" w:hAnsi="Arial" w:cs="Arial"/>
          <w:sz w:val="24"/>
        </w:rPr>
      </w:pPr>
      <w:r>
        <w:rPr>
          <w:rFonts w:hint="eastAsia" w:ascii="Arial" w:hAnsi="Arial" w:cs="Arial"/>
          <w:sz w:val="24"/>
        </w:rPr>
        <w:t>4、在符合法律法规规定的条件下，基金托管人可以通过托管资金专门账户办理基金资产的支付。</w:t>
      </w:r>
    </w:p>
    <w:p w14:paraId="0DBB50CB">
      <w:pPr>
        <w:spacing w:line="360" w:lineRule="auto"/>
        <w:ind w:firstLine="480" w:firstLineChars="200"/>
        <w:rPr>
          <w:rFonts w:ascii="Arial" w:hAnsi="Arial" w:cs="Arial"/>
          <w:sz w:val="24"/>
        </w:rPr>
      </w:pPr>
      <w:r>
        <w:rPr>
          <w:rFonts w:hint="eastAsia" w:ascii="Arial" w:hAnsi="Arial" w:cs="Arial"/>
          <w:sz w:val="24"/>
        </w:rPr>
        <w:t>（四）基金证券账户与结算备付金账户的开设和管理</w:t>
      </w:r>
    </w:p>
    <w:p w14:paraId="7F7D6291">
      <w:pPr>
        <w:spacing w:line="360" w:lineRule="auto"/>
        <w:ind w:firstLine="480" w:firstLineChars="200"/>
        <w:rPr>
          <w:rFonts w:ascii="Arial" w:hAnsi="Arial" w:cs="Arial"/>
          <w:sz w:val="24"/>
        </w:rPr>
      </w:pPr>
      <w:r>
        <w:rPr>
          <w:rFonts w:hint="eastAsia" w:ascii="Arial" w:hAnsi="Arial" w:cs="Arial"/>
          <w:sz w:val="24"/>
        </w:rPr>
        <w:t>1、基金托管人在中国证券登记结算有限责任公司上海分公司、深圳分公司为基金开立基金托管人与基金联名的证券账户。</w:t>
      </w:r>
    </w:p>
    <w:p w14:paraId="3A85A392">
      <w:pPr>
        <w:spacing w:line="360" w:lineRule="auto"/>
        <w:ind w:firstLine="480" w:firstLineChars="200"/>
        <w:rPr>
          <w:rFonts w:ascii="Arial" w:hAnsi="Arial" w:cs="Arial"/>
          <w:sz w:val="24"/>
        </w:rPr>
      </w:pPr>
      <w:r>
        <w:rPr>
          <w:rFonts w:hint="eastAsia" w:ascii="Arial" w:hAnsi="Arial" w:cs="Arial"/>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06999ED0">
      <w:pPr>
        <w:spacing w:line="360" w:lineRule="auto"/>
        <w:ind w:firstLine="480" w:firstLineChars="200"/>
        <w:rPr>
          <w:rFonts w:ascii="Arial" w:hAnsi="Arial" w:cs="Arial"/>
          <w:sz w:val="24"/>
        </w:rPr>
      </w:pPr>
      <w:r>
        <w:rPr>
          <w:rFonts w:hint="eastAsia" w:ascii="Arial" w:hAnsi="Arial" w:cs="Arial"/>
          <w:sz w:val="24"/>
        </w:rPr>
        <w:t>3、基金证券账户的开立和证券账户卡的保管由基金托管人负责，账户资产的管理和运用由基金管理人负责。</w:t>
      </w:r>
    </w:p>
    <w:p w14:paraId="34C6468C">
      <w:pPr>
        <w:spacing w:line="360" w:lineRule="auto"/>
        <w:ind w:firstLine="480" w:firstLineChars="200"/>
        <w:rPr>
          <w:rFonts w:ascii="Arial" w:hAnsi="Arial" w:cs="Arial"/>
          <w:sz w:val="24"/>
        </w:rPr>
      </w:pPr>
      <w:r>
        <w:rPr>
          <w:rFonts w:hint="eastAsia" w:ascii="Arial" w:hAnsi="Arial" w:cs="Arial"/>
          <w:sz w:val="24"/>
        </w:rPr>
        <w:t>证券账户开户费由基金托管人先行垫付，待托管产品启始运营后，基金管理人可向基金托管人发送划款指令，将代垫开户费从本基金托管资金账户中扣还基金托管人。</w:t>
      </w:r>
    </w:p>
    <w:p w14:paraId="59F7A32D">
      <w:pPr>
        <w:spacing w:line="360" w:lineRule="auto"/>
        <w:ind w:firstLine="480" w:firstLineChars="200"/>
        <w:rPr>
          <w:rFonts w:ascii="Arial" w:hAnsi="Arial" w:cs="Arial"/>
          <w:sz w:val="24"/>
        </w:rPr>
      </w:pPr>
      <w:r>
        <w:rPr>
          <w:rFonts w:hint="eastAsia" w:ascii="Arial" w:hAnsi="Arial" w:cs="Arial"/>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14:paraId="037FF84C">
      <w:pPr>
        <w:spacing w:line="360" w:lineRule="auto"/>
        <w:ind w:firstLine="480" w:firstLineChars="200"/>
        <w:rPr>
          <w:rFonts w:ascii="Arial" w:hAnsi="Arial" w:cs="Arial"/>
          <w:sz w:val="24"/>
        </w:rPr>
      </w:pPr>
      <w:r>
        <w:rPr>
          <w:rFonts w:hint="eastAsia" w:ascii="Arial" w:hAnsi="Arial" w:cs="Arial"/>
          <w:sz w:val="24"/>
        </w:rPr>
        <w:t>5、若中国证监会或其他监管机构在本托管协议生效日之后允许基金从事其他投资品种的投资业务，涉及相关账户的开立、使用的，若无相关规定，则基金托管人比照上述关于账户开立、使用的规定执行。</w:t>
      </w:r>
    </w:p>
    <w:p w14:paraId="573F74DB">
      <w:pPr>
        <w:spacing w:line="360" w:lineRule="auto"/>
        <w:ind w:firstLine="480" w:firstLineChars="200"/>
        <w:rPr>
          <w:rFonts w:ascii="Arial" w:hAnsi="Arial" w:cs="Arial"/>
          <w:sz w:val="24"/>
        </w:rPr>
      </w:pPr>
      <w:r>
        <w:rPr>
          <w:rFonts w:hint="eastAsia" w:ascii="Arial" w:hAnsi="Arial" w:cs="Arial"/>
          <w:sz w:val="24"/>
        </w:rPr>
        <w:t>（五）债券托管账户的开立和管理</w:t>
      </w:r>
    </w:p>
    <w:p w14:paraId="3E5B2784">
      <w:pPr>
        <w:spacing w:line="360" w:lineRule="auto"/>
        <w:ind w:firstLine="480" w:firstLineChars="200"/>
        <w:rPr>
          <w:rFonts w:ascii="Arial" w:hAnsi="Arial" w:cs="Arial"/>
          <w:sz w:val="24"/>
        </w:rPr>
      </w:pPr>
      <w:r>
        <w:rPr>
          <w:rFonts w:ascii="Arial" w:hAnsi="Arial" w:cs="Arial"/>
          <w:sz w:val="24"/>
        </w:rPr>
        <w:t>《基金合同》生效后，基金管理人负责以基金的名义申请并取得进入全国银行间同业拆借市场的交易资格，并代表基金进行交易；基金托管人</w:t>
      </w:r>
      <w:r>
        <w:rPr>
          <w:rFonts w:hint="eastAsia" w:ascii="Arial" w:hAnsi="Arial" w:cs="Arial"/>
          <w:sz w:val="24"/>
        </w:rPr>
        <w:t>根据中国人民银行、银行间市场登记结算机构的有关规定，</w:t>
      </w:r>
      <w:r>
        <w:rPr>
          <w:rFonts w:ascii="Arial" w:hAnsi="Arial" w:cs="Arial"/>
          <w:sz w:val="24"/>
        </w:rPr>
        <w:t>以本基金的名义在</w:t>
      </w:r>
      <w:r>
        <w:rPr>
          <w:rFonts w:hint="eastAsia" w:ascii="Arial" w:hAnsi="Arial" w:cs="Arial"/>
          <w:sz w:val="24"/>
        </w:rPr>
        <w:t>中央国债登记结算有限责任公司和银行间市场</w:t>
      </w:r>
      <w:r>
        <w:rPr>
          <w:rFonts w:ascii="Arial" w:hAnsi="Arial" w:cs="Arial"/>
          <w:sz w:val="24"/>
        </w:rPr>
        <w:t>登记结算</w:t>
      </w:r>
      <w:r>
        <w:rPr>
          <w:rFonts w:hint="eastAsia" w:ascii="Arial" w:hAnsi="Arial" w:cs="Arial"/>
          <w:sz w:val="24"/>
        </w:rPr>
        <w:t>机构</w:t>
      </w:r>
      <w:r>
        <w:rPr>
          <w:rFonts w:ascii="Arial" w:hAnsi="Arial" w:cs="Arial"/>
          <w:sz w:val="24"/>
        </w:rPr>
        <w:t>开设银行间债券市场债券托管账户</w:t>
      </w:r>
      <w:r>
        <w:rPr>
          <w:rFonts w:hint="eastAsia" w:ascii="Arial" w:hAnsi="Arial" w:cs="Arial"/>
          <w:sz w:val="24"/>
        </w:rPr>
        <w:t>、持有人账户和资金结算</w:t>
      </w:r>
      <w:r>
        <w:rPr>
          <w:rFonts w:hint="eastAsia" w:ascii="彩虹粗仿宋" w:hAnsi="宋体"/>
          <w:sz w:val="24"/>
        </w:rPr>
        <w:t>账户</w:t>
      </w:r>
      <w:r>
        <w:rPr>
          <w:rFonts w:ascii="Arial" w:hAnsi="Arial" w:cs="Arial"/>
          <w:sz w:val="24"/>
        </w:rPr>
        <w:t>，并代表基金进行银行间市场债券的结算。基金管理人和基金托管人共同代表基金签订全国银行间债券市场债券回购主协议。</w:t>
      </w:r>
    </w:p>
    <w:p w14:paraId="486935F8">
      <w:pPr>
        <w:spacing w:line="360" w:lineRule="auto"/>
        <w:ind w:firstLine="480" w:firstLineChars="200"/>
        <w:rPr>
          <w:rFonts w:ascii="Arial" w:hAnsi="Arial" w:cs="Arial"/>
          <w:sz w:val="24"/>
        </w:rPr>
      </w:pPr>
      <w:r>
        <w:rPr>
          <w:rFonts w:hint="eastAsia" w:ascii="Arial" w:hAnsi="Arial" w:cs="Arial"/>
          <w:sz w:val="24"/>
        </w:rPr>
        <w:t>（六）其他账户的开设和管理</w:t>
      </w:r>
    </w:p>
    <w:p w14:paraId="3172CA13">
      <w:pPr>
        <w:spacing w:line="360" w:lineRule="auto"/>
        <w:ind w:firstLine="480" w:firstLineChars="200"/>
        <w:rPr>
          <w:rFonts w:ascii="Arial" w:hAnsi="Arial" w:cs="Arial"/>
          <w:sz w:val="24"/>
        </w:rPr>
      </w:pPr>
      <w:r>
        <w:rPr>
          <w:rFonts w:hint="eastAsia" w:ascii="Arial" w:hAnsi="Arial" w:cs="Arial"/>
          <w:sz w:val="24"/>
        </w:rPr>
        <w:t>1、在本托管协议生效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14:paraId="79E3375C">
      <w:pPr>
        <w:spacing w:line="360" w:lineRule="auto"/>
        <w:ind w:firstLine="480" w:firstLineChars="200"/>
        <w:rPr>
          <w:rFonts w:ascii="Arial" w:hAnsi="Arial" w:cs="Arial"/>
          <w:sz w:val="24"/>
        </w:rPr>
      </w:pPr>
      <w:r>
        <w:rPr>
          <w:rFonts w:hint="eastAsia" w:ascii="Arial" w:hAnsi="Arial" w:cs="Arial"/>
          <w:sz w:val="24"/>
        </w:rPr>
        <w:t>2、法律法规等有关规定对相关账户的开立和管理另有规定的，从其规定办理。</w:t>
      </w:r>
    </w:p>
    <w:p w14:paraId="391A2B8C">
      <w:pPr>
        <w:spacing w:line="360" w:lineRule="auto"/>
        <w:ind w:firstLine="480" w:firstLineChars="200"/>
        <w:rPr>
          <w:rFonts w:ascii="Arial" w:hAnsi="Arial" w:cs="Arial"/>
          <w:sz w:val="24"/>
        </w:rPr>
      </w:pPr>
      <w:r>
        <w:rPr>
          <w:rFonts w:hint="eastAsia" w:ascii="Arial" w:hAnsi="Arial" w:cs="Arial"/>
          <w:sz w:val="24"/>
        </w:rPr>
        <w:t>（七）基金财产投资的有关有价凭证等的保管</w:t>
      </w:r>
    </w:p>
    <w:p w14:paraId="33D7F78C">
      <w:pPr>
        <w:spacing w:line="360" w:lineRule="auto"/>
        <w:ind w:firstLine="480" w:firstLineChars="200"/>
        <w:rPr>
          <w:rFonts w:ascii="Arial" w:hAnsi="Arial" w:cs="Arial"/>
          <w:sz w:val="24"/>
        </w:rPr>
      </w:pPr>
      <w:r>
        <w:rPr>
          <w:rFonts w:hint="eastAsia" w:ascii="Arial" w:hAnsi="Arial" w:cs="Arial"/>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定期存款证实书等有价凭证的购买和转让，由基金管理人和基金托管人共同办理。基金托管人对由基金托管人以外机构实际有效控制或保管的资产不承担保管责任。</w:t>
      </w:r>
    </w:p>
    <w:p w14:paraId="79D0F294">
      <w:pPr>
        <w:spacing w:line="360" w:lineRule="auto"/>
        <w:ind w:firstLine="480" w:firstLineChars="200"/>
        <w:rPr>
          <w:rFonts w:ascii="Arial" w:hAnsi="Arial" w:cs="Arial"/>
          <w:sz w:val="24"/>
        </w:rPr>
      </w:pPr>
      <w:r>
        <w:rPr>
          <w:rFonts w:hint="eastAsia" w:ascii="Arial" w:hAnsi="Arial" w:cs="Arial"/>
          <w:sz w:val="24"/>
        </w:rPr>
        <w:t>（八）与基金财产有关的重大合同的保管</w:t>
      </w:r>
    </w:p>
    <w:p w14:paraId="66740BD6">
      <w:pPr>
        <w:spacing w:line="360" w:lineRule="auto"/>
        <w:ind w:firstLine="480" w:firstLineChars="200"/>
        <w:rPr>
          <w:rFonts w:ascii="Arial" w:hAnsi="Arial" w:cs="Arial"/>
          <w:sz w:val="24"/>
        </w:rPr>
      </w:pPr>
      <w:r>
        <w:rPr>
          <w:rFonts w:hint="eastAsia" w:ascii="Arial" w:hAnsi="Arial" w:cs="Arial"/>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对于无法取得二份以上的正本的，基金管理人应向基金托管人提供加盖授权业务章的合同传真件，未经双方协商或未在合同约定范围内，合同原件不得转移，由基金管理人保管。重大合同的保管期限不低于法律法规规定的最低期限。</w:t>
      </w:r>
    </w:p>
    <w:p w14:paraId="462783BB">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72" w:name="_Toc466464092"/>
      <w:bookmarkStart w:id="73" w:name="_Toc466378881"/>
      <w:bookmarkStart w:id="74" w:name="_Toc123626172"/>
      <w:bookmarkStart w:id="75" w:name="_Toc140002341"/>
      <w:bookmarkStart w:id="76" w:name="_Toc125361078"/>
      <w:bookmarkStart w:id="77" w:name="_Toc124749941"/>
      <w:bookmarkStart w:id="78" w:name="_Toc283383019"/>
      <w:bookmarkStart w:id="79" w:name="_Toc124749230"/>
      <w:bookmarkStart w:id="80" w:name="_Toc290284048"/>
      <w:r>
        <w:rPr>
          <w:rFonts w:ascii="Arial" w:hAnsi="Arial" w:cs="Arial"/>
          <w:bCs w:val="0"/>
          <w:kern w:val="0"/>
          <w:szCs w:val="30"/>
          <w:lang w:val="en-US"/>
        </w:rPr>
        <w:t>第六部分 指令的发送、确认和执行</w:t>
      </w:r>
      <w:bookmarkEnd w:id="72"/>
      <w:bookmarkEnd w:id="73"/>
    </w:p>
    <w:bookmarkEnd w:id="74"/>
    <w:bookmarkEnd w:id="75"/>
    <w:bookmarkEnd w:id="76"/>
    <w:bookmarkEnd w:id="77"/>
    <w:bookmarkEnd w:id="78"/>
    <w:bookmarkEnd w:id="79"/>
    <w:bookmarkEnd w:id="80"/>
    <w:p w14:paraId="7ABA2D6C">
      <w:pPr>
        <w:spacing w:line="360" w:lineRule="auto"/>
        <w:ind w:firstLine="480" w:firstLineChars="200"/>
        <w:rPr>
          <w:rFonts w:ascii="Arial" w:hAnsi="Arial" w:cs="Arial"/>
          <w:sz w:val="24"/>
        </w:rPr>
      </w:pPr>
      <w:r>
        <w:rPr>
          <w:rFonts w:ascii="Arial" w:hAnsi="Arial" w:cs="Arial"/>
          <w:sz w:val="24"/>
        </w:rPr>
        <w:t>基金管理人在运用基金财产时向基金托管人发送资金划拨及其他款项付款指令，基金托管人执行基金管理人的指令、办理基金名下的资金往来等有关事项。</w:t>
      </w:r>
    </w:p>
    <w:p w14:paraId="59F959B2">
      <w:pPr>
        <w:spacing w:line="360" w:lineRule="auto"/>
        <w:ind w:firstLine="480" w:firstLineChars="200"/>
        <w:rPr>
          <w:rFonts w:ascii="Arial" w:hAnsi="Arial" w:cs="Arial"/>
          <w:sz w:val="24"/>
        </w:rPr>
      </w:pPr>
      <w:r>
        <w:rPr>
          <w:rFonts w:ascii="Arial" w:hAnsi="Arial" w:cs="Arial"/>
          <w:sz w:val="24"/>
        </w:rPr>
        <w:t>（一）基金管理人对发送指令人员的书面授权</w:t>
      </w:r>
    </w:p>
    <w:p w14:paraId="5F24F686">
      <w:pPr>
        <w:spacing w:line="360" w:lineRule="auto"/>
        <w:ind w:firstLine="480" w:firstLineChars="200"/>
        <w:rPr>
          <w:rFonts w:ascii="Arial" w:hAnsi="Arial" w:cs="Arial"/>
          <w:sz w:val="24"/>
        </w:rPr>
      </w:pPr>
      <w:r>
        <w:rPr>
          <w:rFonts w:ascii="Arial" w:hAnsi="Arial" w:cs="Arial"/>
          <w:sz w:val="24"/>
        </w:rPr>
        <w:t>1、基金管理人应指定专人向基金托管人发送指令。</w:t>
      </w:r>
    </w:p>
    <w:p w14:paraId="5490B29D">
      <w:pPr>
        <w:spacing w:line="360" w:lineRule="auto"/>
        <w:ind w:firstLine="480" w:firstLineChars="200"/>
        <w:rPr>
          <w:rFonts w:ascii="Arial" w:hAnsi="Arial" w:cs="Arial"/>
          <w:sz w:val="24"/>
        </w:rPr>
      </w:pPr>
      <w:r>
        <w:rPr>
          <w:rFonts w:ascii="Arial" w:hAnsi="Arial" w:cs="Arial"/>
          <w:sz w:val="24"/>
        </w:rPr>
        <w:t>2、基金管理人应向基金托管人提供书面授权文件，内容包括被授权人名单、预留印鉴及被授权人签字</w:t>
      </w:r>
      <w:r>
        <w:rPr>
          <w:rFonts w:hint="eastAsia" w:ascii="Arial" w:hAnsi="Arial" w:cs="Arial"/>
          <w:sz w:val="24"/>
        </w:rPr>
        <w:t>或签章</w:t>
      </w:r>
      <w:r>
        <w:rPr>
          <w:rFonts w:ascii="Arial" w:hAnsi="Arial" w:cs="Arial"/>
          <w:sz w:val="24"/>
        </w:rPr>
        <w:t>样本，授权文件应注明被授权人相应的权限。</w:t>
      </w:r>
    </w:p>
    <w:p w14:paraId="7100A283">
      <w:pPr>
        <w:spacing w:line="360" w:lineRule="auto"/>
        <w:ind w:firstLine="480" w:firstLineChars="200"/>
        <w:rPr>
          <w:rFonts w:ascii="Arial" w:hAnsi="Arial" w:cs="Arial"/>
          <w:sz w:val="24"/>
        </w:rPr>
      </w:pPr>
      <w:r>
        <w:rPr>
          <w:rFonts w:ascii="Arial" w:hAnsi="Arial" w:cs="Arial"/>
          <w:sz w:val="24"/>
        </w:rPr>
        <w:t>3、基金托管人在收到授权文件原件并在当日经电话确认后，授权文件即生效。如果授权文件中载明具体生效时间的，该生效时间不得早于基金托管人收到授权文件并经电话确认的时点。如早于前述时间，则以基金托管人收到授权文件并经电话确认的时点为授权文件的生效时间。</w:t>
      </w:r>
    </w:p>
    <w:p w14:paraId="113B91AC">
      <w:pPr>
        <w:spacing w:line="360" w:lineRule="auto"/>
        <w:ind w:firstLine="480" w:firstLineChars="200"/>
        <w:rPr>
          <w:rFonts w:ascii="Arial" w:hAnsi="Arial" w:cs="Arial"/>
          <w:sz w:val="24"/>
        </w:rPr>
      </w:pPr>
      <w:r>
        <w:rPr>
          <w:rFonts w:ascii="Arial" w:hAnsi="Arial" w:cs="Arial"/>
          <w:sz w:val="24"/>
        </w:rPr>
        <w:t>4、基金管理人和基金托管人对授权文件负有保密义务，其内容不得向被授权人及相关操作人员以外的任何人泄露。但法律法规规定或有权机关要求的除外。</w:t>
      </w:r>
    </w:p>
    <w:p w14:paraId="180EBC37">
      <w:pPr>
        <w:spacing w:line="360" w:lineRule="auto"/>
        <w:ind w:firstLine="480" w:firstLineChars="200"/>
        <w:rPr>
          <w:rFonts w:ascii="Arial" w:hAnsi="Arial" w:cs="Arial"/>
          <w:sz w:val="24"/>
        </w:rPr>
      </w:pPr>
      <w:r>
        <w:rPr>
          <w:rFonts w:ascii="Arial" w:hAnsi="Arial" w:cs="Arial"/>
          <w:sz w:val="24"/>
        </w:rPr>
        <w:t>（二）指令的内容</w:t>
      </w:r>
    </w:p>
    <w:p w14:paraId="215E3DF2">
      <w:pPr>
        <w:spacing w:line="360" w:lineRule="auto"/>
        <w:ind w:firstLine="480" w:firstLineChars="200"/>
        <w:rPr>
          <w:rFonts w:ascii="Arial" w:hAnsi="Arial" w:cs="Arial"/>
          <w:sz w:val="24"/>
        </w:rPr>
      </w:pPr>
      <w:r>
        <w:rPr>
          <w:rFonts w:ascii="Arial" w:hAnsi="Arial" w:cs="Arial"/>
          <w:sz w:val="24"/>
        </w:rPr>
        <w:t>1、指令包括付款指令</w:t>
      </w:r>
      <w:r>
        <w:rPr>
          <w:rFonts w:hint="eastAsia" w:ascii="Arial" w:hAnsi="Arial" w:cs="Arial"/>
          <w:sz w:val="24"/>
        </w:rPr>
        <w:t>（含赎回、收益分配、费用支付等）</w:t>
      </w:r>
      <w:r>
        <w:rPr>
          <w:rFonts w:ascii="Arial" w:hAnsi="Arial" w:cs="Arial"/>
          <w:sz w:val="24"/>
        </w:rPr>
        <w:t>以及其他资金划拨指令等。</w:t>
      </w:r>
    </w:p>
    <w:p w14:paraId="02B0C7F4">
      <w:pPr>
        <w:spacing w:line="360" w:lineRule="auto"/>
        <w:ind w:firstLine="480" w:firstLineChars="200"/>
        <w:rPr>
          <w:rFonts w:ascii="Arial" w:hAnsi="Arial" w:cs="Arial"/>
          <w:sz w:val="24"/>
        </w:rPr>
      </w:pPr>
      <w:r>
        <w:rPr>
          <w:rFonts w:ascii="Arial" w:hAnsi="Arial" w:cs="Arial"/>
          <w:sz w:val="24"/>
        </w:rPr>
        <w:t>2、基金管理人发给基金托管人的指令应写明</w:t>
      </w:r>
      <w:r>
        <w:rPr>
          <w:rFonts w:hint="eastAsia" w:ascii="Arial" w:hAnsi="Arial" w:cs="Arial"/>
          <w:sz w:val="24"/>
        </w:rPr>
        <w:t>指令编号、</w:t>
      </w:r>
      <w:r>
        <w:rPr>
          <w:rFonts w:ascii="Arial" w:hAnsi="Arial" w:cs="Arial"/>
          <w:sz w:val="24"/>
        </w:rPr>
        <w:t>款项事由、支付</w:t>
      </w:r>
      <w:r>
        <w:rPr>
          <w:rFonts w:hint="eastAsia" w:ascii="Arial" w:hAnsi="Arial" w:cs="Arial"/>
          <w:sz w:val="24"/>
        </w:rPr>
        <w:t>日期</w:t>
      </w:r>
      <w:r>
        <w:rPr>
          <w:rFonts w:ascii="Arial" w:hAnsi="Arial" w:cs="Arial"/>
          <w:sz w:val="24"/>
        </w:rPr>
        <w:t>、</w:t>
      </w:r>
      <w:r>
        <w:rPr>
          <w:rFonts w:hint="eastAsia" w:ascii="Arial" w:hAnsi="Arial" w:cs="Arial"/>
          <w:sz w:val="24"/>
        </w:rPr>
        <w:t>指令日期</w:t>
      </w:r>
      <w:r>
        <w:rPr>
          <w:rFonts w:ascii="Arial" w:hAnsi="Arial" w:cs="Arial"/>
          <w:sz w:val="24"/>
        </w:rPr>
        <w:t>、金额、账户</w:t>
      </w:r>
      <w:r>
        <w:rPr>
          <w:rFonts w:hint="eastAsia" w:ascii="Arial" w:hAnsi="Arial" w:cs="Arial"/>
          <w:sz w:val="24"/>
        </w:rPr>
        <w:t>、收款账户信息</w:t>
      </w:r>
      <w:r>
        <w:rPr>
          <w:rFonts w:ascii="Arial" w:hAnsi="Arial" w:cs="Arial"/>
          <w:sz w:val="24"/>
        </w:rPr>
        <w:t>等，加盖预留印鉴并由被授权人签字</w:t>
      </w:r>
      <w:r>
        <w:rPr>
          <w:rFonts w:hint="eastAsia" w:ascii="Arial" w:hAnsi="Arial" w:cs="Arial"/>
          <w:sz w:val="24"/>
        </w:rPr>
        <w:t>或盖章。基金管理人在发送指令时应充分考虑基金托管人执行指令所需的合理时间</w:t>
      </w:r>
      <w:r>
        <w:rPr>
          <w:rFonts w:ascii="Arial" w:hAnsi="Arial" w:cs="Arial"/>
          <w:sz w:val="24"/>
        </w:rPr>
        <w:t>。</w:t>
      </w:r>
    </w:p>
    <w:p w14:paraId="50B067D5">
      <w:pPr>
        <w:spacing w:line="360" w:lineRule="auto"/>
        <w:ind w:firstLine="480" w:firstLineChars="200"/>
        <w:rPr>
          <w:rFonts w:ascii="Arial" w:hAnsi="Arial" w:cs="Arial"/>
          <w:sz w:val="24"/>
        </w:rPr>
      </w:pPr>
      <w:r>
        <w:rPr>
          <w:rFonts w:hint="eastAsia" w:ascii="Arial" w:hAnsi="Arial" w:cs="Arial"/>
          <w:bCs/>
          <w:sz w:val="24"/>
          <w:szCs w:val="20"/>
        </w:rPr>
        <w:t>3、相关登记结算公司向基金托管人发送的结算通知视为基金管理人向基金托管人发出的指令。</w:t>
      </w:r>
    </w:p>
    <w:p w14:paraId="0ED53D17">
      <w:pPr>
        <w:spacing w:line="360" w:lineRule="auto"/>
        <w:ind w:firstLine="480" w:firstLineChars="200"/>
        <w:rPr>
          <w:rFonts w:ascii="Arial" w:hAnsi="Arial" w:cs="Arial"/>
          <w:sz w:val="24"/>
        </w:rPr>
      </w:pPr>
      <w:r>
        <w:rPr>
          <w:rFonts w:ascii="Arial" w:hAnsi="Arial" w:cs="Arial"/>
          <w:sz w:val="24"/>
        </w:rPr>
        <w:t>（三）指令的发送、确认及执行的时间和程序</w:t>
      </w:r>
    </w:p>
    <w:p w14:paraId="5ECDB53A">
      <w:pPr>
        <w:spacing w:line="360" w:lineRule="auto"/>
        <w:ind w:firstLine="480" w:firstLineChars="200"/>
        <w:rPr>
          <w:rFonts w:ascii="Arial" w:hAnsi="Arial" w:cs="Arial"/>
          <w:sz w:val="24"/>
        </w:rPr>
      </w:pPr>
      <w:r>
        <w:rPr>
          <w:rFonts w:ascii="Arial" w:hAnsi="Arial" w:cs="Arial"/>
          <w:sz w:val="24"/>
        </w:rPr>
        <w:t>1、指令的发送</w:t>
      </w:r>
    </w:p>
    <w:p w14:paraId="0B46F51C">
      <w:pPr>
        <w:spacing w:line="360" w:lineRule="auto"/>
        <w:ind w:firstLine="480" w:firstLineChars="200"/>
        <w:rPr>
          <w:rFonts w:ascii="Arial" w:hAnsi="Arial" w:cs="Arial"/>
          <w:sz w:val="24"/>
        </w:rPr>
      </w:pPr>
      <w:r>
        <w:rPr>
          <w:rFonts w:ascii="Arial" w:hAnsi="Arial" w:cs="Arial"/>
          <w:sz w:val="24"/>
        </w:rPr>
        <w:t>基金管理人发送指令应采用传真方式或双方协商一致的其他方式。</w:t>
      </w:r>
    </w:p>
    <w:p w14:paraId="605058D4">
      <w:pPr>
        <w:spacing w:line="360" w:lineRule="auto"/>
        <w:ind w:firstLine="480" w:firstLineChars="200"/>
        <w:rPr>
          <w:rFonts w:ascii="Arial" w:hAnsi="Arial" w:cs="Arial"/>
          <w:sz w:val="24"/>
        </w:rPr>
      </w:pPr>
      <w:r>
        <w:rPr>
          <w:rFonts w:ascii="Arial" w:hAnsi="Arial" w:cs="Arial"/>
          <w:sz w:val="24"/>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交易指令发送人员的授权，并且基金托管人根据本协议确认后，则对于此后该交易指令发送人员无权发送的指令，或超权限发送的指令，基金管理人不承担责任，授权已更改但未经基金托管人确认的情况除外。</w:t>
      </w:r>
    </w:p>
    <w:p w14:paraId="06E126F8">
      <w:pPr>
        <w:spacing w:line="360" w:lineRule="auto"/>
        <w:ind w:firstLine="480" w:firstLineChars="200"/>
        <w:rPr>
          <w:rFonts w:ascii="Arial" w:hAnsi="Arial" w:cs="Arial"/>
          <w:sz w:val="24"/>
        </w:rPr>
      </w:pPr>
      <w:r>
        <w:rPr>
          <w:rFonts w:ascii="Arial" w:hAnsi="Arial" w:cs="Arial"/>
          <w:sz w:val="24"/>
        </w:rPr>
        <w:t>指令发出后，基金管理人应及时以电话方式向基金托管人确认。</w:t>
      </w:r>
      <w:r>
        <w:rPr>
          <w:rFonts w:hint="eastAsia" w:ascii="Arial" w:hAnsi="Arial" w:cs="Arial"/>
          <w:sz w:val="24"/>
        </w:rPr>
        <w:t>因基金管理人未能与基金托管人进行指令确认致使资金未能及时到账所造成的损失由基金管理人承担。</w:t>
      </w:r>
    </w:p>
    <w:p w14:paraId="26F79D58">
      <w:pPr>
        <w:spacing w:line="360" w:lineRule="auto"/>
        <w:ind w:firstLine="480" w:firstLineChars="200"/>
        <w:rPr>
          <w:rFonts w:ascii="Arial" w:hAnsi="Arial" w:cs="Arial"/>
          <w:bCs/>
          <w:sz w:val="24"/>
          <w:szCs w:val="20"/>
        </w:rPr>
      </w:pPr>
      <w:r>
        <w:rPr>
          <w:rFonts w:ascii="Arial" w:hAnsi="Arial" w:cs="Arial"/>
          <w:sz w:val="24"/>
        </w:rPr>
        <w:t>基金管理人应在交易结束后将银行间同业市场债券交易成交单加盖预留印鉴后及时传真给基金托管人，并电话确认</w:t>
      </w:r>
      <w:r>
        <w:rPr>
          <w:rFonts w:hint="eastAsia" w:ascii="Arial" w:hAnsi="Arial" w:cs="Arial"/>
          <w:sz w:val="24"/>
        </w:rPr>
        <w:t>，或者与托管人协商一致后取消发送成交单</w:t>
      </w:r>
      <w:r>
        <w:rPr>
          <w:rFonts w:ascii="Arial" w:hAnsi="Arial" w:cs="Arial"/>
          <w:sz w:val="24"/>
        </w:rPr>
        <w:t>。如果银行间簿记系统已经生成的交易需要取消或终止，基金管理人要书面通知基金托管人。</w:t>
      </w:r>
    </w:p>
    <w:p w14:paraId="4EBE7D0B">
      <w:pPr>
        <w:spacing w:line="360" w:lineRule="auto"/>
        <w:ind w:firstLine="480" w:firstLineChars="200"/>
        <w:rPr>
          <w:rFonts w:ascii="Arial" w:hAnsi="Arial" w:cs="Arial"/>
          <w:sz w:val="24"/>
        </w:rPr>
      </w:pPr>
      <w:r>
        <w:rPr>
          <w:rFonts w:ascii="Arial" w:hAnsi="Arial" w:cs="Arial"/>
          <w:sz w:val="24"/>
        </w:rPr>
        <w:t>2、指令的确认</w:t>
      </w:r>
    </w:p>
    <w:p w14:paraId="1AF89842">
      <w:pPr>
        <w:spacing w:line="360" w:lineRule="auto"/>
        <w:ind w:firstLine="480" w:firstLineChars="200"/>
        <w:rPr>
          <w:rFonts w:ascii="Arial" w:hAnsi="Arial" w:cs="Arial"/>
          <w:bCs/>
          <w:sz w:val="24"/>
          <w:szCs w:val="20"/>
        </w:rPr>
      </w:pPr>
      <w:r>
        <w:rPr>
          <w:rFonts w:ascii="Arial" w:hAnsi="Arial" w:cs="Arial"/>
          <w:sz w:val="24"/>
        </w:rPr>
        <w:t>基金托管人应指定专人接收基金管理人的指令，预先通知基金管理人其名单，并与基金管理人商定指令发送和接收方式。指令到达基金托管人后，基金托管人应指定专人根据基金管理人提供的授权文件进行表面相符的形式审查，及时审慎验证有关内容及印鉴，基金托管人对指令的真实性不承担责任。如有疑问必须及时通知基金管理人。</w:t>
      </w:r>
      <w:r>
        <w:rPr>
          <w:rFonts w:ascii="Arial" w:hAnsi="Arial" w:cs="Arial"/>
          <w:bCs/>
          <w:sz w:val="24"/>
          <w:szCs w:val="20"/>
        </w:rPr>
        <w:t>基金托管人有权要求基金管理人提供相关交易凭证、合同或其他有效会计资料，以确保基金托管人有足够的资料来判断指令的有效性。基金管理人应保证所提供的文件资料的真实、有效、完整、准确、合法，没有任何重大遗漏或误导；基金托管人对此类文件资料仅进行形式审查，对其真实性和有效性不作实质性判断。</w:t>
      </w:r>
    </w:p>
    <w:p w14:paraId="56571933">
      <w:pPr>
        <w:spacing w:line="360" w:lineRule="auto"/>
        <w:ind w:firstLine="480" w:firstLineChars="200"/>
        <w:rPr>
          <w:rFonts w:ascii="Arial" w:hAnsi="Arial" w:cs="Arial"/>
          <w:sz w:val="24"/>
        </w:rPr>
      </w:pPr>
      <w:r>
        <w:rPr>
          <w:rFonts w:ascii="Arial" w:hAnsi="Arial" w:cs="Arial"/>
          <w:sz w:val="24"/>
        </w:rPr>
        <w:t>3、指令的时间和执行</w:t>
      </w:r>
    </w:p>
    <w:p w14:paraId="63CED284">
      <w:pPr>
        <w:spacing w:line="360" w:lineRule="auto"/>
        <w:ind w:firstLine="480" w:firstLineChars="200"/>
        <w:rPr>
          <w:rFonts w:ascii="Arial" w:hAnsi="Arial" w:cs="Arial"/>
          <w:sz w:val="24"/>
        </w:rPr>
      </w:pPr>
      <w:r>
        <w:rPr>
          <w:rFonts w:ascii="Arial" w:hAnsi="Arial" w:cs="Arial"/>
          <w:sz w:val="24"/>
        </w:rPr>
        <w:t>基金管理人应于划款</w:t>
      </w:r>
      <w:r>
        <w:rPr>
          <w:rFonts w:hint="eastAsia" w:ascii="Arial" w:hAnsi="Arial" w:cs="Arial"/>
          <w:sz w:val="24"/>
        </w:rPr>
        <w:t>当</w:t>
      </w:r>
      <w:r>
        <w:rPr>
          <w:rFonts w:ascii="Arial" w:hAnsi="Arial" w:cs="Arial"/>
          <w:sz w:val="24"/>
        </w:rPr>
        <w:t>日向基金托管人发送指令并确认。对于要求当天到账的指令，必须在当天15:</w:t>
      </w:r>
      <w:r>
        <w:rPr>
          <w:rFonts w:hint="eastAsia" w:ascii="Arial" w:hAnsi="Arial" w:cs="Arial"/>
          <w:sz w:val="24"/>
        </w:rPr>
        <w:t>3</w:t>
      </w:r>
      <w:r>
        <w:rPr>
          <w:rFonts w:ascii="Arial" w:hAnsi="Arial" w:cs="Arial"/>
          <w:sz w:val="24"/>
        </w:rPr>
        <w:t>0前向基金托管人发送，15:</w:t>
      </w:r>
      <w:r>
        <w:rPr>
          <w:rFonts w:hint="eastAsia" w:ascii="Arial" w:hAnsi="Arial" w:cs="Arial"/>
          <w:sz w:val="24"/>
        </w:rPr>
        <w:t>3</w:t>
      </w:r>
      <w:r>
        <w:rPr>
          <w:rFonts w:ascii="Arial" w:hAnsi="Arial" w:cs="Arial"/>
          <w:sz w:val="24"/>
        </w:rPr>
        <w:t>0之后发送的，基金托管人尽力执行，但不能保证划账成功。如果要求当天某一时点到账的指令，则指令需要提前2个工作小时发送，并相关付款条件已经具备。基金托管人将视付款条件具备时为指令送达时间。由基金管理人的原因造成的指令传输不及时、未能留出足够的划款时间，未准备足够资金，致使资金未能及时到账所造成的损失由基金管理人承担。</w:t>
      </w:r>
    </w:p>
    <w:p w14:paraId="69D5786B">
      <w:pPr>
        <w:spacing w:line="360" w:lineRule="auto"/>
        <w:ind w:firstLine="480" w:firstLineChars="200"/>
        <w:rPr>
          <w:rFonts w:ascii="Arial" w:hAnsi="Arial" w:cs="Arial"/>
          <w:sz w:val="24"/>
        </w:rPr>
      </w:pPr>
      <w:r>
        <w:rPr>
          <w:rFonts w:ascii="Arial" w:hAnsi="Arial" w:cs="Arial"/>
          <w:sz w:val="24"/>
        </w:rPr>
        <w:t>对新股申购网下发行业务，基金管理人</w:t>
      </w:r>
      <w:r>
        <w:rPr>
          <w:rFonts w:hint="eastAsia" w:ascii="Arial" w:hAnsi="Arial" w:cs="Arial"/>
          <w:sz w:val="24"/>
        </w:rPr>
        <w:t>的</w:t>
      </w:r>
      <w:r>
        <w:rPr>
          <w:rFonts w:ascii="Arial" w:hAnsi="Arial" w:cs="Arial"/>
          <w:sz w:val="24"/>
        </w:rPr>
        <w:t>指令发送时间最迟不应晚于T日上午10:00。</w:t>
      </w:r>
    </w:p>
    <w:p w14:paraId="7E1D4777">
      <w:pPr>
        <w:spacing w:line="360" w:lineRule="auto"/>
        <w:ind w:firstLine="480" w:firstLineChars="200"/>
        <w:rPr>
          <w:rFonts w:ascii="Arial" w:hAnsi="Arial" w:cs="Arial"/>
          <w:bCs/>
          <w:sz w:val="24"/>
          <w:szCs w:val="20"/>
        </w:rPr>
      </w:pPr>
      <w:r>
        <w:rPr>
          <w:rFonts w:ascii="Arial" w:hAnsi="Arial" w:cs="Arial"/>
          <w:bCs/>
          <w:sz w:val="24"/>
          <w:szCs w:val="20"/>
        </w:rPr>
        <w:t>对于中国证券登记结算有限责任公司实行T+0非担保交收的业务，基金管理人应在交易日14：00前将划款指令发送至托管人。因基金管理人指令传输不及时，致使资金未能及时划入中登公司所造成的损失由基金管理人承担，包括赔偿在该市场引起其他托管客户交易失败、赔偿因占用结算参与人最低备付金带来的利息损失。</w:t>
      </w:r>
    </w:p>
    <w:p w14:paraId="3C2A4E9F">
      <w:pPr>
        <w:spacing w:line="360" w:lineRule="auto"/>
        <w:ind w:firstLine="480" w:firstLineChars="200"/>
        <w:rPr>
          <w:rFonts w:ascii="Arial" w:hAnsi="Arial" w:cs="Arial"/>
          <w:sz w:val="24"/>
        </w:rPr>
      </w:pPr>
      <w:r>
        <w:rPr>
          <w:rFonts w:ascii="Arial" w:hAnsi="Arial" w:cs="Arial"/>
          <w:sz w:val="24"/>
        </w:rPr>
        <w:t>基金托管人对指令验证后，应及时办理。指令执行完毕后，基金托管人应及时通知基金管理人。</w:t>
      </w:r>
    </w:p>
    <w:p w14:paraId="68ED400C">
      <w:pPr>
        <w:spacing w:line="360" w:lineRule="auto"/>
        <w:ind w:firstLine="480" w:firstLineChars="200"/>
        <w:rPr>
          <w:rFonts w:ascii="Arial" w:hAnsi="Arial" w:cs="Arial"/>
          <w:sz w:val="24"/>
        </w:rPr>
      </w:pPr>
      <w:r>
        <w:rPr>
          <w:rFonts w:ascii="Arial" w:hAnsi="Arial" w:cs="Arial"/>
          <w:sz w:val="24"/>
        </w:rPr>
        <w:t>基金管理人向基金托管人下达指令时，应确保托管资金专门账户有足够的资金余额，对基金管理人在没有充足资金的情况下向基金托管人发出的指令，基金托管人可不予执行，但应立即通知基金管理人，由基金管理人审核、查明原因，出具书面文件确认此交易指令无效。基金托管人不承担因未执行该指令造成损失的责任。</w:t>
      </w:r>
    </w:p>
    <w:p w14:paraId="01E59486">
      <w:pPr>
        <w:spacing w:line="360" w:lineRule="auto"/>
        <w:ind w:firstLine="480" w:firstLineChars="200"/>
        <w:rPr>
          <w:rFonts w:ascii="Arial" w:hAnsi="Arial" w:cs="Arial"/>
          <w:bCs/>
          <w:sz w:val="24"/>
          <w:szCs w:val="20"/>
        </w:rPr>
      </w:pPr>
      <w:r>
        <w:rPr>
          <w:rFonts w:hint="eastAsia" w:ascii="Arial" w:hAnsi="Arial" w:cs="Arial"/>
          <w:bCs/>
          <w:sz w:val="24"/>
          <w:szCs w:val="20"/>
        </w:rPr>
        <w:t>基金托管人发现基金管理人的指令违反法律法规规定或者基金合同约定的，基金托管人不予执行，并通知基金管理人要求其变更或撤销相关指令，若基金管理人在基金托管人发出上述通知后仍未变更或撤销相关指令，基金托管人应当拒绝执行，并有权向相关监管机构报告。</w:t>
      </w:r>
    </w:p>
    <w:p w14:paraId="18E27060">
      <w:pPr>
        <w:spacing w:line="360" w:lineRule="auto"/>
        <w:ind w:firstLine="480" w:firstLineChars="200"/>
        <w:rPr>
          <w:rFonts w:ascii="Arial" w:hAnsi="Arial" w:cs="Arial"/>
          <w:bCs/>
          <w:sz w:val="24"/>
          <w:szCs w:val="20"/>
        </w:rPr>
      </w:pPr>
      <w:r>
        <w:rPr>
          <w:rFonts w:hint="eastAsia" w:ascii="Arial" w:hAnsi="Arial" w:cs="Arial"/>
          <w:bCs/>
          <w:sz w:val="24"/>
          <w:szCs w:val="20"/>
        </w:rPr>
        <w:t>4、指令的保管</w:t>
      </w:r>
    </w:p>
    <w:p w14:paraId="07FF17DF">
      <w:pPr>
        <w:spacing w:line="360" w:lineRule="auto"/>
        <w:ind w:firstLine="480" w:firstLineChars="200"/>
        <w:rPr>
          <w:rFonts w:ascii="Arial" w:hAnsi="Arial" w:cs="Arial"/>
          <w:bCs/>
          <w:sz w:val="24"/>
          <w:szCs w:val="20"/>
        </w:rPr>
      </w:pPr>
      <w:r>
        <w:rPr>
          <w:rFonts w:hint="eastAsia" w:ascii="Arial" w:hAnsi="Arial" w:cs="Arial"/>
          <w:bCs/>
          <w:sz w:val="24"/>
          <w:szCs w:val="20"/>
        </w:rPr>
        <w:t>指令正本由基金管理人保管，基金托管人保管业务指令扫描件或传真件。当两者不一致时，以基金托管人收到的业务指令扫描件或传真件为准。</w:t>
      </w:r>
    </w:p>
    <w:p w14:paraId="00A57862">
      <w:pPr>
        <w:spacing w:line="360" w:lineRule="auto"/>
        <w:ind w:firstLine="480" w:firstLineChars="200"/>
        <w:rPr>
          <w:rFonts w:ascii="Arial" w:hAnsi="Arial" w:cs="Arial"/>
          <w:sz w:val="24"/>
        </w:rPr>
      </w:pPr>
      <w:r>
        <w:rPr>
          <w:rFonts w:ascii="Arial" w:hAnsi="Arial" w:cs="Arial"/>
          <w:sz w:val="24"/>
        </w:rPr>
        <w:t>（四）基金管理人发送错误指令的情形和处理程序</w:t>
      </w:r>
    </w:p>
    <w:p w14:paraId="0264C0EF">
      <w:pPr>
        <w:spacing w:line="360" w:lineRule="auto"/>
        <w:ind w:firstLine="480" w:firstLineChars="200"/>
        <w:rPr>
          <w:rFonts w:ascii="Arial" w:hAnsi="Arial" w:cs="Arial"/>
          <w:sz w:val="24"/>
        </w:rPr>
      </w:pPr>
      <w:r>
        <w:rPr>
          <w:rFonts w:ascii="Arial" w:hAnsi="Arial" w:cs="Arial"/>
          <w:sz w:val="24"/>
        </w:rPr>
        <w:t>基金管理人发送错误指令的情形包括指令违反法律法规和《基金合同》</w:t>
      </w:r>
      <w:r>
        <w:rPr>
          <w:rFonts w:hint="eastAsia" w:ascii="Arial" w:hAnsi="Arial" w:cs="Arial"/>
          <w:sz w:val="24"/>
        </w:rPr>
        <w:t>、指令要素错误、无投资行为的指令、预留印鉴错误、</w:t>
      </w:r>
      <w:r>
        <w:rPr>
          <w:rFonts w:ascii="Arial" w:hAnsi="Arial" w:cs="Arial"/>
          <w:sz w:val="24"/>
        </w:rPr>
        <w:t>指令发送人员无权或超越权限发送指令</w:t>
      </w:r>
      <w:r>
        <w:rPr>
          <w:rFonts w:hint="eastAsia" w:ascii="Arial" w:hAnsi="Arial" w:cs="Arial"/>
          <w:sz w:val="24"/>
        </w:rPr>
        <w:t>，指令中重要信息模糊不清或不全等情形</w:t>
      </w:r>
      <w:r>
        <w:rPr>
          <w:rFonts w:ascii="Arial" w:hAnsi="Arial" w:cs="Arial"/>
          <w:sz w:val="24"/>
        </w:rPr>
        <w:t>。</w:t>
      </w:r>
    </w:p>
    <w:p w14:paraId="00C03F45">
      <w:pPr>
        <w:spacing w:line="360" w:lineRule="auto"/>
        <w:ind w:firstLine="480" w:firstLineChars="200"/>
        <w:rPr>
          <w:rFonts w:ascii="Arial" w:hAnsi="Arial" w:cs="Arial"/>
          <w:sz w:val="24"/>
        </w:rPr>
      </w:pPr>
      <w:r>
        <w:rPr>
          <w:rFonts w:ascii="Arial" w:hAnsi="Arial" w:cs="Arial"/>
          <w:sz w:val="24"/>
        </w:rPr>
        <w:t>基金托管人在履行监督职能时，发现基金管理人的指令错误时，有权拒绝执行，并及时通知基金管理人改正。如需撤销指令，基金管理人应出具书面说明，并加盖业务用章。</w:t>
      </w:r>
    </w:p>
    <w:p w14:paraId="32B97E28">
      <w:pPr>
        <w:spacing w:line="360" w:lineRule="auto"/>
        <w:ind w:firstLine="480" w:firstLineChars="200"/>
        <w:rPr>
          <w:rFonts w:ascii="Arial" w:hAnsi="Arial" w:cs="Arial"/>
          <w:sz w:val="24"/>
        </w:rPr>
      </w:pPr>
      <w:r>
        <w:rPr>
          <w:rFonts w:hint="eastAsia" w:ascii="Arial" w:hAnsi="Arial" w:cs="Arial"/>
          <w:sz w:val="24"/>
        </w:rPr>
        <w:t>基金管理人撤回已发送的指令时，须向基金托管人出具说明并通过录音电话确认，基金托管人在收到说明并确认后将指令作废；如基金托管人在收到说明或得到确认时该指令已经执行，则基金托管人不承担因为执行该指令而造成的损失责任。</w:t>
      </w:r>
    </w:p>
    <w:p w14:paraId="75B7E565">
      <w:pPr>
        <w:spacing w:line="360" w:lineRule="auto"/>
        <w:ind w:firstLine="480" w:firstLineChars="200"/>
        <w:rPr>
          <w:rFonts w:ascii="Arial" w:hAnsi="Arial" w:cs="Arial"/>
          <w:sz w:val="24"/>
        </w:rPr>
      </w:pPr>
      <w:r>
        <w:rPr>
          <w:rFonts w:ascii="Arial" w:hAnsi="Arial" w:cs="Arial"/>
          <w:sz w:val="24"/>
        </w:rPr>
        <w:t>（五）基金托管人依照法律法规暂缓、拒绝执行指令的情形和处理程序</w:t>
      </w:r>
    </w:p>
    <w:p w14:paraId="5D4919E1">
      <w:pPr>
        <w:spacing w:line="360" w:lineRule="auto"/>
        <w:ind w:firstLine="480" w:firstLineChars="200"/>
        <w:rPr>
          <w:rFonts w:ascii="Arial" w:hAnsi="Arial" w:cs="Arial"/>
          <w:sz w:val="24"/>
        </w:rPr>
      </w:pPr>
      <w:r>
        <w:rPr>
          <w:rFonts w:ascii="Arial" w:hAnsi="Arial" w:cs="Arial"/>
          <w:sz w:val="24"/>
        </w:rPr>
        <w:t>若基金托管人发现基金管理人的指令违反法律法规，或者违反《基金合同》约定的，应当</w:t>
      </w:r>
      <w:r>
        <w:rPr>
          <w:rFonts w:hint="eastAsia" w:ascii="Arial" w:hAnsi="Arial" w:cs="Arial"/>
          <w:sz w:val="24"/>
        </w:rPr>
        <w:t>暂缓或</w:t>
      </w:r>
      <w:r>
        <w:rPr>
          <w:rFonts w:ascii="Arial" w:hAnsi="Arial" w:cs="Arial"/>
          <w:sz w:val="24"/>
        </w:rPr>
        <w:t>拒绝执行，立即通知基金管理人。</w:t>
      </w:r>
      <w:r>
        <w:rPr>
          <w:rFonts w:hint="eastAsia" w:ascii="Arial" w:hAnsi="Arial" w:cs="Arial"/>
          <w:sz w:val="24"/>
        </w:rPr>
        <w:t>对于基金托管人事前难以监督的交易行为，基金托管人在事后履行了对基金管理人的通知以及向证监会的报告义务后，即视为完全履行了其投资监督职责。对于基金管理人违反《基金法》、《运作办法》、《基金合同》、本协议或其他有关法律法规的规定造成基金财产损失的，由基金管理人承担全部责任，基金托管人没有过错的免于承担责任。</w:t>
      </w:r>
    </w:p>
    <w:p w14:paraId="398C30C0">
      <w:pPr>
        <w:spacing w:line="360" w:lineRule="auto"/>
        <w:ind w:firstLine="480" w:firstLineChars="200"/>
        <w:rPr>
          <w:rFonts w:ascii="Arial" w:hAnsi="Arial" w:cs="Arial"/>
          <w:sz w:val="24"/>
        </w:rPr>
      </w:pPr>
      <w:r>
        <w:rPr>
          <w:rFonts w:hint="eastAsia" w:ascii="Arial" w:hAnsi="Arial" w:cs="Arial"/>
          <w:sz w:val="24"/>
        </w:rPr>
        <w:t>对基金管理人在没有充足资金的情况下向基金托管人发出的投资指令、赎回、分红资金等的划拨指令</w:t>
      </w:r>
      <w:r>
        <w:rPr>
          <w:rFonts w:ascii="Arial" w:hAnsi="Arial" w:cs="Arial"/>
          <w:sz w:val="24"/>
        </w:rPr>
        <w:t>，以及超过证券账户证券余额的指令</w:t>
      </w:r>
      <w:r>
        <w:rPr>
          <w:rFonts w:hint="eastAsia" w:ascii="Arial" w:hAnsi="Arial" w:cs="Arial"/>
          <w:sz w:val="24"/>
        </w:rPr>
        <w:t>，基金托管人可不予执行，但应立即通知基金管理人，由基金管理人审核、查明原因，出具书面文件确认此交易指令无效。在及时通知后，基金托管人不承担因未执行该指令造成损失的责任。基金管理人确认该指令不予取消的，资金备足并通知基金托管人的时间视为指令收到时间。</w:t>
      </w:r>
    </w:p>
    <w:p w14:paraId="5F15F5FD">
      <w:pPr>
        <w:spacing w:line="360" w:lineRule="auto"/>
        <w:ind w:firstLine="480" w:firstLineChars="200"/>
        <w:rPr>
          <w:rFonts w:ascii="Arial" w:hAnsi="Arial" w:cs="Arial"/>
          <w:sz w:val="24"/>
        </w:rPr>
      </w:pPr>
      <w:r>
        <w:rPr>
          <w:rFonts w:ascii="Arial" w:hAnsi="Arial" w:cs="Arial"/>
          <w:sz w:val="24"/>
        </w:rPr>
        <w:t>若基金托管人发现基金管理人依据交易程序已经生效的指令违反法律、行政法规和其他有关规定，或者违反基金合同约定的，应当及时通知基金管理人，由此造成的损失由基金管理人承担。</w:t>
      </w:r>
    </w:p>
    <w:p w14:paraId="3BDA1A6B">
      <w:pPr>
        <w:spacing w:line="360" w:lineRule="auto"/>
        <w:ind w:firstLine="480" w:firstLineChars="200"/>
        <w:rPr>
          <w:rFonts w:ascii="Arial" w:hAnsi="Arial" w:cs="Arial"/>
          <w:sz w:val="24"/>
        </w:rPr>
      </w:pPr>
      <w:r>
        <w:rPr>
          <w:rFonts w:ascii="Arial" w:hAnsi="Arial" w:cs="Arial"/>
          <w:sz w:val="24"/>
        </w:rPr>
        <w:t>（六）基金托管人未按照基金管理人指令执行的处理方法</w:t>
      </w:r>
    </w:p>
    <w:p w14:paraId="198A753F">
      <w:pPr>
        <w:spacing w:line="360" w:lineRule="auto"/>
        <w:ind w:firstLine="480" w:firstLineChars="200"/>
        <w:rPr>
          <w:rFonts w:ascii="Arial" w:hAnsi="Arial" w:cs="Arial"/>
          <w:sz w:val="24"/>
        </w:rPr>
      </w:pPr>
      <w:r>
        <w:rPr>
          <w:rFonts w:ascii="Arial" w:hAnsi="Arial" w:cs="Arial"/>
          <w:sz w:val="24"/>
        </w:rPr>
        <w:t>基金托管人由于自身</w:t>
      </w:r>
      <w:r>
        <w:rPr>
          <w:rFonts w:hint="eastAsia" w:ascii="Arial" w:hAnsi="Arial" w:cs="Arial"/>
          <w:sz w:val="24"/>
        </w:rPr>
        <w:t>过错</w:t>
      </w:r>
      <w:r>
        <w:rPr>
          <w:rFonts w:ascii="Arial" w:hAnsi="Arial" w:cs="Arial"/>
          <w:sz w:val="24"/>
        </w:rPr>
        <w:t>，未按照基金管理人发送的指令执行并对基金财产或投资人造成的直接损失，由基金托管人赔偿由此造成的直接损失</w:t>
      </w:r>
      <w:r>
        <w:rPr>
          <w:rFonts w:hint="eastAsia" w:ascii="Arial" w:hAnsi="Arial" w:cs="Arial"/>
          <w:sz w:val="24"/>
        </w:rPr>
        <w:t>，但仅限于赔偿直接经济损失。除此之外，基金托管人对执行基金管理人的合法合规指令对基金造成的损失不承担任何责任</w:t>
      </w:r>
      <w:r>
        <w:rPr>
          <w:rFonts w:ascii="Arial" w:hAnsi="Arial" w:cs="Arial"/>
          <w:sz w:val="24"/>
        </w:rPr>
        <w:t>。</w:t>
      </w:r>
    </w:p>
    <w:p w14:paraId="63D14A74">
      <w:pPr>
        <w:spacing w:line="360" w:lineRule="auto"/>
        <w:ind w:firstLine="480" w:firstLineChars="200"/>
        <w:rPr>
          <w:rFonts w:ascii="Arial" w:hAnsi="Arial" w:cs="Arial"/>
          <w:sz w:val="24"/>
        </w:rPr>
      </w:pPr>
      <w:r>
        <w:rPr>
          <w:rFonts w:ascii="Arial" w:hAnsi="Arial" w:cs="Arial"/>
          <w:sz w:val="24"/>
        </w:rPr>
        <w:t>（七）更换被授权人员的程序</w:t>
      </w:r>
    </w:p>
    <w:p w14:paraId="56E0975A">
      <w:pPr>
        <w:spacing w:line="360" w:lineRule="auto"/>
        <w:ind w:firstLine="480" w:firstLineChars="200"/>
        <w:rPr>
          <w:rFonts w:ascii="Arial" w:hAnsi="Arial" w:cs="Arial"/>
          <w:sz w:val="24"/>
        </w:rPr>
      </w:pPr>
      <w:r>
        <w:rPr>
          <w:rFonts w:ascii="Arial" w:hAnsi="Arial" w:cs="Arial"/>
          <w:sz w:val="24"/>
        </w:rPr>
        <w:t>基金管理人更换被授权人、更改或终止对被授权人的授权，应立即将新的授权文件提前1个工作日以传真方式通知基金托管人，并经电话确认后生效，原授权文件同时废止。新的授权文件在传真发出后七个工作日内送达文件正本。被授权人变更通知的正本应与传真内容一致，若有不一致的，以基金托管人收到的传真件为准。新的授权文件生效之后，正本送达之前，基金托管人按照新的授权文件传真件内容执行有关业务，如果新的授权文件正本与传真件内容不同，由此产生的责任由基金管理人承担。</w:t>
      </w:r>
      <w:r>
        <w:rPr>
          <w:rFonts w:ascii="Arial" w:hAnsi="Arial" w:cs="Arial"/>
          <w:color w:val="000000"/>
          <w:sz w:val="24"/>
        </w:rPr>
        <w:t>基金管理人更换被授权人通知生效后，对于已被撤换的人员无权发送的指令，或被改变授权人员超权限发送的指令，基金管理人不承担责任。</w:t>
      </w:r>
      <w:r>
        <w:rPr>
          <w:rFonts w:ascii="Arial" w:hAnsi="Arial" w:cs="Arial"/>
          <w:sz w:val="24"/>
        </w:rPr>
        <w:t>基金托管人更换接受基金管理人指令的人员，应提前1个工作日以传真方式发送基金管理人。基金托管人更改接受基金管理人指令的人员及联系方式自基金管理人电话确认后生效。</w:t>
      </w:r>
    </w:p>
    <w:p w14:paraId="58F5ACAF">
      <w:pPr>
        <w:spacing w:line="360" w:lineRule="auto"/>
        <w:ind w:firstLine="480" w:firstLineChars="200"/>
        <w:rPr>
          <w:rFonts w:ascii="Arial" w:hAnsi="Arial" w:cs="Arial"/>
          <w:sz w:val="24"/>
        </w:rPr>
      </w:pPr>
      <w:r>
        <w:rPr>
          <w:rFonts w:ascii="Arial" w:hAnsi="Arial" w:cs="Arial"/>
          <w:sz w:val="24"/>
        </w:rPr>
        <w:t>（八）其他事项</w:t>
      </w:r>
    </w:p>
    <w:p w14:paraId="15094D60">
      <w:pPr>
        <w:spacing w:line="360" w:lineRule="auto"/>
        <w:ind w:firstLine="480" w:firstLineChars="200"/>
        <w:rPr>
          <w:rFonts w:ascii="Arial" w:hAnsi="Arial" w:cs="Arial"/>
          <w:sz w:val="24"/>
        </w:rPr>
      </w:pPr>
      <w:r>
        <w:rPr>
          <w:rFonts w:ascii="Arial" w:hAnsi="Arial" w:cs="Arial"/>
          <w:sz w:val="24"/>
        </w:rPr>
        <w:t>基金托管人在接收指令时，应对指令的要素是否齐全、印鉴与被授权人是否与预留的授权文件内容相符进行检查，如发现问题，应及时报告基金管理人，基金托管人对执行基金管理人的合法指令对基金财产造成的损失不承担赔偿责任。</w:t>
      </w:r>
    </w:p>
    <w:p w14:paraId="75DFAA13">
      <w:pPr>
        <w:spacing w:line="360" w:lineRule="auto"/>
        <w:ind w:firstLine="480" w:firstLineChars="200"/>
        <w:rPr>
          <w:rFonts w:ascii="Arial" w:hAnsi="Arial" w:cs="Arial"/>
          <w:sz w:val="24"/>
        </w:rPr>
      </w:pPr>
      <w:r>
        <w:rPr>
          <w:rFonts w:ascii="Arial" w:hAnsi="Arial" w:cs="Arial"/>
          <w:sz w:val="24"/>
        </w:rPr>
        <w:t>基金参与认购未上市债券时，基金管理人应代表本基金与对手方签署相关合同或协议，明确约定债券过户具体事宜。否则，基金管理人需对所认购债券的过户事宜承担相应责任。</w:t>
      </w:r>
    </w:p>
    <w:p w14:paraId="1E9632F8">
      <w:pPr>
        <w:spacing w:line="360" w:lineRule="auto"/>
        <w:ind w:firstLine="480" w:firstLineChars="200"/>
        <w:rPr>
          <w:rFonts w:ascii="Arial" w:hAnsi="Arial" w:cs="Arial"/>
          <w:sz w:val="24"/>
        </w:rPr>
      </w:pPr>
      <w:r>
        <w:rPr>
          <w:rFonts w:ascii="Arial" w:hAnsi="Arial" w:cs="Arial"/>
          <w:sz w:val="24"/>
        </w:rPr>
        <w:t>基金托管人根据本协议相关规定履行形式审</w:t>
      </w:r>
      <w:r>
        <w:rPr>
          <w:rFonts w:hint="eastAsia" w:ascii="Arial" w:hAnsi="Arial" w:cs="Arial"/>
          <w:sz w:val="24"/>
        </w:rPr>
        <w:t>查</w:t>
      </w:r>
      <w:r>
        <w:rPr>
          <w:rFonts w:ascii="Arial" w:hAnsi="Arial" w:cs="Arial"/>
          <w:sz w:val="24"/>
        </w:rPr>
        <w:t>职责，如果基金管理人的指令存在事实上未经授权、欺诈、伪造或未能及时提供授权</w:t>
      </w:r>
      <w:r>
        <w:rPr>
          <w:rFonts w:hint="eastAsia" w:ascii="Arial" w:hAnsi="Arial" w:cs="Arial"/>
          <w:sz w:val="24"/>
        </w:rPr>
        <w:t>文件</w:t>
      </w:r>
      <w:r>
        <w:rPr>
          <w:rFonts w:ascii="Arial" w:hAnsi="Arial" w:cs="Arial"/>
          <w:sz w:val="24"/>
        </w:rPr>
        <w:t>等情形</w:t>
      </w:r>
      <w:r>
        <w:rPr>
          <w:rFonts w:hint="eastAsia" w:ascii="Arial" w:hAnsi="Arial" w:cs="Arial"/>
          <w:sz w:val="24"/>
        </w:rPr>
        <w:t>，基金托管人不承担因执行有关指令或拒绝执行有关指令而给基金管理人或基金资产或相关第三方带来的直接损失。</w:t>
      </w:r>
    </w:p>
    <w:p w14:paraId="44EABD30">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lang w:val="en-US"/>
        </w:rPr>
        <w:br w:type="page"/>
      </w:r>
      <w:bookmarkStart w:id="81" w:name="_Toc466464093"/>
      <w:bookmarkStart w:id="82" w:name="_Toc466378882"/>
      <w:r>
        <w:rPr>
          <w:rFonts w:ascii="Arial" w:hAnsi="Arial" w:cs="Arial"/>
          <w:bCs w:val="0"/>
          <w:kern w:val="0"/>
          <w:szCs w:val="30"/>
          <w:lang w:val="en-US"/>
        </w:rPr>
        <w:t>第七部分 交易及清算交收安排</w:t>
      </w:r>
      <w:bookmarkEnd w:id="81"/>
      <w:bookmarkEnd w:id="82"/>
    </w:p>
    <w:p w14:paraId="502BD271">
      <w:pPr>
        <w:spacing w:line="360" w:lineRule="auto"/>
        <w:ind w:firstLine="480" w:firstLineChars="200"/>
        <w:rPr>
          <w:rFonts w:ascii="Arial" w:hAnsi="Arial" w:cs="Arial"/>
          <w:sz w:val="24"/>
        </w:rPr>
      </w:pPr>
      <w:bookmarkStart w:id="83" w:name="_Toc123626174"/>
      <w:bookmarkStart w:id="84" w:name="_Toc124749943"/>
      <w:bookmarkStart w:id="85" w:name="_Toc124749232"/>
      <w:r>
        <w:rPr>
          <w:rFonts w:ascii="Arial" w:hAnsi="Arial" w:cs="Arial"/>
          <w:sz w:val="24"/>
        </w:rPr>
        <w:t>（一）选择证券、期货买卖的证券、期货经营机构</w:t>
      </w:r>
    </w:p>
    <w:p w14:paraId="09619845">
      <w:pPr>
        <w:spacing w:line="360" w:lineRule="auto"/>
        <w:ind w:firstLine="480" w:firstLineChars="200"/>
        <w:rPr>
          <w:rFonts w:ascii="Arial" w:hAnsi="Arial" w:cs="Arial"/>
          <w:sz w:val="24"/>
        </w:rPr>
      </w:pPr>
      <w:r>
        <w:rPr>
          <w:rFonts w:ascii="Arial" w:hAnsi="Arial" w:cs="Arial"/>
          <w:sz w:val="24"/>
        </w:rPr>
        <w:t>基金管理人负责选择代理本基金证券</w:t>
      </w:r>
      <w:r>
        <w:rPr>
          <w:rFonts w:hint="eastAsia" w:ascii="Arial" w:hAnsi="Arial" w:cs="Arial"/>
          <w:sz w:val="24"/>
        </w:rPr>
        <w:t>、期货</w:t>
      </w:r>
      <w:r>
        <w:rPr>
          <w:rFonts w:ascii="Arial" w:hAnsi="Arial" w:cs="Arial"/>
          <w:sz w:val="24"/>
        </w:rPr>
        <w:t>买卖的证券、期货经营机构。</w:t>
      </w:r>
    </w:p>
    <w:p w14:paraId="585F7AD6">
      <w:pPr>
        <w:spacing w:line="360" w:lineRule="auto"/>
        <w:ind w:firstLine="480" w:firstLineChars="200"/>
        <w:rPr>
          <w:rFonts w:ascii="Arial" w:hAnsi="Arial" w:cs="Arial"/>
          <w:sz w:val="24"/>
        </w:rPr>
      </w:pPr>
      <w:r>
        <w:rPr>
          <w:rFonts w:ascii="Arial" w:hAnsi="Arial" w:cs="Arial"/>
          <w:sz w:val="24"/>
        </w:rPr>
        <w:t>基金管理人负责选择证券经营机构，租用其交易单元作为基金的专用交易单元。基金管理人和被选中的证券经营机构签订委托协议，基金管理人应提前通知基金托管人，并将被选中证券经营机构提供的《</w:t>
      </w:r>
      <w:r>
        <w:rPr>
          <w:rFonts w:hint="eastAsia" w:ascii="Arial" w:hAnsi="Arial" w:cs="Arial"/>
          <w:sz w:val="24"/>
        </w:rPr>
        <w:t>交易单元租用协议</w:t>
      </w:r>
      <w:r>
        <w:rPr>
          <w:rFonts w:ascii="Arial" w:hAnsi="Arial" w:cs="Arial"/>
          <w:sz w:val="24"/>
        </w:rPr>
        <w:t>》及时送达基金托管人，</w:t>
      </w:r>
      <w:r>
        <w:rPr>
          <w:rFonts w:hint="eastAsia" w:ascii="Arial" w:hAnsi="Arial" w:cs="Arial"/>
          <w:sz w:val="24"/>
        </w:rPr>
        <w:t>办理交易单元租用流程，</w:t>
      </w:r>
      <w:r>
        <w:rPr>
          <w:rFonts w:ascii="Arial" w:hAnsi="Arial" w:cs="Arial"/>
          <w:sz w:val="24"/>
        </w:rPr>
        <w:t>确保基金托管人申请接收结算数据。基金管理人应</w:t>
      </w:r>
      <w:r>
        <w:rPr>
          <w:rFonts w:hint="eastAsia" w:ascii="Arial" w:hAnsi="Arial" w:cs="Arial"/>
          <w:sz w:val="24"/>
        </w:rPr>
        <w:t>根据有关规定，在基金的中期报告和年度报告中将所选证券经营机构的有关情况及交易信息予以披露，并</w:t>
      </w:r>
      <w:r>
        <w:rPr>
          <w:rFonts w:ascii="Arial" w:hAnsi="Arial" w:cs="Arial"/>
          <w:sz w:val="24"/>
        </w:rPr>
        <w:t>将该等情况及基金交易单元号、佣金费率等基本信息以及变更情况及时以书面形式通知基金托管人。</w:t>
      </w:r>
    </w:p>
    <w:p w14:paraId="3E4BADAF">
      <w:pPr>
        <w:spacing w:line="360" w:lineRule="auto"/>
        <w:ind w:firstLine="480" w:firstLineChars="200"/>
        <w:rPr>
          <w:rFonts w:ascii="Arial" w:hAnsi="Arial" w:cs="Arial"/>
          <w:sz w:val="24"/>
        </w:rPr>
      </w:pPr>
      <w:r>
        <w:rPr>
          <w:rFonts w:ascii="Arial" w:hAnsi="Arial" w:cs="Arial"/>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71A3CA77">
      <w:pPr>
        <w:spacing w:line="360" w:lineRule="auto"/>
        <w:ind w:firstLine="480" w:firstLineChars="200"/>
        <w:rPr>
          <w:rFonts w:ascii="Arial" w:hAnsi="Arial" w:cs="Arial"/>
          <w:sz w:val="24"/>
        </w:rPr>
      </w:pPr>
      <w:r>
        <w:rPr>
          <w:rFonts w:ascii="Arial" w:hAnsi="Arial" w:cs="Arial"/>
          <w:sz w:val="24"/>
        </w:rPr>
        <w:t>（二）基金投资证券后的清算交收安排</w:t>
      </w:r>
    </w:p>
    <w:p w14:paraId="5743BA28">
      <w:pPr>
        <w:spacing w:line="360" w:lineRule="auto"/>
        <w:ind w:firstLine="480" w:firstLineChars="200"/>
        <w:rPr>
          <w:rFonts w:ascii="Arial" w:hAnsi="Arial" w:cs="Arial"/>
          <w:sz w:val="24"/>
        </w:rPr>
      </w:pPr>
      <w:r>
        <w:rPr>
          <w:rFonts w:ascii="Arial" w:hAnsi="Arial" w:cs="Arial"/>
          <w:sz w:val="24"/>
        </w:rPr>
        <w:t>1、清算与交割</w:t>
      </w:r>
    </w:p>
    <w:p w14:paraId="6C4F4A8D">
      <w:pPr>
        <w:spacing w:line="360" w:lineRule="auto"/>
        <w:ind w:firstLine="480" w:firstLineChars="200"/>
        <w:rPr>
          <w:rFonts w:ascii="Arial" w:hAnsi="Arial" w:cs="Arial"/>
          <w:sz w:val="24"/>
        </w:rPr>
      </w:pPr>
      <w:r>
        <w:rPr>
          <w:rFonts w:hint="eastAsia" w:ascii="Arial" w:hAnsi="Arial" w:cs="Arial"/>
          <w:sz w:val="24"/>
        </w:rPr>
        <w:t>基金管理人与基金托管人应根据有关法律法规及相关业务规则，签订《证券交易资金结算协议》，用以具体明确基金管理人与基金托管人在证券交易资金结算业务中的责任。</w:t>
      </w:r>
    </w:p>
    <w:p w14:paraId="0A62E144">
      <w:pPr>
        <w:spacing w:line="360" w:lineRule="auto"/>
        <w:ind w:firstLine="480" w:firstLineChars="200"/>
        <w:rPr>
          <w:rFonts w:ascii="Arial" w:hAnsi="Arial" w:cs="Arial"/>
          <w:sz w:val="24"/>
        </w:rPr>
      </w:pPr>
      <w:r>
        <w:rPr>
          <w:rFonts w:ascii="Arial" w:hAnsi="Arial" w:cs="Arial"/>
          <w:sz w:val="24"/>
        </w:rPr>
        <w:t>根据《中国证券登记结算有限责任公司结算备付金管理办法》，在每月前3个工作日内，中国证券登记结算有限责任公司对结算参与人的最低结算备付金、结算保证金限额进行重新核算、调整。基金托管人在中国证券登记结算有限责任公司调整最低结算备付金、结算保证金当日，在资金调节表中反映调整后的最低备付金和结算保证金。基金管理人应预留最低备付金和结算保证金，并根据中国证券登记结算有限责任公司确定的实际最低备付金、结算保证金数据为依据安排资金运作，调整所需的现金头寸。</w:t>
      </w:r>
    </w:p>
    <w:p w14:paraId="64CEDAEE">
      <w:pPr>
        <w:spacing w:line="360" w:lineRule="auto"/>
        <w:ind w:firstLine="480" w:firstLineChars="200"/>
        <w:rPr>
          <w:rFonts w:ascii="Arial" w:hAnsi="Arial" w:cs="Arial"/>
          <w:sz w:val="24"/>
        </w:rPr>
      </w:pPr>
      <w:r>
        <w:rPr>
          <w:rFonts w:ascii="Arial" w:hAnsi="Arial" w:cs="Arial"/>
          <w:sz w:val="24"/>
        </w:rPr>
        <w:t>基金托管人负责基金买卖证券的清算交收。场内资金结算由基金托管人根据中国证券登记结算有限责任公司结算数据办理；场外资金汇划由基金托管人根据基金管理人的交易划款指令具体办理。</w:t>
      </w:r>
    </w:p>
    <w:p w14:paraId="731F006E">
      <w:pPr>
        <w:spacing w:line="360" w:lineRule="auto"/>
        <w:ind w:firstLine="480" w:firstLineChars="200"/>
        <w:rPr>
          <w:rFonts w:ascii="Arial" w:hAnsi="Arial" w:cs="Arial"/>
          <w:sz w:val="24"/>
        </w:rPr>
      </w:pPr>
      <w:r>
        <w:rPr>
          <w:rFonts w:ascii="Arial" w:hAnsi="Arial" w:cs="Arial"/>
          <w:sz w:val="24"/>
        </w:rPr>
        <w:t>如果因为基金托管人自身</w:t>
      </w:r>
      <w:r>
        <w:rPr>
          <w:rFonts w:hint="eastAsia" w:ascii="Arial" w:hAnsi="Arial" w:cs="Arial"/>
          <w:sz w:val="24"/>
        </w:rPr>
        <w:t>过错</w:t>
      </w:r>
      <w:r>
        <w:rPr>
          <w:rFonts w:ascii="Arial" w:hAnsi="Arial" w:cs="Arial"/>
          <w:sz w:val="24"/>
        </w:rPr>
        <w:t>在清算上造成基金财产的损失，应由基金托管人负责赔偿；如果因为基金管理人未事先通知基金托管人增加交易单元等事宜，致使基金托管人接收数据不完整，造成清算差错的责任由基金管理人承担；如果因为基金管理人未事先通知需要单独结算的交易，造成基金资产损失的由基金管理人承担；如果由于基金管理人违反市场操作规则的规定进行超买、超卖及质押券欠库等原因造成基金投资清算困难和风险的，基金托管人发现后应立即通知基金管理人，由基金管理人负责解决，由此给基金托管人、本基金造成的直接损失由基金管理人承担。</w:t>
      </w:r>
    </w:p>
    <w:p w14:paraId="3C7CB450">
      <w:pPr>
        <w:spacing w:line="360" w:lineRule="auto"/>
        <w:ind w:firstLine="480" w:firstLineChars="200"/>
        <w:rPr>
          <w:rFonts w:ascii="Arial" w:hAnsi="Arial" w:cs="Arial"/>
          <w:sz w:val="24"/>
        </w:rPr>
      </w:pPr>
      <w:r>
        <w:rPr>
          <w:rFonts w:ascii="Arial" w:hAnsi="Arial" w:cs="Arial"/>
          <w:sz w:val="24"/>
        </w:rPr>
        <w:t>基金管理人应采取合理、必要措施，确保T日日终有足够的资金头寸完成 T+1日的投资交易资金结算；如因基金管理人原因导致资金头寸不足，基金管理人应在T+1日上午10：00前补足透支款项，确保资金清算。如果未遵循上述规定备足资金头寸，影响基金资产的清算交收及基金托管人与中国证券登记结算有限责任公司之间的一级清算，由此给基金托管人、基金资产造成的直接损失由基金管理人负责。</w:t>
      </w:r>
    </w:p>
    <w:p w14:paraId="6AA47289">
      <w:pPr>
        <w:adjustRightInd w:val="0"/>
        <w:snapToGrid w:val="0"/>
        <w:spacing w:line="360" w:lineRule="auto"/>
        <w:ind w:firstLine="480"/>
        <w:rPr>
          <w:rFonts w:ascii="宋体" w:hAnsi="宋体" w:cs="宋体"/>
          <w:color w:val="000000"/>
          <w:kern w:val="0"/>
          <w:sz w:val="24"/>
        </w:rPr>
      </w:pPr>
      <w:r>
        <w:rPr>
          <w:rFonts w:ascii="宋体" w:hAnsi="宋体" w:cs="宋体"/>
          <w:color w:val="000000"/>
          <w:kern w:val="0"/>
          <w:sz w:val="24"/>
        </w:rPr>
        <w:t>基金参与港股通交易的，基金管理人应保证在T+1日9：30之前在托管的托管专户或结算备付金账户上有足够的头寸用于港股通T+1日公司行动、证券组合费和风控资金的交收，在T+1日14</w:t>
      </w:r>
      <w:r>
        <w:rPr>
          <w:rFonts w:hint="eastAsia" w:ascii="宋体" w:hAnsi="宋体" w:cs="宋体"/>
          <w:color w:val="000000"/>
          <w:kern w:val="0"/>
          <w:sz w:val="24"/>
        </w:rPr>
        <w:t>：00</w:t>
      </w:r>
      <w:r>
        <w:rPr>
          <w:rFonts w:ascii="宋体" w:hAnsi="宋体" w:cs="宋体"/>
          <w:color w:val="000000"/>
          <w:kern w:val="0"/>
          <w:sz w:val="24"/>
        </w:rPr>
        <w:t>之前在托管的托管专户或结算备付金账户上有足够的头寸用于港股通T+2日交易资金的交收。如由于基金管理人的原因导致港股通交收失败，由此给托管人、托管人托管的其他资产组合造成的经济损失，由基金管理人承担。</w:t>
      </w:r>
    </w:p>
    <w:p w14:paraId="51206215">
      <w:pPr>
        <w:spacing w:line="360" w:lineRule="auto"/>
        <w:ind w:firstLine="480" w:firstLineChars="200"/>
        <w:rPr>
          <w:rFonts w:ascii="Arial" w:hAnsi="Arial" w:cs="Arial"/>
          <w:sz w:val="24"/>
        </w:rPr>
      </w:pPr>
      <w:r>
        <w:rPr>
          <w:rFonts w:ascii="Arial" w:hAnsi="Arial" w:cs="Arial"/>
          <w:sz w:val="24"/>
        </w:rPr>
        <w:t>根据中国证券登记结算有限责任公司结算规定，基金管理人在进行融资回购业务时，用于融资回购的债券将作为偿还融资回购到期购回款的质押券。如因基金管理人原因造成债券回购交收违约或因折算率变化造成质押欠库，导致中国证券登记结算有限责任公司欠库扣款或对质押券进行处置造成的投资风险和损失由基金管理人承担。</w:t>
      </w:r>
    </w:p>
    <w:p w14:paraId="27AE0956">
      <w:pPr>
        <w:spacing w:line="360" w:lineRule="auto"/>
        <w:ind w:firstLine="480" w:firstLineChars="200"/>
        <w:rPr>
          <w:rFonts w:ascii="Arial" w:hAnsi="Arial" w:cs="Arial"/>
          <w:sz w:val="24"/>
        </w:rPr>
      </w:pPr>
      <w:r>
        <w:rPr>
          <w:rFonts w:ascii="Arial" w:hAnsi="Arial" w:cs="Arial"/>
          <w:sz w:val="24"/>
        </w:rPr>
        <w:t>基金管理人应保证基金托管人在执行基金管理人发送的划款指令时，基金托管资金专门账户或资金交收账户（除登记公司收保或冻结资金外）上有充足的资金。基金的资金头寸不足时，基金托管人有权拒绝执行基金管理人发送的划款指令，并及时通知基金管理人。基金管理人在发送划款指令时应充分考虑基金托管人的划款处理时间。在基金资金头寸充足的情况下，基金托管人对基金管理人符合法律法规、《基金合同》、本协议的指令不得拖延或拒绝执行。</w:t>
      </w:r>
    </w:p>
    <w:p w14:paraId="2039A8C7">
      <w:pPr>
        <w:spacing w:line="360" w:lineRule="auto"/>
        <w:ind w:firstLine="480" w:firstLineChars="200"/>
        <w:rPr>
          <w:rFonts w:ascii="Arial" w:hAnsi="Arial" w:cs="Arial"/>
          <w:sz w:val="24"/>
        </w:rPr>
      </w:pPr>
      <w:r>
        <w:rPr>
          <w:rFonts w:ascii="Arial" w:hAnsi="Arial" w:cs="Arial"/>
          <w:sz w:val="24"/>
        </w:rPr>
        <w:t>实行场内T+0非担保交收的资金清算按照基金托管人的相关规定流程执行。</w:t>
      </w:r>
    </w:p>
    <w:p w14:paraId="5F69FF8E">
      <w:pPr>
        <w:spacing w:line="360" w:lineRule="auto"/>
        <w:ind w:firstLine="480" w:firstLineChars="200"/>
        <w:rPr>
          <w:rFonts w:ascii="Arial" w:hAnsi="Arial" w:cs="Arial"/>
          <w:sz w:val="24"/>
        </w:rPr>
      </w:pPr>
      <w:r>
        <w:rPr>
          <w:rFonts w:ascii="Arial" w:hAnsi="Arial" w:cs="Arial"/>
          <w:sz w:val="24"/>
        </w:rPr>
        <w:t>2、交易记录、资金和证券账目核对的时间和方式</w:t>
      </w:r>
    </w:p>
    <w:p w14:paraId="6A307736">
      <w:pPr>
        <w:spacing w:line="360" w:lineRule="auto"/>
        <w:ind w:firstLine="480" w:firstLineChars="200"/>
        <w:rPr>
          <w:rFonts w:ascii="Arial" w:hAnsi="Arial" w:cs="Arial"/>
          <w:sz w:val="24"/>
        </w:rPr>
      </w:pPr>
      <w:r>
        <w:rPr>
          <w:rFonts w:ascii="Arial" w:hAnsi="Arial" w:cs="Arial"/>
          <w:sz w:val="24"/>
        </w:rPr>
        <w:t>（1）交易记录的核对</w:t>
      </w:r>
    </w:p>
    <w:p w14:paraId="559FCB07">
      <w:pPr>
        <w:spacing w:line="360" w:lineRule="auto"/>
        <w:ind w:firstLine="480" w:firstLineChars="200"/>
        <w:rPr>
          <w:rFonts w:ascii="Arial" w:hAnsi="Arial" w:cs="Arial"/>
          <w:sz w:val="24"/>
        </w:rPr>
      </w:pPr>
      <w:r>
        <w:rPr>
          <w:rFonts w:ascii="Arial" w:hAnsi="Arial" w:cs="Arial"/>
          <w:sz w:val="24"/>
        </w:rPr>
        <w:t>基金管理人和基金托管人按日进行交易记录的核对。对外披露净值之前，必须保证当天所有实际交易记录与基金会计账簿上的交易记录完全一致。如果实际交易记录与会计账簿记录不一致，造成基金会计核算不完整或不真实，由此导致的损失由基金管理人承担。</w:t>
      </w:r>
    </w:p>
    <w:p w14:paraId="15B06598">
      <w:pPr>
        <w:spacing w:line="360" w:lineRule="auto"/>
        <w:ind w:firstLine="480" w:firstLineChars="200"/>
        <w:rPr>
          <w:rFonts w:ascii="Arial" w:hAnsi="Arial" w:cs="Arial"/>
          <w:sz w:val="24"/>
        </w:rPr>
      </w:pPr>
      <w:r>
        <w:rPr>
          <w:rFonts w:ascii="Arial" w:hAnsi="Arial" w:cs="Arial"/>
          <w:sz w:val="24"/>
        </w:rPr>
        <w:t>（2）资金账目的核对</w:t>
      </w:r>
    </w:p>
    <w:p w14:paraId="2B7FA0B1">
      <w:pPr>
        <w:spacing w:line="360" w:lineRule="auto"/>
        <w:ind w:firstLine="480" w:firstLineChars="200"/>
        <w:rPr>
          <w:rFonts w:ascii="Arial" w:hAnsi="Arial" w:cs="Arial"/>
          <w:sz w:val="24"/>
        </w:rPr>
      </w:pPr>
      <w:r>
        <w:rPr>
          <w:rFonts w:ascii="Arial" w:hAnsi="Arial" w:cs="Arial"/>
          <w:sz w:val="24"/>
        </w:rPr>
        <w:t>资金账目由基金管理人与基金托管人按日核实，账实相符。</w:t>
      </w:r>
    </w:p>
    <w:p w14:paraId="4E5B9108">
      <w:pPr>
        <w:spacing w:line="360" w:lineRule="auto"/>
        <w:ind w:firstLine="480" w:firstLineChars="200"/>
        <w:rPr>
          <w:rFonts w:ascii="Arial" w:hAnsi="Arial" w:cs="Arial"/>
          <w:sz w:val="24"/>
        </w:rPr>
      </w:pPr>
      <w:r>
        <w:rPr>
          <w:rFonts w:ascii="Arial" w:hAnsi="Arial" w:cs="Arial"/>
          <w:sz w:val="24"/>
        </w:rPr>
        <w:t>（3）证券账目的核对</w:t>
      </w:r>
    </w:p>
    <w:p w14:paraId="02250D58">
      <w:pPr>
        <w:spacing w:line="360" w:lineRule="auto"/>
        <w:ind w:firstLine="480" w:firstLineChars="200"/>
        <w:rPr>
          <w:rFonts w:ascii="Arial" w:hAnsi="Arial" w:cs="Arial"/>
          <w:sz w:val="24"/>
        </w:rPr>
      </w:pPr>
      <w:r>
        <w:rPr>
          <w:rFonts w:ascii="Arial" w:hAnsi="Arial" w:cs="Arial"/>
          <w:sz w:val="24"/>
        </w:rPr>
        <w:t>基金管理人和基金托管人每交易日结束后核对基金证券账目，确保双方账目相符。基金管理人和基金托管人每月月末核对实物证券账目。</w:t>
      </w:r>
      <w:r>
        <w:rPr>
          <w:rFonts w:hint="eastAsia" w:ascii="Arial" w:hAnsi="Arial" w:cs="Arial"/>
          <w:sz w:val="24"/>
        </w:rPr>
        <w:t>基金管理人必须保证所有实际交易记录与会计账簿上的交易记录完全一致。如果实际交易记录与会计账簿记录不一致，造成会计核算不完整或不真实，由此导致的损失，基金托管人不承担责任。</w:t>
      </w:r>
    </w:p>
    <w:p w14:paraId="239A4521">
      <w:pPr>
        <w:spacing w:line="360" w:lineRule="auto"/>
        <w:ind w:firstLine="480" w:firstLineChars="200"/>
        <w:rPr>
          <w:rFonts w:ascii="Arial" w:hAnsi="Arial" w:cs="Arial"/>
          <w:sz w:val="24"/>
        </w:rPr>
      </w:pPr>
      <w:r>
        <w:rPr>
          <w:rFonts w:ascii="Arial" w:hAnsi="Arial" w:cs="Arial"/>
          <w:sz w:val="24"/>
        </w:rPr>
        <w:t>（三）基金申购和赎回业务处理的基本规定</w:t>
      </w:r>
    </w:p>
    <w:p w14:paraId="75F1436D">
      <w:pPr>
        <w:spacing w:line="360" w:lineRule="auto"/>
        <w:ind w:firstLine="480" w:firstLineChars="200"/>
        <w:rPr>
          <w:rFonts w:ascii="Arial" w:hAnsi="Arial" w:cs="Arial"/>
          <w:sz w:val="24"/>
        </w:rPr>
      </w:pPr>
      <w:r>
        <w:rPr>
          <w:rFonts w:ascii="Arial" w:hAnsi="Arial" w:cs="Arial"/>
          <w:sz w:val="24"/>
        </w:rPr>
        <w:t>1、基金份额申购、赎回的确认、清算由基金管理人或其委托的登记机构负责。</w:t>
      </w:r>
    </w:p>
    <w:p w14:paraId="1639E46D">
      <w:pPr>
        <w:spacing w:line="360" w:lineRule="auto"/>
        <w:ind w:firstLine="480" w:firstLineChars="200"/>
        <w:rPr>
          <w:rFonts w:ascii="Arial" w:hAnsi="Arial" w:cs="Arial"/>
          <w:sz w:val="24"/>
        </w:rPr>
      </w:pPr>
      <w:r>
        <w:rPr>
          <w:rFonts w:ascii="Arial" w:hAnsi="Arial" w:cs="Arial"/>
          <w:sz w:val="24"/>
        </w:rPr>
        <w:t>2、基金管理人应将每个开放日的申购、赎回、转换开放式基金的数据传送给基金托管人。基金管理人应对传递的申购、赎回、转换开放式基金的数据真实性负责。基金托管人应及时查收申购及转入资金的到账情况并根据基金管理人指令及时划付赎回及转出款项。</w:t>
      </w:r>
    </w:p>
    <w:p w14:paraId="56A1AF6B">
      <w:pPr>
        <w:spacing w:line="360" w:lineRule="auto"/>
        <w:ind w:firstLine="480" w:firstLineChars="200"/>
        <w:rPr>
          <w:rFonts w:ascii="Arial" w:hAnsi="Arial" w:cs="Arial"/>
          <w:sz w:val="24"/>
        </w:rPr>
      </w:pPr>
      <w:r>
        <w:rPr>
          <w:rFonts w:ascii="Arial" w:hAnsi="Arial" w:cs="Arial"/>
          <w:sz w:val="24"/>
        </w:rPr>
        <w:t>3、基金管理人应保证本基金（或本基金管理人委托）的登记机构每个工作日15:00前向基金托管人发送前一开放日上述有关数据，并保证相关数据的准确、完整。</w:t>
      </w:r>
    </w:p>
    <w:p w14:paraId="64C0AD43">
      <w:pPr>
        <w:spacing w:line="360" w:lineRule="auto"/>
        <w:ind w:firstLine="480" w:firstLineChars="200"/>
        <w:rPr>
          <w:rFonts w:ascii="Arial" w:hAnsi="Arial" w:cs="Arial"/>
          <w:sz w:val="24"/>
        </w:rPr>
      </w:pPr>
      <w:r>
        <w:rPr>
          <w:rFonts w:ascii="Arial" w:hAnsi="Arial" w:cs="Arial"/>
          <w:sz w:val="24"/>
        </w:rPr>
        <w:t>4、登记机构应通过与基金托管人建立的系统发送有关数据，如因各种原因，该系统无法正常发送，双方可协商解决处理方式。基金管理人向基金托管人发送的数据，双方各自按有关规定保存。</w:t>
      </w:r>
    </w:p>
    <w:p w14:paraId="56D839D0">
      <w:pPr>
        <w:spacing w:line="360" w:lineRule="auto"/>
        <w:ind w:firstLine="480" w:firstLineChars="200"/>
        <w:rPr>
          <w:rFonts w:ascii="Arial" w:hAnsi="Arial" w:cs="Arial"/>
          <w:sz w:val="24"/>
        </w:rPr>
      </w:pPr>
      <w:r>
        <w:rPr>
          <w:rFonts w:ascii="Arial" w:hAnsi="Arial" w:cs="Arial"/>
          <w:sz w:val="24"/>
        </w:rPr>
        <w:t>5、如基金管理人委托其他机构办理本基金的登记业务，应保证上述相关事宜按时进行。否则，由基金管理人承担相应的责任。</w:t>
      </w:r>
    </w:p>
    <w:p w14:paraId="302B10B0">
      <w:pPr>
        <w:spacing w:line="360" w:lineRule="auto"/>
        <w:ind w:firstLine="480" w:firstLineChars="200"/>
        <w:rPr>
          <w:rFonts w:ascii="Arial" w:hAnsi="Arial" w:cs="Arial"/>
          <w:sz w:val="24"/>
        </w:rPr>
      </w:pPr>
      <w:r>
        <w:rPr>
          <w:rFonts w:ascii="Arial" w:hAnsi="Arial" w:cs="Arial"/>
          <w:sz w:val="24"/>
        </w:rPr>
        <w:t>6、关于清算专用账户的设立</w:t>
      </w:r>
    </w:p>
    <w:p w14:paraId="1F234A9F">
      <w:pPr>
        <w:spacing w:line="360" w:lineRule="auto"/>
        <w:ind w:firstLine="480" w:firstLineChars="200"/>
        <w:rPr>
          <w:rFonts w:ascii="Arial" w:hAnsi="Arial" w:cs="Arial"/>
          <w:sz w:val="24"/>
        </w:rPr>
      </w:pPr>
      <w:r>
        <w:rPr>
          <w:rFonts w:ascii="Arial" w:hAnsi="Arial" w:cs="Arial"/>
          <w:sz w:val="24"/>
        </w:rPr>
        <w:t>为满足申购、赎回及分红资金汇划的需要，由基金管理人开立资金清算的专用账户，该账户由登记机构管理。</w:t>
      </w:r>
    </w:p>
    <w:p w14:paraId="62C1280B">
      <w:pPr>
        <w:spacing w:line="360" w:lineRule="auto"/>
        <w:ind w:firstLine="480" w:firstLineChars="200"/>
        <w:rPr>
          <w:rFonts w:ascii="Arial" w:hAnsi="Arial" w:cs="Arial"/>
          <w:sz w:val="24"/>
        </w:rPr>
      </w:pPr>
      <w:r>
        <w:rPr>
          <w:rFonts w:ascii="Arial" w:hAnsi="Arial" w:cs="Arial"/>
          <w:sz w:val="24"/>
        </w:rPr>
        <w:t>7、对于基金申购过程中产生的应收款，应由基金管理人负责与有关当事人确定到账日期并通知基金托管人，到账日应收款没有到达托管资金专门账户的，基金托管人应及时通知基金管理人采取措施进行催收，由此造成基金损失的，基金管理人应负责向有关当事人追偿基金的损失。</w:t>
      </w:r>
    </w:p>
    <w:p w14:paraId="131C6800">
      <w:pPr>
        <w:spacing w:line="360" w:lineRule="auto"/>
        <w:ind w:firstLine="480" w:firstLineChars="200"/>
        <w:rPr>
          <w:rFonts w:ascii="Arial" w:hAnsi="Arial" w:cs="Arial"/>
          <w:sz w:val="24"/>
        </w:rPr>
      </w:pPr>
      <w:r>
        <w:rPr>
          <w:rFonts w:ascii="Arial" w:hAnsi="Arial" w:cs="Arial"/>
          <w:sz w:val="24"/>
        </w:rPr>
        <w:t>8、赎回和分红资金划拨规定</w:t>
      </w:r>
    </w:p>
    <w:p w14:paraId="0779A63F">
      <w:pPr>
        <w:spacing w:line="360" w:lineRule="auto"/>
        <w:ind w:firstLine="480" w:firstLineChars="200"/>
        <w:rPr>
          <w:rFonts w:ascii="Arial" w:hAnsi="Arial" w:cs="Arial"/>
          <w:sz w:val="24"/>
        </w:rPr>
      </w:pPr>
      <w:r>
        <w:rPr>
          <w:rFonts w:ascii="Arial" w:hAnsi="Arial" w:cs="Arial"/>
          <w:sz w:val="24"/>
        </w:rPr>
        <w:t>拨付赎回款或进行基金分红时，如托管资金专门账户有足够的资金，基金托管人应按时拨付；因托管资金专门账户没有足够的资金，导致基金托管人不能按时拨付，如系基金管理人的原因造成，责任由基金管理人承担，基金托管人不承担垫款义务。</w:t>
      </w:r>
    </w:p>
    <w:p w14:paraId="28937867">
      <w:pPr>
        <w:spacing w:line="360" w:lineRule="auto"/>
        <w:ind w:firstLine="480" w:firstLineChars="200"/>
        <w:rPr>
          <w:rFonts w:ascii="Arial" w:hAnsi="Arial" w:cs="Arial"/>
          <w:sz w:val="24"/>
        </w:rPr>
      </w:pPr>
      <w:r>
        <w:rPr>
          <w:rFonts w:ascii="Arial" w:hAnsi="Arial" w:cs="Arial"/>
          <w:sz w:val="24"/>
        </w:rPr>
        <w:t>9、资金指令</w:t>
      </w:r>
    </w:p>
    <w:p w14:paraId="6B00177A">
      <w:pPr>
        <w:spacing w:line="360" w:lineRule="auto"/>
        <w:ind w:firstLine="480" w:firstLineChars="200"/>
        <w:rPr>
          <w:rFonts w:ascii="Arial" w:hAnsi="Arial" w:cs="Arial"/>
          <w:sz w:val="24"/>
        </w:rPr>
      </w:pPr>
      <w:r>
        <w:rPr>
          <w:rFonts w:ascii="Arial" w:hAnsi="Arial" w:cs="Arial"/>
          <w:sz w:val="24"/>
        </w:rPr>
        <w:t>除申购款项到达托管资金专门账户需双方按约定方式对账外，回购到期付款和与投资有关的付款、赎回和分红资金划拨时，基金管理人需向基金托管人下达指令。</w:t>
      </w:r>
    </w:p>
    <w:p w14:paraId="612B6AB8">
      <w:pPr>
        <w:spacing w:line="360" w:lineRule="auto"/>
        <w:ind w:firstLine="480" w:firstLineChars="200"/>
        <w:rPr>
          <w:rFonts w:ascii="Arial" w:hAnsi="Arial" w:cs="Arial"/>
          <w:sz w:val="24"/>
        </w:rPr>
      </w:pPr>
      <w:r>
        <w:rPr>
          <w:rFonts w:ascii="Arial" w:hAnsi="Arial" w:cs="Arial"/>
          <w:sz w:val="24"/>
        </w:rPr>
        <w:t>资金指令的格式、内容、发送、接收和确认方式等与投资指令相同。</w:t>
      </w:r>
    </w:p>
    <w:p w14:paraId="285B0535">
      <w:pPr>
        <w:spacing w:line="360" w:lineRule="auto"/>
        <w:ind w:firstLine="480" w:firstLineChars="200"/>
        <w:rPr>
          <w:rFonts w:ascii="Arial" w:hAnsi="Arial" w:cs="Arial"/>
          <w:sz w:val="24"/>
        </w:rPr>
      </w:pPr>
      <w:r>
        <w:rPr>
          <w:rFonts w:ascii="Arial" w:hAnsi="Arial" w:cs="Arial"/>
          <w:sz w:val="24"/>
        </w:rPr>
        <w:t>（四）申赎净额结算</w:t>
      </w:r>
    </w:p>
    <w:p w14:paraId="275023E1">
      <w:pPr>
        <w:spacing w:line="360" w:lineRule="auto"/>
        <w:ind w:firstLine="480" w:firstLineChars="200"/>
        <w:rPr>
          <w:rFonts w:ascii="Arial" w:hAnsi="Arial" w:cs="Arial"/>
          <w:sz w:val="24"/>
        </w:rPr>
      </w:pPr>
      <w:r>
        <w:rPr>
          <w:rFonts w:hint="eastAsia" w:ascii="Arial" w:hAnsi="Arial" w:cs="Arial"/>
          <w:sz w:val="24"/>
        </w:rPr>
        <w:t>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如存在托管账户净应收额时，基金管理人应在交收日 15:00之前从基金清算账户划往基金托管账户；如存在托管账户净应付额时，基金管理人应提前将划款指令发送给基金托管人，基金托管人按基金管理人的划款指令将托管账户净应付额在交收日12:00之前划往基金清算账户。如果当日基金为净应收款，基金托管人应及时查收资金是否到账，对于因基金管理人的原因未准时到账的资金，应及时通知基金管理人划付，由此产生的责任应由基金管理人承担。</w:t>
      </w:r>
    </w:p>
    <w:p w14:paraId="72FACD6A">
      <w:pPr>
        <w:spacing w:line="360" w:lineRule="auto"/>
        <w:ind w:firstLine="480" w:firstLineChars="200"/>
        <w:rPr>
          <w:rFonts w:ascii="Arial" w:hAnsi="Arial" w:cs="Arial"/>
          <w:sz w:val="24"/>
        </w:rPr>
      </w:pPr>
      <w:r>
        <w:rPr>
          <w:rFonts w:ascii="Arial" w:hAnsi="Arial" w:cs="Arial"/>
          <w:sz w:val="24"/>
        </w:rPr>
        <w:t>（五）</w:t>
      </w:r>
      <w:r>
        <w:rPr>
          <w:rFonts w:hint="eastAsia" w:ascii="Arial" w:hAnsi="Arial" w:cs="Arial"/>
          <w:sz w:val="24"/>
        </w:rPr>
        <w:t>基金转换</w:t>
      </w:r>
    </w:p>
    <w:p w14:paraId="21BEDB8F">
      <w:pPr>
        <w:spacing w:line="360" w:lineRule="auto"/>
        <w:ind w:firstLine="480" w:firstLineChars="200"/>
        <w:rPr>
          <w:rFonts w:ascii="Arial" w:hAnsi="Arial" w:cs="Arial"/>
          <w:sz w:val="24"/>
        </w:rPr>
      </w:pPr>
      <w:r>
        <w:rPr>
          <w:rFonts w:hint="eastAsia" w:ascii="Arial" w:hAnsi="Arial" w:cs="Arial"/>
          <w:sz w:val="24"/>
        </w:rPr>
        <w:t>1.在本基金与基金管理人管理的其它基金开展转换业务之前，基金管理人应函告基金托管人并就相关事宜进行协商。</w:t>
      </w:r>
    </w:p>
    <w:p w14:paraId="697FA313">
      <w:pPr>
        <w:spacing w:line="360" w:lineRule="auto"/>
        <w:ind w:firstLine="480" w:firstLineChars="200"/>
        <w:rPr>
          <w:rFonts w:ascii="Arial" w:hAnsi="Arial" w:cs="Arial"/>
          <w:sz w:val="24"/>
        </w:rPr>
      </w:pPr>
      <w:r>
        <w:rPr>
          <w:rFonts w:hint="eastAsia" w:ascii="Arial" w:hAnsi="Arial" w:cs="Arial"/>
          <w:sz w:val="24"/>
        </w:rPr>
        <w:t>2.基金托管人将根据基金管理人传送的基金转换数据进行账务处理，具体资金清算和数据传递的时间、程序及托管协议当事人承担的权责按基金管理人届时的公告执行。</w:t>
      </w:r>
    </w:p>
    <w:p w14:paraId="443D7483">
      <w:pPr>
        <w:spacing w:line="360" w:lineRule="auto"/>
        <w:ind w:firstLine="480" w:firstLineChars="200"/>
        <w:rPr>
          <w:rFonts w:ascii="Arial" w:hAnsi="Arial" w:cs="Arial"/>
          <w:sz w:val="24"/>
        </w:rPr>
      </w:pPr>
      <w:r>
        <w:rPr>
          <w:rFonts w:hint="eastAsia" w:ascii="Arial" w:hAnsi="Arial" w:cs="Arial"/>
          <w:sz w:val="24"/>
        </w:rPr>
        <w:t>3.本基金开展基金转换业务应按相关法律法规规定及《基金合同》的约定进行公告。</w:t>
      </w:r>
    </w:p>
    <w:p w14:paraId="411B4CD2">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六</w:t>
      </w:r>
      <w:r>
        <w:rPr>
          <w:rFonts w:ascii="Arial" w:hAnsi="Arial" w:cs="Arial"/>
          <w:sz w:val="24"/>
        </w:rPr>
        <w:t>）基金现金分红</w:t>
      </w:r>
    </w:p>
    <w:p w14:paraId="61D1CECB">
      <w:pPr>
        <w:spacing w:line="360" w:lineRule="auto"/>
        <w:ind w:firstLine="480" w:firstLineChars="200"/>
        <w:rPr>
          <w:rFonts w:ascii="Arial" w:hAnsi="Arial" w:cs="Arial"/>
          <w:sz w:val="24"/>
        </w:rPr>
      </w:pPr>
      <w:r>
        <w:rPr>
          <w:rFonts w:ascii="Arial" w:hAnsi="Arial" w:cs="Arial"/>
          <w:sz w:val="24"/>
        </w:rPr>
        <w:t>1、基金管理人确定分红方案通知基金托管人，双方核定后依照《信息披露办法》的有关规定在中国证监会规定媒介上公告。</w:t>
      </w:r>
    </w:p>
    <w:p w14:paraId="216E2589">
      <w:pPr>
        <w:spacing w:line="360" w:lineRule="auto"/>
        <w:ind w:firstLine="480" w:firstLineChars="200"/>
        <w:rPr>
          <w:rFonts w:ascii="Arial" w:hAnsi="Arial" w:cs="Arial"/>
          <w:sz w:val="24"/>
        </w:rPr>
      </w:pPr>
      <w:r>
        <w:rPr>
          <w:rFonts w:ascii="Arial" w:hAnsi="Arial" w:cs="Arial"/>
          <w:sz w:val="24"/>
        </w:rPr>
        <w:t>2、基金托管人和基金管理人对基金分红进行账务处理并核对后，基金管理人向基金托管人发送现金红利的划款指令，基金托管人应及时将资金划入专用账户。</w:t>
      </w:r>
    </w:p>
    <w:p w14:paraId="47C2B373">
      <w:pPr>
        <w:spacing w:line="360" w:lineRule="auto"/>
        <w:ind w:firstLine="480" w:firstLineChars="200"/>
        <w:rPr>
          <w:rFonts w:ascii="Arial" w:hAnsi="Arial" w:cs="Arial"/>
          <w:sz w:val="24"/>
        </w:rPr>
      </w:pPr>
      <w:r>
        <w:rPr>
          <w:rFonts w:ascii="Arial" w:hAnsi="Arial" w:cs="Arial"/>
          <w:sz w:val="24"/>
        </w:rPr>
        <w:t>3、基金管理人在下达指令时，应给基金托管人留出必需的划款时间。</w:t>
      </w:r>
    </w:p>
    <w:p w14:paraId="2345EC3D">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七</w:t>
      </w:r>
      <w:r>
        <w:rPr>
          <w:rFonts w:ascii="Arial" w:hAnsi="Arial" w:cs="Arial"/>
          <w:sz w:val="24"/>
        </w:rPr>
        <w:t>）投资银行存款的特别约定</w:t>
      </w:r>
    </w:p>
    <w:p w14:paraId="74FD6A82">
      <w:pPr>
        <w:spacing w:line="360" w:lineRule="auto"/>
        <w:ind w:firstLine="480" w:firstLineChars="200"/>
        <w:jc w:val="left"/>
        <w:rPr>
          <w:rFonts w:ascii="Arial" w:hAnsi="Arial" w:cs="Arial"/>
          <w:sz w:val="24"/>
        </w:rPr>
      </w:pPr>
      <w:r>
        <w:rPr>
          <w:rFonts w:ascii="Arial" w:hAnsi="Arial" w:cs="Arial"/>
          <w:sz w:val="24"/>
        </w:rPr>
        <w:t>1、本基金投资银行存款前，</w:t>
      </w:r>
      <w:r>
        <w:rPr>
          <w:rFonts w:hint="eastAsia" w:ascii="Arial" w:hAnsi="Arial" w:cs="Arial"/>
          <w:sz w:val="24"/>
        </w:rPr>
        <w:t>基金管理人</w:t>
      </w:r>
      <w:r>
        <w:rPr>
          <w:rFonts w:ascii="Arial" w:hAnsi="Arial" w:cs="Arial"/>
          <w:sz w:val="24"/>
        </w:rPr>
        <w:t>应与</w:t>
      </w:r>
      <w:r>
        <w:rPr>
          <w:rFonts w:hint="eastAsia" w:ascii="Arial" w:hAnsi="Arial" w:cs="Arial"/>
          <w:sz w:val="24"/>
        </w:rPr>
        <w:t>存款银行</w:t>
      </w:r>
      <w:r>
        <w:rPr>
          <w:rFonts w:ascii="Arial" w:hAnsi="Arial" w:cs="Arial"/>
          <w:sz w:val="24"/>
        </w:rPr>
        <w:t>签署相关协议。</w:t>
      </w:r>
      <w:r>
        <w:rPr>
          <w:rFonts w:hint="eastAsia" w:ascii="Arial" w:hAnsi="Arial" w:cs="Arial"/>
          <w:sz w:val="24"/>
        </w:rPr>
        <w:t>包括但不限于以下内容：</w:t>
      </w:r>
    </w:p>
    <w:p w14:paraId="0A7B1D17">
      <w:pPr>
        <w:spacing w:line="360" w:lineRule="auto"/>
        <w:ind w:firstLine="480" w:firstLineChars="200"/>
        <w:jc w:val="left"/>
        <w:rPr>
          <w:rFonts w:ascii="Arial" w:hAnsi="Arial" w:cs="Arial"/>
          <w:sz w:val="24"/>
        </w:rPr>
      </w:pPr>
      <w:r>
        <w:rPr>
          <w:rFonts w:hint="eastAsia" w:ascii="Arial" w:hAnsi="Arial" w:cs="Arial"/>
          <w:sz w:val="24"/>
        </w:rPr>
        <w:t>（1）存款账户必须以本基金名义开立，并将基金托管人为本基金开立的基金银行托管账户指定为唯一回款账户，任何情况下，存款银行都不得将存款投资本息划往任何其他账户。</w:t>
      </w:r>
    </w:p>
    <w:p w14:paraId="1F1F058A">
      <w:pPr>
        <w:spacing w:line="360" w:lineRule="auto"/>
        <w:ind w:firstLine="480" w:firstLineChars="200"/>
        <w:jc w:val="left"/>
        <w:rPr>
          <w:rFonts w:ascii="Arial" w:hAnsi="Arial" w:cs="Arial"/>
          <w:sz w:val="24"/>
        </w:rPr>
      </w:pPr>
      <w:r>
        <w:rPr>
          <w:rFonts w:hint="eastAsia" w:ascii="Arial" w:hAnsi="Arial" w:cs="Arial"/>
          <w:sz w:val="24"/>
        </w:rPr>
        <w:t>（2）存款银行不得接受基金管理人或基金托管人任何一方单方面提出的对存款进行更名、转让、挂失、质押、担保、撤销、变更印鉴及回款账户信息等可能导致财产转移的操作申请。</w:t>
      </w:r>
    </w:p>
    <w:p w14:paraId="23980F13">
      <w:pPr>
        <w:spacing w:line="360" w:lineRule="auto"/>
        <w:ind w:firstLine="480" w:firstLineChars="200"/>
        <w:jc w:val="left"/>
        <w:rPr>
          <w:rFonts w:ascii="Arial" w:hAnsi="Arial" w:cs="Arial"/>
          <w:sz w:val="24"/>
        </w:rPr>
      </w:pPr>
      <w:r>
        <w:rPr>
          <w:rFonts w:hint="eastAsia" w:ascii="Arial" w:hAnsi="Arial" w:cs="Arial"/>
          <w:sz w:val="24"/>
        </w:rPr>
        <w:t>（3）约定存款证实书的具体传递交接方式及交接期限。</w:t>
      </w:r>
    </w:p>
    <w:p w14:paraId="440077E3">
      <w:pPr>
        <w:spacing w:line="360" w:lineRule="auto"/>
        <w:ind w:firstLine="480" w:firstLineChars="200"/>
        <w:jc w:val="left"/>
        <w:rPr>
          <w:rFonts w:ascii="Arial" w:hAnsi="Arial" w:cs="Arial"/>
          <w:sz w:val="24"/>
        </w:rPr>
      </w:pPr>
      <w:r>
        <w:rPr>
          <w:rFonts w:hint="eastAsia" w:ascii="Arial" w:hAnsi="Arial" w:cs="Arial"/>
          <w:sz w:val="24"/>
        </w:rPr>
        <w:t>（4）资金划转过程中需要使用存款银行过渡账户的，存款银行须保证资金在过渡账户中不出现滞留，不被挪用。</w:t>
      </w:r>
    </w:p>
    <w:p w14:paraId="0B836887">
      <w:pPr>
        <w:spacing w:line="360" w:lineRule="auto"/>
        <w:ind w:firstLine="480" w:firstLineChars="200"/>
        <w:jc w:val="left"/>
        <w:rPr>
          <w:rFonts w:ascii="Arial" w:hAnsi="Arial" w:cs="Arial"/>
          <w:sz w:val="24"/>
        </w:rPr>
      </w:pPr>
      <w:r>
        <w:rPr>
          <w:rFonts w:ascii="Arial" w:hAnsi="Arial" w:cs="Arial"/>
          <w:sz w:val="24"/>
        </w:rPr>
        <w:t>2、本基金投资银行存款，必须采用双方认可的方式办理。</w:t>
      </w:r>
      <w:r>
        <w:rPr>
          <w:rFonts w:hint="eastAsia" w:ascii="Arial" w:hAnsi="Arial" w:cs="Arial"/>
          <w:sz w:val="24"/>
        </w:rPr>
        <w:t>基金托管人负责依据基金管理人提供的银行存款投资合同/协议、投资指令、支取通知等有关文件办理资金的支付以及存款证实书的接收、保管与交付，切实履行托管职责。基金托管人负责对存款开户证实书进行保管，不负责对存款开户证实书真伪的辨别，不承担存款开户证实书对应存款的本金及收益的安全。</w:t>
      </w:r>
    </w:p>
    <w:p w14:paraId="74EF4677">
      <w:pPr>
        <w:spacing w:line="360" w:lineRule="auto"/>
        <w:ind w:firstLine="480" w:firstLineChars="200"/>
        <w:jc w:val="left"/>
        <w:rPr>
          <w:rFonts w:ascii="Arial" w:hAnsi="Arial" w:cs="Arial"/>
          <w:sz w:val="24"/>
        </w:rPr>
      </w:pPr>
      <w:r>
        <w:rPr>
          <w:rFonts w:ascii="Arial" w:hAnsi="Arial" w:cs="Arial"/>
          <w:sz w:val="24"/>
        </w:rPr>
        <w:t>3、基金管理人投资银行存款或办理存款支取时，应提前书面通知基金托管人，以便基金托管人有足够的时间履行相应的业务操作程序。</w:t>
      </w:r>
    </w:p>
    <w:p w14:paraId="02D9D7AF">
      <w:pPr>
        <w:spacing w:line="360" w:lineRule="auto"/>
        <w:ind w:firstLine="480" w:firstLineChars="200"/>
        <w:jc w:val="left"/>
        <w:rPr>
          <w:rFonts w:ascii="Arial" w:hAnsi="Arial" w:cs="Arial"/>
          <w:sz w:val="24"/>
        </w:rPr>
      </w:pPr>
      <w:r>
        <w:rPr>
          <w:rFonts w:hint="eastAsia" w:ascii="Arial" w:hAnsi="Arial" w:cs="Arial"/>
          <w:sz w:val="24"/>
        </w:rPr>
        <w:t>因发生逾期支取、提前支取或部分提前支取，托管银行不承担相应利息损失及逾期支取手续费。</w:t>
      </w:r>
    </w:p>
    <w:p w14:paraId="429FC39C">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86" w:name="_Toc466378883"/>
      <w:bookmarkStart w:id="87" w:name="_Toc466464094"/>
      <w:r>
        <w:rPr>
          <w:rFonts w:ascii="Arial" w:hAnsi="Arial" w:cs="Arial"/>
          <w:bCs w:val="0"/>
          <w:kern w:val="0"/>
          <w:szCs w:val="30"/>
          <w:lang w:val="en-US"/>
        </w:rPr>
        <w:t>第八部分 基金资产净值计算和会计核算</w:t>
      </w:r>
      <w:bookmarkEnd w:id="86"/>
      <w:bookmarkEnd w:id="87"/>
    </w:p>
    <w:bookmarkEnd w:id="83"/>
    <w:bookmarkEnd w:id="84"/>
    <w:bookmarkEnd w:id="85"/>
    <w:p w14:paraId="1CE2AF08">
      <w:pPr>
        <w:spacing w:line="360" w:lineRule="auto"/>
        <w:ind w:firstLine="480" w:firstLineChars="200"/>
        <w:jc w:val="left"/>
        <w:rPr>
          <w:rFonts w:ascii="Arial" w:hAnsi="Arial" w:cs="Arial"/>
          <w:sz w:val="24"/>
        </w:rPr>
      </w:pPr>
      <w:bookmarkStart w:id="88" w:name="_Toc22454461"/>
      <w:bookmarkStart w:id="89" w:name="_Toc523830000"/>
      <w:bookmarkStart w:id="90" w:name="_Toc48703912"/>
      <w:bookmarkStart w:id="91" w:name="_Toc466788859"/>
      <w:r>
        <w:rPr>
          <w:rFonts w:ascii="Arial" w:hAnsi="Arial" w:cs="Arial"/>
          <w:sz w:val="24"/>
        </w:rPr>
        <w:t>（一）基金资产净值的计算、复核与完成的时间及程序</w:t>
      </w:r>
    </w:p>
    <w:p w14:paraId="292A8C8C">
      <w:pPr>
        <w:spacing w:line="360" w:lineRule="auto"/>
        <w:ind w:firstLine="480" w:firstLineChars="200"/>
        <w:rPr>
          <w:rFonts w:ascii="Arial" w:hAnsi="Arial" w:cs="Arial"/>
          <w:sz w:val="24"/>
        </w:rPr>
      </w:pPr>
      <w:r>
        <w:rPr>
          <w:rFonts w:ascii="Arial" w:hAnsi="Arial" w:cs="Arial"/>
          <w:sz w:val="24"/>
        </w:rPr>
        <w:t>1、基金资产净值是指基金资产总值减去负债后的</w:t>
      </w:r>
      <w:r>
        <w:rPr>
          <w:rFonts w:hint="eastAsia" w:ascii="Arial" w:hAnsi="Arial" w:cs="Arial"/>
          <w:sz w:val="24"/>
        </w:rPr>
        <w:t>价值</w:t>
      </w:r>
      <w:r>
        <w:rPr>
          <w:rFonts w:ascii="Arial" w:hAnsi="Arial" w:cs="Arial"/>
          <w:sz w:val="24"/>
        </w:rPr>
        <w:t>。各类基金份额净值是按照每个</w:t>
      </w:r>
      <w:r>
        <w:rPr>
          <w:rFonts w:hint="eastAsia" w:ascii="Arial" w:hAnsi="Arial" w:cs="Arial"/>
          <w:sz w:val="24"/>
        </w:rPr>
        <w:t>工作</w:t>
      </w:r>
      <w:r>
        <w:rPr>
          <w:rFonts w:ascii="Arial" w:hAnsi="Arial" w:cs="Arial"/>
          <w:bCs/>
          <w:sz w:val="24"/>
        </w:rPr>
        <w:t>日</w:t>
      </w:r>
      <w:r>
        <w:rPr>
          <w:rFonts w:ascii="Arial" w:hAnsi="Arial" w:cs="Arial"/>
          <w:sz w:val="24"/>
        </w:rPr>
        <w:t>闭市后，各</w:t>
      </w:r>
      <w:r>
        <w:rPr>
          <w:rFonts w:hint="eastAsia" w:ascii="Arial" w:hAnsi="Arial" w:cs="Arial"/>
          <w:sz w:val="24"/>
        </w:rPr>
        <w:t>类</w:t>
      </w:r>
      <w:r>
        <w:rPr>
          <w:rFonts w:ascii="Arial" w:hAnsi="Arial" w:cs="Arial"/>
          <w:sz w:val="24"/>
        </w:rPr>
        <w:t>基金资产净值除以当日</w:t>
      </w:r>
      <w:r>
        <w:rPr>
          <w:rFonts w:hint="eastAsia" w:ascii="Arial" w:hAnsi="Arial" w:cs="Arial"/>
          <w:sz w:val="24"/>
        </w:rPr>
        <w:t>该类</w:t>
      </w:r>
      <w:r>
        <w:rPr>
          <w:rFonts w:ascii="Arial" w:hAnsi="Arial" w:cs="Arial"/>
          <w:sz w:val="24"/>
        </w:rPr>
        <w:t>基金份额的余额数量计算。</w:t>
      </w:r>
      <w:r>
        <w:rPr>
          <w:rFonts w:hint="eastAsia" w:ascii="Arial" w:hAnsi="Arial" w:cs="Arial"/>
          <w:sz w:val="24"/>
        </w:rPr>
        <w:t>各类</w:t>
      </w:r>
      <w:r>
        <w:rPr>
          <w:rFonts w:ascii="Arial" w:hAnsi="Arial" w:cs="Arial"/>
          <w:sz w:val="24"/>
        </w:rPr>
        <w:t>基金份额净值均精确到0.0001元，小数点后第五位四舍五入</w:t>
      </w:r>
      <w:r>
        <w:rPr>
          <w:rFonts w:hint="eastAsia" w:ascii="Arial" w:hAnsi="Arial" w:cs="Arial"/>
          <w:sz w:val="24"/>
        </w:rPr>
        <w:t>，由此产生的误差计入基金财产</w:t>
      </w:r>
      <w:r>
        <w:rPr>
          <w:rFonts w:ascii="Arial" w:hAnsi="Arial" w:cs="Arial"/>
          <w:sz w:val="24"/>
        </w:rPr>
        <w:t>。</w:t>
      </w:r>
      <w:r>
        <w:rPr>
          <w:rFonts w:hint="eastAsia" w:ascii="Arial" w:hAnsi="Arial" w:cs="Arial"/>
          <w:sz w:val="24"/>
        </w:rPr>
        <w:t>基金管理人可以设立大额赎回情形下的净值精度应急调整机制。国家</w:t>
      </w:r>
      <w:r>
        <w:rPr>
          <w:rFonts w:ascii="Arial" w:hAnsi="Arial" w:cs="Arial"/>
          <w:sz w:val="24"/>
        </w:rPr>
        <w:t>另有规定的，从其规定。</w:t>
      </w:r>
    </w:p>
    <w:p w14:paraId="49BF4960">
      <w:pPr>
        <w:spacing w:line="360" w:lineRule="auto"/>
        <w:ind w:firstLine="480" w:firstLineChars="200"/>
        <w:rPr>
          <w:rFonts w:ascii="Arial" w:hAnsi="Arial" w:cs="Arial"/>
          <w:sz w:val="24"/>
        </w:rPr>
      </w:pPr>
      <w:r>
        <w:rPr>
          <w:rFonts w:ascii="Arial" w:hAnsi="Arial" w:cs="Arial"/>
          <w:bCs/>
          <w:sz w:val="24"/>
        </w:rPr>
        <w:t>本基金的估值日为本基金相关的证券交易场所的交易日以及国家法律法规规定需要对外披露基金净值的非交易日。</w:t>
      </w:r>
    </w:p>
    <w:p w14:paraId="479AFA86">
      <w:pPr>
        <w:spacing w:line="360" w:lineRule="auto"/>
        <w:ind w:firstLine="480" w:firstLineChars="200"/>
        <w:rPr>
          <w:rFonts w:ascii="Arial" w:hAnsi="Arial" w:cs="Arial"/>
          <w:sz w:val="24"/>
        </w:rPr>
      </w:pPr>
      <w:r>
        <w:rPr>
          <w:rFonts w:ascii="Arial" w:hAnsi="Arial" w:cs="Arial"/>
          <w:sz w:val="24"/>
        </w:rPr>
        <w:t>基金管理人</w:t>
      </w:r>
      <w:r>
        <w:rPr>
          <w:rFonts w:hint="eastAsia" w:ascii="Arial" w:hAnsi="Arial" w:cs="Arial"/>
          <w:sz w:val="24"/>
        </w:rPr>
        <w:t>于</w:t>
      </w:r>
      <w:r>
        <w:rPr>
          <w:rFonts w:ascii="Arial" w:hAnsi="Arial" w:cs="Arial"/>
          <w:sz w:val="24"/>
        </w:rPr>
        <w:t>每个</w:t>
      </w:r>
      <w:r>
        <w:rPr>
          <w:rFonts w:hint="eastAsia" w:ascii="Arial" w:hAnsi="Arial" w:cs="Arial"/>
          <w:sz w:val="24"/>
        </w:rPr>
        <w:t>工作</w:t>
      </w:r>
      <w:r>
        <w:rPr>
          <w:rFonts w:ascii="Arial" w:hAnsi="Arial" w:cs="Arial"/>
          <w:sz w:val="24"/>
        </w:rPr>
        <w:t>日计算基金资产净值及</w:t>
      </w:r>
      <w:r>
        <w:rPr>
          <w:rFonts w:hint="eastAsia" w:ascii="Arial" w:hAnsi="Arial" w:cs="Arial"/>
          <w:sz w:val="24"/>
        </w:rPr>
        <w:t>各类</w:t>
      </w:r>
      <w:r>
        <w:rPr>
          <w:rFonts w:ascii="Arial" w:hAnsi="Arial" w:cs="Arial"/>
          <w:sz w:val="24"/>
        </w:rPr>
        <w:t>基金份额净值，并按规定公告。</w:t>
      </w:r>
    </w:p>
    <w:p w14:paraId="69D36D90">
      <w:pPr>
        <w:spacing w:line="360" w:lineRule="auto"/>
        <w:ind w:firstLine="480" w:firstLineChars="200"/>
        <w:rPr>
          <w:rFonts w:ascii="Arial" w:hAnsi="Arial" w:cs="Arial"/>
          <w:sz w:val="24"/>
        </w:rPr>
      </w:pPr>
      <w:r>
        <w:rPr>
          <w:rFonts w:ascii="Arial" w:hAnsi="Arial" w:cs="Arial"/>
          <w:sz w:val="24"/>
        </w:rPr>
        <w:t>2、基金管理人应每个</w:t>
      </w:r>
      <w:r>
        <w:rPr>
          <w:rFonts w:hint="eastAsia" w:ascii="Arial" w:hAnsi="Arial" w:cs="Arial"/>
          <w:sz w:val="24"/>
        </w:rPr>
        <w:t>工作</w:t>
      </w:r>
      <w:r>
        <w:rPr>
          <w:rFonts w:ascii="Arial" w:hAnsi="Arial" w:cs="Arial"/>
          <w:sz w:val="24"/>
        </w:rPr>
        <w:t>日对基金资产估值。但基金管理人根据法律法规或《基金合同》的规定暂停估值时除外。基金管理人每个</w:t>
      </w:r>
      <w:r>
        <w:rPr>
          <w:rFonts w:hint="eastAsia" w:ascii="Arial" w:hAnsi="Arial" w:cs="Arial"/>
          <w:sz w:val="24"/>
        </w:rPr>
        <w:t>工作</w:t>
      </w:r>
      <w:r>
        <w:rPr>
          <w:rFonts w:ascii="Arial" w:hAnsi="Arial" w:cs="Arial"/>
          <w:sz w:val="24"/>
        </w:rPr>
        <w:t>日对基金资产估值后，将</w:t>
      </w:r>
      <w:r>
        <w:rPr>
          <w:rFonts w:hint="eastAsia"/>
          <w:bCs/>
          <w:sz w:val="24"/>
        </w:rPr>
        <w:t>基金资产净值和各类</w:t>
      </w:r>
      <w:r>
        <w:rPr>
          <w:rFonts w:ascii="Arial" w:hAnsi="Arial" w:cs="Arial"/>
          <w:sz w:val="24"/>
        </w:rPr>
        <w:t>基金份额净值发送基金托管人，经基金托管人复核无误后，由基金管理人按约定对外公布。</w:t>
      </w:r>
    </w:p>
    <w:p w14:paraId="5093FC81">
      <w:pPr>
        <w:spacing w:line="360" w:lineRule="auto"/>
        <w:ind w:firstLine="480" w:firstLineChars="200"/>
        <w:rPr>
          <w:rFonts w:ascii="Arial" w:hAnsi="Arial" w:cs="Arial"/>
          <w:sz w:val="24"/>
        </w:rPr>
      </w:pPr>
      <w:r>
        <w:rPr>
          <w:rFonts w:ascii="Arial" w:hAnsi="Arial" w:cs="Arial"/>
          <w:sz w:val="24"/>
        </w:rPr>
        <w:t>（二）基金资产估值方法和特殊情形的处理</w:t>
      </w:r>
    </w:p>
    <w:p w14:paraId="104723BC">
      <w:pPr>
        <w:spacing w:line="360" w:lineRule="auto"/>
        <w:ind w:firstLine="480" w:firstLineChars="200"/>
        <w:rPr>
          <w:rFonts w:ascii="Arial" w:hAnsi="Arial" w:cs="Arial"/>
          <w:sz w:val="24"/>
        </w:rPr>
      </w:pPr>
      <w:r>
        <w:rPr>
          <w:rFonts w:ascii="Arial" w:hAnsi="Arial" w:cs="Arial"/>
          <w:sz w:val="24"/>
        </w:rPr>
        <w:t>1、估值对象</w:t>
      </w:r>
    </w:p>
    <w:p w14:paraId="3CB23AD3">
      <w:pPr>
        <w:spacing w:line="360" w:lineRule="auto"/>
        <w:ind w:firstLine="480" w:firstLineChars="200"/>
        <w:rPr>
          <w:rFonts w:ascii="Arial" w:hAnsi="Arial" w:cs="Arial"/>
          <w:sz w:val="24"/>
        </w:rPr>
      </w:pPr>
      <w:r>
        <w:rPr>
          <w:rFonts w:hint="eastAsia" w:ascii="Arial" w:hAnsi="Arial" w:cs="Arial"/>
          <w:sz w:val="24"/>
        </w:rPr>
        <w:t>基金所拥有的目标ETF基金份额、股票、债券、资产支持证券、国债期货合约、股指期货合约、股票期权合约和银行存款本息、应收款项、其它投资等资产及负债。</w:t>
      </w:r>
    </w:p>
    <w:p w14:paraId="2A41BAD0">
      <w:pPr>
        <w:spacing w:line="360" w:lineRule="auto"/>
        <w:ind w:firstLine="480" w:firstLineChars="200"/>
        <w:rPr>
          <w:rFonts w:ascii="Arial" w:hAnsi="Arial" w:cs="Arial"/>
          <w:sz w:val="24"/>
        </w:rPr>
      </w:pPr>
      <w:r>
        <w:rPr>
          <w:rFonts w:ascii="Arial" w:hAnsi="Arial" w:cs="Arial"/>
          <w:sz w:val="24"/>
        </w:rPr>
        <w:t>2、估值方法</w:t>
      </w:r>
    </w:p>
    <w:p w14:paraId="143F9C8C">
      <w:pPr>
        <w:adjustRightInd w:val="0"/>
        <w:snapToGrid w:val="0"/>
        <w:spacing w:line="360" w:lineRule="auto"/>
        <w:ind w:firstLine="480" w:firstLineChars="200"/>
        <w:rPr>
          <w:rFonts w:ascii="Arial" w:hAnsi="Arial" w:cs="Arial"/>
          <w:sz w:val="24"/>
        </w:rPr>
      </w:pPr>
      <w:r>
        <w:rPr>
          <w:rFonts w:hint="eastAsia" w:ascii="Arial" w:hAnsi="Arial" w:cs="Arial"/>
          <w:sz w:val="24"/>
        </w:rPr>
        <w:t>（1）本基金持有的目标ETF基金份额以其当日基金份额净值估值，当日无基金份额净值的，以最近工作日的基金份额净值估值。</w:t>
      </w:r>
    </w:p>
    <w:p w14:paraId="505F816B">
      <w:pPr>
        <w:adjustRightInd w:val="0"/>
        <w:snapToGrid w:val="0"/>
        <w:spacing w:line="360" w:lineRule="auto"/>
        <w:ind w:firstLine="480" w:firstLineChars="200"/>
        <w:rPr>
          <w:rFonts w:ascii="Arial" w:hAnsi="Arial" w:cs="Arial"/>
          <w:sz w:val="24"/>
        </w:rPr>
      </w:pPr>
      <w:r>
        <w:rPr>
          <w:rFonts w:hint="eastAsia" w:ascii="Arial" w:hAnsi="Arial" w:cs="Arial"/>
          <w:sz w:val="24"/>
        </w:rPr>
        <w:t>（2）证券交易所上市的有价证券（目标ETF除外）的估值</w:t>
      </w:r>
    </w:p>
    <w:p w14:paraId="5F119CBE">
      <w:pPr>
        <w:adjustRightInd w:val="0"/>
        <w:snapToGrid w:val="0"/>
        <w:spacing w:line="360" w:lineRule="auto"/>
        <w:ind w:firstLine="480" w:firstLineChars="200"/>
        <w:rPr>
          <w:rFonts w:ascii="Arial" w:hAnsi="Arial" w:cs="Arial"/>
          <w:sz w:val="24"/>
        </w:rPr>
      </w:pPr>
      <w:r>
        <w:rPr>
          <w:rFonts w:hint="eastAsia" w:ascii="Arial" w:hAnsi="Arial" w:cs="Arial"/>
          <w:sz w:val="24"/>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82EB9B7">
      <w:pPr>
        <w:adjustRightInd w:val="0"/>
        <w:snapToGrid w:val="0"/>
        <w:spacing w:line="360" w:lineRule="auto"/>
        <w:ind w:firstLine="480" w:firstLineChars="200"/>
        <w:rPr>
          <w:rFonts w:ascii="Arial" w:hAnsi="Arial" w:cs="Arial"/>
          <w:sz w:val="24"/>
        </w:rPr>
      </w:pPr>
      <w:r>
        <w:rPr>
          <w:rFonts w:ascii="Arial" w:hAnsi="Arial" w:cs="Arial"/>
          <w:sz w:val="24"/>
        </w:rPr>
        <w:t>2</w:t>
      </w:r>
      <w:r>
        <w:rPr>
          <w:rFonts w:hint="eastAsia" w:ascii="Arial" w:hAnsi="Arial" w:cs="Arial"/>
          <w:sz w:val="24"/>
        </w:rPr>
        <w:t>）交易所市场上市交易或挂牌转让的固定收益品种（</w:t>
      </w:r>
      <w:r>
        <w:rPr>
          <w:rFonts w:ascii="Arial" w:hAnsi="Arial" w:cs="Arial"/>
          <w:sz w:val="24"/>
        </w:rPr>
        <w:t>基金</w:t>
      </w:r>
      <w:r>
        <w:rPr>
          <w:rFonts w:hint="eastAsia" w:ascii="Arial" w:hAnsi="Arial" w:cs="Arial"/>
          <w:sz w:val="24"/>
        </w:rPr>
        <w:t>合同另有约定的除外），选取估值日第三方估值机构提供的相应品种对应的估值净价估值，具体估值机构由基金管理人与基金托管人共同确定；</w:t>
      </w:r>
    </w:p>
    <w:p w14:paraId="5CBA493F">
      <w:pPr>
        <w:adjustRightInd w:val="0"/>
        <w:snapToGrid w:val="0"/>
        <w:spacing w:line="360" w:lineRule="auto"/>
        <w:ind w:firstLine="480" w:firstLineChars="200"/>
        <w:rPr>
          <w:rFonts w:ascii="Arial" w:hAnsi="Arial" w:cs="Arial"/>
          <w:sz w:val="24"/>
        </w:rPr>
      </w:pPr>
      <w:r>
        <w:rPr>
          <w:rFonts w:hint="eastAsia" w:ascii="Arial" w:hAnsi="Arial" w:cs="Arial"/>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7C3AA7D9">
      <w:pPr>
        <w:adjustRightInd w:val="0"/>
        <w:snapToGrid w:val="0"/>
        <w:spacing w:line="360" w:lineRule="auto"/>
        <w:ind w:firstLine="480" w:firstLineChars="200"/>
        <w:rPr>
          <w:rFonts w:ascii="Arial" w:hAnsi="Arial" w:cs="Arial"/>
          <w:sz w:val="24"/>
        </w:rPr>
      </w:pPr>
      <w:r>
        <w:rPr>
          <w:rFonts w:hint="eastAsia" w:ascii="Arial" w:hAnsi="Arial" w:cs="Arial"/>
          <w:sz w:val="24"/>
        </w:rPr>
        <w:t>交易所上市实行全价交易的固定收益品种（可转换债券除外），选取第三方估值机构提供的估值全价减去估值全价中所含的固定收益品种（税后）应收利息得到的净价进行估值；</w:t>
      </w:r>
    </w:p>
    <w:p w14:paraId="16EBEC77">
      <w:pPr>
        <w:adjustRightInd w:val="0"/>
        <w:snapToGrid w:val="0"/>
        <w:spacing w:line="360" w:lineRule="auto"/>
        <w:ind w:firstLine="480" w:firstLineChars="200"/>
        <w:rPr>
          <w:rFonts w:ascii="Arial" w:hAnsi="Arial" w:cs="Arial"/>
          <w:sz w:val="24"/>
        </w:rPr>
      </w:pPr>
      <w:r>
        <w:rPr>
          <w:rFonts w:hint="eastAsia" w:ascii="Arial" w:hAnsi="Arial" w:cs="Arial"/>
          <w:sz w:val="24"/>
        </w:rPr>
        <w:t>4）交易所上市不存在活跃市场的有价证券，采用估值技术确定公允价值。交易所上市的资产支持证券，采用估值技术确定公允价值，在估值技术难以可靠计量公允价值的情况下，按成本估值。</w:t>
      </w:r>
    </w:p>
    <w:p w14:paraId="21D00A5E">
      <w:pPr>
        <w:adjustRightInd w:val="0"/>
        <w:snapToGrid w:val="0"/>
        <w:spacing w:line="360" w:lineRule="auto"/>
        <w:ind w:firstLine="480" w:firstLineChars="200"/>
        <w:rPr>
          <w:rFonts w:ascii="Arial" w:hAnsi="Arial" w:cs="Arial"/>
          <w:sz w:val="24"/>
        </w:rPr>
      </w:pPr>
      <w:r>
        <w:rPr>
          <w:rFonts w:hint="eastAsia" w:ascii="Arial" w:hAnsi="Arial" w:cs="Arial"/>
          <w:sz w:val="24"/>
        </w:rPr>
        <w:t>（3）处于未上市或者未挂牌期间的有价证券应区分如下情况处理：</w:t>
      </w:r>
    </w:p>
    <w:p w14:paraId="15767E13">
      <w:pPr>
        <w:adjustRightInd w:val="0"/>
        <w:snapToGrid w:val="0"/>
        <w:spacing w:line="360" w:lineRule="auto"/>
        <w:ind w:firstLine="480" w:firstLineChars="200"/>
        <w:rPr>
          <w:rFonts w:ascii="Arial" w:hAnsi="Arial" w:cs="Arial"/>
          <w:sz w:val="24"/>
        </w:rPr>
      </w:pPr>
      <w:r>
        <w:rPr>
          <w:rFonts w:ascii="Arial" w:hAnsi="Arial" w:cs="Arial"/>
          <w:sz w:val="24"/>
        </w:rPr>
        <w:t>1</w:t>
      </w:r>
      <w:r>
        <w:rPr>
          <w:rFonts w:hint="eastAsia" w:ascii="Arial" w:hAnsi="Arial" w:cs="Arial"/>
          <w:sz w:val="24"/>
        </w:rPr>
        <w:t>）送股、转增股、配股和公开增发的新股，按估值日在证券交易所挂牌的同一股票的估值方法估值；该日无交易的，以最近一日的市价（收盘价）估值；</w:t>
      </w:r>
    </w:p>
    <w:p w14:paraId="0022A2A9">
      <w:pPr>
        <w:adjustRightInd w:val="0"/>
        <w:snapToGrid w:val="0"/>
        <w:spacing w:line="360" w:lineRule="auto"/>
        <w:ind w:firstLine="480" w:firstLineChars="200"/>
        <w:rPr>
          <w:rFonts w:ascii="Arial" w:hAnsi="Arial" w:cs="Arial"/>
          <w:sz w:val="24"/>
        </w:rPr>
      </w:pPr>
      <w:r>
        <w:rPr>
          <w:rFonts w:ascii="Arial" w:hAnsi="Arial" w:cs="Arial"/>
          <w:sz w:val="24"/>
        </w:rPr>
        <w:t>2</w:t>
      </w:r>
      <w:r>
        <w:rPr>
          <w:rFonts w:hint="eastAsia" w:ascii="Arial" w:hAnsi="Arial" w:cs="Arial"/>
          <w:sz w:val="24"/>
        </w:rPr>
        <w:t>）首次公开发行未上市或者未挂牌的股票、债券，采用估值技术确定公允价值，在估值技术难以可靠计量公允价值的情况下，按成本估值；</w:t>
      </w:r>
    </w:p>
    <w:p w14:paraId="1D9FC723">
      <w:pPr>
        <w:adjustRightInd w:val="0"/>
        <w:snapToGrid w:val="0"/>
        <w:spacing w:line="360" w:lineRule="auto"/>
        <w:ind w:firstLine="480" w:firstLineChars="200"/>
        <w:rPr>
          <w:rFonts w:ascii="Arial" w:hAnsi="Arial" w:cs="Arial"/>
          <w:sz w:val="24"/>
        </w:rPr>
      </w:pPr>
      <w:r>
        <w:rPr>
          <w:rFonts w:ascii="Arial" w:hAnsi="Arial" w:cs="Arial"/>
          <w:sz w:val="24"/>
        </w:rPr>
        <w:t>3</w:t>
      </w:r>
      <w:r>
        <w:rPr>
          <w:rFonts w:hint="eastAsia" w:ascii="Arial" w:hAnsi="Arial" w:cs="Arial"/>
          <w:sz w:val="24"/>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E088311">
      <w:pPr>
        <w:adjustRightInd w:val="0"/>
        <w:snapToGrid w:val="0"/>
        <w:spacing w:line="360" w:lineRule="auto"/>
        <w:ind w:firstLine="480" w:firstLineChars="200"/>
        <w:rPr>
          <w:rFonts w:ascii="Arial" w:hAnsi="Arial" w:cs="Arial"/>
          <w:sz w:val="24"/>
        </w:rPr>
      </w:pPr>
      <w:r>
        <w:rPr>
          <w:rFonts w:hint="eastAsia" w:ascii="Arial" w:hAnsi="Arial" w:cs="Arial"/>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53F16AD3">
      <w:pPr>
        <w:adjustRightInd w:val="0"/>
        <w:snapToGrid w:val="0"/>
        <w:spacing w:line="360" w:lineRule="auto"/>
        <w:ind w:firstLine="480" w:firstLineChars="200"/>
        <w:rPr>
          <w:rFonts w:ascii="Arial" w:hAnsi="Arial" w:cs="Arial"/>
          <w:sz w:val="24"/>
        </w:rPr>
      </w:pPr>
      <w:r>
        <w:rPr>
          <w:rFonts w:hint="eastAsia" w:ascii="Arial" w:hAnsi="Arial" w:cs="Arial"/>
          <w:sz w:val="24"/>
        </w:rPr>
        <w:t>（5）同一证券同时在两个或两个以上市场交易的，按证券所处的市场分别估值。</w:t>
      </w:r>
    </w:p>
    <w:p w14:paraId="4F905EBE">
      <w:pPr>
        <w:adjustRightInd w:val="0"/>
        <w:snapToGrid w:val="0"/>
        <w:spacing w:line="360" w:lineRule="auto"/>
        <w:ind w:firstLine="480" w:firstLineChars="200"/>
        <w:rPr>
          <w:rFonts w:ascii="Arial" w:hAnsi="Arial" w:cs="Arial"/>
          <w:sz w:val="24"/>
        </w:rPr>
      </w:pPr>
      <w:r>
        <w:rPr>
          <w:rFonts w:hint="eastAsia" w:ascii="Arial" w:hAnsi="Arial" w:cs="Arial"/>
          <w:sz w:val="24"/>
        </w:rPr>
        <w:t>（6）本基金投资股指期货合约、国债期货合约，一般以估值当日结算价进行估值，估值当日无结算价的，且最近交易日后经济环境未发生重大变化的，采用最近交易日结算价估值。</w:t>
      </w:r>
    </w:p>
    <w:p w14:paraId="7133E0CF">
      <w:pPr>
        <w:adjustRightInd w:val="0"/>
        <w:snapToGrid w:val="0"/>
        <w:spacing w:line="360" w:lineRule="auto"/>
        <w:ind w:firstLine="480" w:firstLineChars="200"/>
        <w:rPr>
          <w:rFonts w:ascii="Arial" w:hAnsi="Arial" w:cs="Arial"/>
          <w:sz w:val="24"/>
        </w:rPr>
      </w:pPr>
      <w:r>
        <w:rPr>
          <w:rFonts w:hint="eastAsia" w:ascii="Arial" w:hAnsi="Arial" w:cs="Arial"/>
          <w:sz w:val="24"/>
        </w:rPr>
        <w:t>（7）本基金投资股票期权，根据相关法律法规以及监管部门的规定估值。</w:t>
      </w:r>
    </w:p>
    <w:p w14:paraId="40695E64">
      <w:pPr>
        <w:adjustRightInd w:val="0"/>
        <w:snapToGrid w:val="0"/>
        <w:spacing w:line="360" w:lineRule="auto"/>
        <w:ind w:firstLine="480" w:firstLineChars="200"/>
        <w:rPr>
          <w:rFonts w:ascii="Arial" w:hAnsi="Arial" w:cs="Arial"/>
          <w:sz w:val="24"/>
        </w:rPr>
      </w:pPr>
      <w:r>
        <w:rPr>
          <w:rFonts w:hint="eastAsia" w:ascii="Arial" w:hAnsi="Arial" w:cs="Arial"/>
          <w:sz w:val="24"/>
        </w:rPr>
        <w:t>（8）本基金投资存托凭证的估值核算，依照境内上市交易的股票执行。</w:t>
      </w:r>
    </w:p>
    <w:p w14:paraId="1E7B9074">
      <w:pPr>
        <w:adjustRightInd w:val="0"/>
        <w:snapToGrid w:val="0"/>
        <w:spacing w:line="360" w:lineRule="auto"/>
        <w:ind w:firstLine="480" w:firstLineChars="200"/>
        <w:rPr>
          <w:rFonts w:ascii="Arial" w:hAnsi="Arial" w:cs="Arial"/>
          <w:sz w:val="24"/>
        </w:rPr>
      </w:pPr>
      <w:r>
        <w:rPr>
          <w:rFonts w:hint="eastAsia" w:ascii="Arial" w:hAnsi="Arial" w:cs="Arial"/>
          <w:sz w:val="24"/>
        </w:rPr>
        <w:t>（9）本基金参与融资及转融通证券出借业务的，应参照行业协会的相关规定进行估值，确保估值的公允性。</w:t>
      </w:r>
    </w:p>
    <w:p w14:paraId="789CDA85">
      <w:pPr>
        <w:adjustRightInd w:val="0"/>
        <w:snapToGrid w:val="0"/>
        <w:spacing w:line="360" w:lineRule="auto"/>
        <w:ind w:firstLine="480" w:firstLineChars="200"/>
        <w:rPr>
          <w:rFonts w:ascii="Arial" w:hAnsi="Arial" w:cs="Arial"/>
          <w:sz w:val="24"/>
        </w:rPr>
      </w:pPr>
      <w:r>
        <w:rPr>
          <w:rFonts w:hint="eastAsia" w:ascii="Arial" w:hAnsi="Arial" w:cs="Arial"/>
          <w:sz w:val="24"/>
        </w:rPr>
        <w:t>（10）汇率</w:t>
      </w:r>
    </w:p>
    <w:p w14:paraId="49FC5540">
      <w:pPr>
        <w:adjustRightInd w:val="0"/>
        <w:snapToGrid w:val="0"/>
        <w:spacing w:line="360" w:lineRule="auto"/>
        <w:ind w:firstLine="480" w:firstLineChars="200"/>
        <w:rPr>
          <w:rFonts w:ascii="Arial" w:hAnsi="Arial" w:cs="Arial"/>
          <w:sz w:val="24"/>
        </w:rPr>
      </w:pPr>
      <w:r>
        <w:rPr>
          <w:rFonts w:hint="eastAsia" w:ascii="Arial" w:hAnsi="Arial" w:cs="Arial"/>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02A869DF">
      <w:pPr>
        <w:adjustRightInd w:val="0"/>
        <w:snapToGrid w:val="0"/>
        <w:spacing w:line="360" w:lineRule="auto"/>
        <w:ind w:firstLine="480" w:firstLineChars="200"/>
        <w:rPr>
          <w:rFonts w:ascii="Arial" w:hAnsi="Arial" w:cs="Arial"/>
          <w:sz w:val="24"/>
        </w:rPr>
      </w:pPr>
      <w:r>
        <w:rPr>
          <w:rFonts w:hint="eastAsia" w:ascii="Arial" w:hAnsi="Arial" w:cs="Arial"/>
          <w:sz w:val="24"/>
        </w:rPr>
        <w:t>（11）当发生大额申购或赎回情形时，基金管理人可以采用摆动定价机制，以确保基金估值的公平性。具体处理原则与操作规范遵循相关法律法规以及监管部门、自律规则的规定。</w:t>
      </w:r>
    </w:p>
    <w:p w14:paraId="5A31A9C5">
      <w:pPr>
        <w:adjustRightInd w:val="0"/>
        <w:snapToGrid w:val="0"/>
        <w:spacing w:line="360" w:lineRule="auto"/>
        <w:ind w:firstLine="480" w:firstLineChars="200"/>
        <w:rPr>
          <w:rFonts w:ascii="Arial" w:hAnsi="Arial" w:cs="Arial"/>
          <w:sz w:val="24"/>
        </w:rPr>
      </w:pPr>
      <w:r>
        <w:rPr>
          <w:rFonts w:hint="eastAsia" w:ascii="Arial" w:hAnsi="Arial" w:cs="Arial"/>
          <w:sz w:val="24"/>
        </w:rPr>
        <w:t>（12）如有确凿证据表明按上述方法进行估值不能客观反映其公允价值的，基金管理人可根据具体情况与基金托管人商定后，按最能反映公允价值的价格估值。</w:t>
      </w:r>
    </w:p>
    <w:p w14:paraId="18D1C0FF">
      <w:pPr>
        <w:adjustRightInd w:val="0"/>
        <w:snapToGrid w:val="0"/>
        <w:spacing w:line="360" w:lineRule="auto"/>
        <w:ind w:firstLine="480" w:firstLineChars="200"/>
        <w:rPr>
          <w:rFonts w:ascii="Arial" w:hAnsi="Arial" w:cs="Arial"/>
          <w:sz w:val="24"/>
        </w:rPr>
      </w:pPr>
      <w:r>
        <w:rPr>
          <w:rFonts w:hint="eastAsia" w:ascii="Arial" w:hAnsi="Arial" w:cs="Arial"/>
          <w:sz w:val="24"/>
        </w:rPr>
        <w:t>（13）相关法律法规以及监管部门有强制规定的，从其规定。如有新增事项，按国家最新规定估值。</w:t>
      </w:r>
    </w:p>
    <w:p w14:paraId="38F4F6A7">
      <w:pPr>
        <w:adjustRightInd w:val="0"/>
        <w:snapToGrid w:val="0"/>
        <w:spacing w:line="360" w:lineRule="auto"/>
        <w:ind w:firstLine="480" w:firstLineChars="200"/>
        <w:rPr>
          <w:rFonts w:ascii="Arial" w:hAnsi="Arial" w:cs="Arial"/>
          <w:sz w:val="24"/>
        </w:rPr>
      </w:pPr>
      <w:r>
        <w:rPr>
          <w:rFonts w:hint="eastAsia" w:ascii="Arial" w:hAnsi="Arial" w:cs="Arial"/>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2907BE7">
      <w:pPr>
        <w:adjustRightInd w:val="0"/>
        <w:snapToGrid w:val="0"/>
        <w:spacing w:line="360" w:lineRule="auto"/>
        <w:ind w:firstLine="480" w:firstLineChars="200"/>
        <w:rPr>
          <w:rFonts w:ascii="Arial" w:hAnsi="Arial" w:cs="Arial"/>
          <w:sz w:val="24"/>
        </w:rPr>
      </w:pPr>
      <w:r>
        <w:rPr>
          <w:rFonts w:hint="eastAsia" w:ascii="Arial" w:hAnsi="Arial" w:cs="Arial"/>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5A8CC2F">
      <w:pPr>
        <w:spacing w:line="360" w:lineRule="auto"/>
        <w:ind w:firstLine="480" w:firstLineChars="200"/>
        <w:rPr>
          <w:rFonts w:ascii="Arial" w:hAnsi="Arial" w:cs="Arial"/>
          <w:sz w:val="24"/>
        </w:rPr>
      </w:pPr>
      <w:r>
        <w:rPr>
          <w:rFonts w:ascii="Arial" w:hAnsi="Arial" w:cs="Arial"/>
          <w:sz w:val="24"/>
        </w:rPr>
        <w:t>3、特殊情形的处理</w:t>
      </w:r>
    </w:p>
    <w:p w14:paraId="1DEE1CE1">
      <w:pPr>
        <w:spacing w:line="360" w:lineRule="auto"/>
        <w:ind w:firstLine="480" w:firstLineChars="200"/>
        <w:rPr>
          <w:rFonts w:ascii="Arial" w:hAnsi="Arial" w:cs="Arial"/>
          <w:sz w:val="24"/>
        </w:rPr>
      </w:pPr>
      <w:r>
        <w:rPr>
          <w:rFonts w:hint="eastAsia" w:ascii="Arial" w:hAnsi="Arial" w:cs="Arial"/>
          <w:sz w:val="24"/>
        </w:rPr>
        <w:t>1）基金管理人或基金托管人按估值方法的第（12）项进行估值时，所造成的误差不作为基金份额净值错误处理。</w:t>
      </w:r>
    </w:p>
    <w:p w14:paraId="4F666AB9">
      <w:pPr>
        <w:spacing w:line="360" w:lineRule="auto"/>
        <w:ind w:firstLine="480" w:firstLineChars="200"/>
        <w:rPr>
          <w:rFonts w:ascii="Arial" w:hAnsi="Arial" w:cs="Arial"/>
          <w:sz w:val="24"/>
        </w:rPr>
      </w:pPr>
      <w:r>
        <w:rPr>
          <w:rFonts w:hint="eastAsia" w:ascii="Arial" w:hAnsi="Arial" w:cs="Arial"/>
          <w:sz w:val="24"/>
        </w:rPr>
        <w:t>2）由于不可抗力原因，或由于证券、期货交易所、指数编制机构及登记结算公司等机构发送的数据错误等原因，基金管理人和基金托管人虽然已经采取必要、适当、合理的措施进行检查，但未能发现错误的，由此造成的基金财产估值错误，基金管理人和基金托管人免除赔偿责任。但基金管理人、基金托管人应当积极采取必要的措施消除或减轻由此造成的影响。</w:t>
      </w:r>
    </w:p>
    <w:p w14:paraId="6B85C834">
      <w:pPr>
        <w:spacing w:line="360" w:lineRule="auto"/>
        <w:ind w:firstLine="480" w:firstLineChars="200"/>
        <w:rPr>
          <w:rFonts w:ascii="Arial" w:hAnsi="Arial" w:cs="Arial"/>
          <w:sz w:val="24"/>
        </w:rPr>
      </w:pPr>
      <w:r>
        <w:rPr>
          <w:rFonts w:ascii="Arial" w:hAnsi="Arial" w:cs="Arial"/>
          <w:sz w:val="24"/>
        </w:rPr>
        <w:t>（三）基金份额净值错误的处理方式</w:t>
      </w:r>
    </w:p>
    <w:p w14:paraId="7F79DFE4">
      <w:pPr>
        <w:spacing w:line="360" w:lineRule="auto"/>
        <w:ind w:firstLine="480" w:firstLineChars="200"/>
        <w:rPr>
          <w:rFonts w:ascii="Arial" w:hAnsi="Arial" w:cs="Arial"/>
          <w:sz w:val="24"/>
        </w:rPr>
      </w:pPr>
      <w:r>
        <w:rPr>
          <w:rFonts w:ascii="Arial" w:hAnsi="Arial" w:cs="Arial"/>
          <w:sz w:val="24"/>
        </w:rPr>
        <w:t>1、当任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14:paraId="7A2C2C62">
      <w:pPr>
        <w:spacing w:line="360" w:lineRule="auto"/>
        <w:ind w:firstLine="480" w:firstLineChars="200"/>
        <w:rPr>
          <w:rFonts w:ascii="Arial" w:hAnsi="Arial" w:cs="Arial"/>
          <w:sz w:val="24"/>
        </w:rPr>
      </w:pPr>
      <w:r>
        <w:rPr>
          <w:rFonts w:ascii="Arial" w:hAnsi="Arial" w:cs="Arial"/>
          <w:sz w:val="24"/>
        </w:rPr>
        <w:t>2、当基金份额净值计算差错给基金和基金份额持有人造成损失需要进行赔偿时，基金管理人和基金托管人应根据实际情况界定双方承担的责任，经确认后按以下条款进行赔偿：</w:t>
      </w:r>
    </w:p>
    <w:p w14:paraId="58A1CF27">
      <w:pPr>
        <w:spacing w:line="360" w:lineRule="auto"/>
        <w:ind w:firstLine="480" w:firstLineChars="200"/>
        <w:rPr>
          <w:rFonts w:ascii="Arial" w:hAnsi="Arial" w:cs="Arial"/>
          <w:sz w:val="24"/>
        </w:rPr>
      </w:pPr>
      <w:r>
        <w:rPr>
          <w:rFonts w:ascii="Arial" w:hAnsi="Arial" w:cs="Arial"/>
          <w:sz w:val="24"/>
        </w:rPr>
        <w:t>（1）本基金的基金会计</w:t>
      </w:r>
      <w:r>
        <w:rPr>
          <w:rFonts w:hint="eastAsia" w:ascii="Arial" w:hAnsi="Arial" w:cs="Arial"/>
          <w:sz w:val="24"/>
        </w:rPr>
        <w:t>主</w:t>
      </w:r>
      <w:r>
        <w:rPr>
          <w:rFonts w:ascii="Arial" w:hAnsi="Arial" w:cs="Arial"/>
          <w:sz w:val="24"/>
        </w:rPr>
        <w:t>责任方由基金管理人担任，基金托管人承担复核责任。与本基金有关的会计问题，如经双方在平等基础上充分讨论后，尚不能达成一致时，按基金管理人的建议执行，由此给基金份额持有人和基金财产造成的损失，由基金管理人负责赔付。</w:t>
      </w:r>
    </w:p>
    <w:p w14:paraId="53BC8A2C">
      <w:pPr>
        <w:spacing w:line="360" w:lineRule="auto"/>
        <w:ind w:firstLine="480" w:firstLineChars="200"/>
        <w:rPr>
          <w:rFonts w:ascii="Arial" w:hAnsi="Arial" w:cs="Arial"/>
          <w:sz w:val="24"/>
        </w:rPr>
      </w:pPr>
      <w:r>
        <w:rPr>
          <w:rFonts w:ascii="Arial" w:hAnsi="Arial" w:cs="Arial"/>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14:paraId="1E6A4CF7">
      <w:pPr>
        <w:spacing w:line="360" w:lineRule="auto"/>
        <w:ind w:firstLine="480" w:firstLineChars="200"/>
        <w:rPr>
          <w:rFonts w:ascii="Arial" w:hAnsi="Arial" w:cs="Arial"/>
          <w:sz w:val="24"/>
        </w:rPr>
      </w:pPr>
      <w:r>
        <w:rPr>
          <w:rFonts w:ascii="Arial" w:hAnsi="Arial" w:cs="Arial"/>
          <w:sz w:val="24"/>
        </w:rPr>
        <w:t>（3）如基金管理人和基金托管人对基金份额净值计算结果，虽然多次重新计算和核对，尚不能达成一致时，为避免不能按时公布基金份额净值情形，以基金管理人的计算结果对外公布，由此给基金份额持有人和基金造成的损失，由基金管理人负责赔付，基金托管人不承担任何责任。</w:t>
      </w:r>
    </w:p>
    <w:p w14:paraId="3B420FB6">
      <w:pPr>
        <w:spacing w:line="360" w:lineRule="auto"/>
        <w:ind w:firstLine="480" w:firstLineChars="200"/>
        <w:rPr>
          <w:rFonts w:ascii="Arial" w:hAnsi="Arial" w:cs="Arial"/>
          <w:sz w:val="24"/>
        </w:rPr>
      </w:pPr>
      <w:r>
        <w:rPr>
          <w:rFonts w:ascii="Arial" w:hAnsi="Arial" w:cs="Arial"/>
          <w:sz w:val="24"/>
        </w:rPr>
        <w:t>（4）由于基金管理人提供的信息错误（包括但不限于基金申购或赎回金额等），进而导致基金份额净值计算错误而引起的基金份额持有人和基金财产的损失，由基金管理人负责赔付，基金托管人不承担任何责任。</w:t>
      </w:r>
    </w:p>
    <w:p w14:paraId="45AD13EE">
      <w:pPr>
        <w:spacing w:line="360" w:lineRule="auto"/>
        <w:ind w:firstLine="480" w:firstLineChars="200"/>
        <w:rPr>
          <w:rFonts w:ascii="Arial" w:hAnsi="Arial" w:cs="Arial"/>
          <w:sz w:val="24"/>
        </w:rPr>
      </w:pPr>
      <w:r>
        <w:rPr>
          <w:rFonts w:ascii="Arial" w:hAnsi="Arial" w:cs="Arial"/>
          <w:sz w:val="24"/>
        </w:rPr>
        <w:t>3、</w:t>
      </w:r>
      <w:r>
        <w:rPr>
          <w:rFonts w:hint="eastAsia" w:ascii="Arial" w:hAnsi="Arial" w:cs="Arial"/>
          <w:sz w:val="24"/>
        </w:rPr>
        <w:t>基金管理人和基金托管人由于各自技术系统设置而产生的净值计算尾差，以基金管理人计算结果为准。</w:t>
      </w:r>
    </w:p>
    <w:p w14:paraId="427E08B5">
      <w:pPr>
        <w:spacing w:line="360" w:lineRule="auto"/>
        <w:ind w:firstLine="480" w:firstLineChars="200"/>
        <w:rPr>
          <w:rFonts w:ascii="Arial" w:hAnsi="Arial" w:cs="Arial"/>
          <w:sz w:val="24"/>
        </w:rPr>
      </w:pPr>
      <w:r>
        <w:rPr>
          <w:rFonts w:hint="eastAsia" w:ascii="Arial" w:hAnsi="Arial" w:cs="Arial"/>
          <w:sz w:val="24"/>
        </w:rPr>
        <w:t>4、</w:t>
      </w:r>
      <w:r>
        <w:rPr>
          <w:rFonts w:ascii="Arial" w:hAnsi="Arial" w:cs="Arial"/>
          <w:sz w:val="24"/>
        </w:rPr>
        <w:t>前述内容如法律法规或者监管</w:t>
      </w:r>
      <w:r>
        <w:rPr>
          <w:rFonts w:hint="eastAsia" w:ascii="Arial" w:hAnsi="Arial" w:cs="Arial"/>
          <w:sz w:val="24"/>
        </w:rPr>
        <w:t>机关</w:t>
      </w:r>
      <w:r>
        <w:rPr>
          <w:rFonts w:ascii="Arial" w:hAnsi="Arial" w:cs="Arial"/>
          <w:sz w:val="24"/>
        </w:rPr>
        <w:t>另有规定的，从其规定</w:t>
      </w:r>
      <w:r>
        <w:rPr>
          <w:rFonts w:hint="eastAsia" w:ascii="Arial" w:hAnsi="Arial" w:cs="Arial"/>
          <w:sz w:val="24"/>
        </w:rPr>
        <w:t>处理</w:t>
      </w:r>
      <w:r>
        <w:rPr>
          <w:rFonts w:ascii="Arial" w:hAnsi="Arial" w:cs="Arial"/>
          <w:sz w:val="24"/>
        </w:rPr>
        <w:t>。</w:t>
      </w:r>
      <w:r>
        <w:rPr>
          <w:rFonts w:hint="eastAsia" w:ascii="Arial" w:hAnsi="Arial" w:cs="Arial"/>
          <w:sz w:val="24"/>
        </w:rPr>
        <w:t>如果行业另有通行做法，基金管理人、基金托管人应本着平等和保护基金份额持有人利益的原则进行协商。</w:t>
      </w:r>
    </w:p>
    <w:p w14:paraId="535DA84F">
      <w:pPr>
        <w:spacing w:line="360" w:lineRule="auto"/>
        <w:ind w:firstLine="480" w:firstLineChars="200"/>
        <w:rPr>
          <w:rFonts w:ascii="Arial" w:hAnsi="Arial" w:cs="Arial"/>
          <w:sz w:val="24"/>
        </w:rPr>
      </w:pPr>
      <w:r>
        <w:rPr>
          <w:rFonts w:ascii="Arial" w:hAnsi="Arial" w:cs="Arial"/>
          <w:sz w:val="24"/>
        </w:rPr>
        <w:t>（四）暂停估值的情形</w:t>
      </w:r>
    </w:p>
    <w:p w14:paraId="10BBCC63">
      <w:pPr>
        <w:spacing w:line="360" w:lineRule="auto"/>
        <w:ind w:firstLine="480" w:firstLineChars="200"/>
        <w:rPr>
          <w:bCs/>
          <w:sz w:val="24"/>
        </w:rPr>
      </w:pPr>
      <w:r>
        <w:rPr>
          <w:rFonts w:hint="eastAsia"/>
          <w:bCs/>
          <w:sz w:val="24"/>
        </w:rPr>
        <w:t>1、基金投资所涉及的证券、期货交易所或外汇市场遇法定节假日或因其他原因暂停营业时；</w:t>
      </w:r>
    </w:p>
    <w:p w14:paraId="72D2062C">
      <w:pPr>
        <w:spacing w:line="360" w:lineRule="auto"/>
        <w:ind w:firstLine="480" w:firstLineChars="200"/>
        <w:rPr>
          <w:bCs/>
          <w:sz w:val="24"/>
        </w:rPr>
      </w:pPr>
      <w:r>
        <w:rPr>
          <w:rFonts w:hint="eastAsia"/>
          <w:bCs/>
          <w:sz w:val="24"/>
        </w:rPr>
        <w:t>2、因不可抗力致使基金管理人、基金托管人无法准确评估基金资产价值时；</w:t>
      </w:r>
    </w:p>
    <w:p w14:paraId="6935E25B">
      <w:pPr>
        <w:spacing w:line="360" w:lineRule="auto"/>
        <w:ind w:firstLine="480" w:firstLineChars="200"/>
        <w:rPr>
          <w:bCs/>
          <w:sz w:val="24"/>
        </w:rPr>
      </w:pPr>
      <w:r>
        <w:rPr>
          <w:rFonts w:hint="eastAsia"/>
          <w:bCs/>
          <w:sz w:val="24"/>
        </w:rPr>
        <w:t>3、所投资的目标ETF暂停估值、暂停公告基金份额净值时；</w:t>
      </w:r>
    </w:p>
    <w:p w14:paraId="00CB00D2">
      <w:pPr>
        <w:spacing w:line="360" w:lineRule="auto"/>
        <w:ind w:firstLine="480" w:firstLineChars="200"/>
        <w:rPr>
          <w:bCs/>
          <w:sz w:val="24"/>
        </w:rPr>
      </w:pPr>
      <w:r>
        <w:rPr>
          <w:rFonts w:hint="eastAsia"/>
          <w:bCs/>
          <w:sz w:val="24"/>
        </w:rPr>
        <w:t>4、当特定资产占前一估值日基金资产净值50%以上的，经与基金托管人协商确认后，基金管理人应当暂停估值；</w:t>
      </w:r>
    </w:p>
    <w:p w14:paraId="0E9FBC45">
      <w:pPr>
        <w:spacing w:line="360" w:lineRule="auto"/>
        <w:ind w:firstLine="480" w:firstLineChars="200"/>
        <w:rPr>
          <w:bCs/>
          <w:sz w:val="24"/>
        </w:rPr>
      </w:pPr>
      <w:r>
        <w:rPr>
          <w:rFonts w:hint="eastAsia"/>
          <w:bCs/>
          <w:sz w:val="24"/>
        </w:rPr>
        <w:t>5、中国证监会和基金合同认定的其他情形。</w:t>
      </w:r>
    </w:p>
    <w:p w14:paraId="25BDE126">
      <w:pPr>
        <w:spacing w:line="360" w:lineRule="auto"/>
        <w:ind w:firstLine="480" w:firstLineChars="200"/>
        <w:rPr>
          <w:rFonts w:ascii="Arial" w:hAnsi="Arial" w:cs="Arial"/>
          <w:sz w:val="24"/>
        </w:rPr>
      </w:pPr>
      <w:r>
        <w:rPr>
          <w:rFonts w:ascii="Arial" w:hAnsi="Arial" w:cs="Arial"/>
          <w:sz w:val="24"/>
        </w:rPr>
        <w:t>（五）基金会计制度</w:t>
      </w:r>
    </w:p>
    <w:p w14:paraId="2096321C">
      <w:pPr>
        <w:spacing w:line="360" w:lineRule="auto"/>
        <w:ind w:firstLine="480" w:firstLineChars="200"/>
        <w:rPr>
          <w:rFonts w:ascii="Arial" w:hAnsi="Arial" w:cs="Arial"/>
          <w:sz w:val="24"/>
        </w:rPr>
      </w:pPr>
      <w:r>
        <w:rPr>
          <w:rFonts w:ascii="Arial" w:hAnsi="Arial" w:cs="Arial"/>
          <w:sz w:val="24"/>
        </w:rPr>
        <w:t>按国家有关部门规定的会计制度执行。</w:t>
      </w:r>
    </w:p>
    <w:p w14:paraId="54872C9A">
      <w:pPr>
        <w:spacing w:line="360" w:lineRule="auto"/>
        <w:ind w:firstLine="480" w:firstLineChars="200"/>
        <w:rPr>
          <w:rFonts w:ascii="Arial" w:hAnsi="Arial" w:cs="Arial"/>
          <w:sz w:val="24"/>
        </w:rPr>
      </w:pPr>
      <w:r>
        <w:rPr>
          <w:rFonts w:ascii="Arial" w:hAnsi="Arial" w:cs="Arial"/>
          <w:sz w:val="24"/>
        </w:rPr>
        <w:t>（六）基金账册的建立</w:t>
      </w:r>
    </w:p>
    <w:p w14:paraId="432DE1E9">
      <w:pPr>
        <w:spacing w:line="360" w:lineRule="auto"/>
        <w:ind w:firstLine="480" w:firstLineChars="200"/>
        <w:rPr>
          <w:rFonts w:ascii="Arial" w:hAnsi="Arial" w:cs="Arial"/>
          <w:sz w:val="24"/>
        </w:rPr>
      </w:pPr>
      <w:r>
        <w:rPr>
          <w:rFonts w:ascii="Arial" w:hAnsi="Arial" w:cs="Arial"/>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w:t>
      </w:r>
    </w:p>
    <w:p w14:paraId="7F5A2BA1">
      <w:pPr>
        <w:spacing w:line="360" w:lineRule="auto"/>
        <w:ind w:firstLine="480" w:firstLineChars="200"/>
        <w:rPr>
          <w:rFonts w:ascii="Arial" w:hAnsi="Arial" w:cs="Arial"/>
          <w:sz w:val="24"/>
        </w:rPr>
      </w:pPr>
      <w:r>
        <w:rPr>
          <w:rFonts w:ascii="Arial" w:hAnsi="Arial" w:cs="Arial"/>
          <w:sz w:val="24"/>
        </w:rPr>
        <w:t>（七）基金财务报表与报告的编制和复核</w:t>
      </w:r>
    </w:p>
    <w:p w14:paraId="6D0812BF">
      <w:pPr>
        <w:spacing w:line="360" w:lineRule="auto"/>
        <w:ind w:firstLine="480" w:firstLineChars="200"/>
        <w:rPr>
          <w:rFonts w:ascii="Arial" w:hAnsi="Arial" w:cs="Arial"/>
          <w:sz w:val="24"/>
        </w:rPr>
      </w:pPr>
      <w:r>
        <w:rPr>
          <w:rFonts w:ascii="Arial" w:hAnsi="Arial" w:cs="Arial"/>
          <w:sz w:val="24"/>
        </w:rPr>
        <w:t>1、财务报表的编制</w:t>
      </w:r>
    </w:p>
    <w:p w14:paraId="3F1CD97B">
      <w:pPr>
        <w:spacing w:line="360" w:lineRule="auto"/>
        <w:ind w:firstLine="480" w:firstLineChars="200"/>
        <w:rPr>
          <w:rFonts w:ascii="Arial" w:hAnsi="Arial" w:cs="Arial"/>
          <w:sz w:val="24"/>
        </w:rPr>
      </w:pPr>
      <w:r>
        <w:rPr>
          <w:rFonts w:ascii="Arial" w:hAnsi="Arial" w:cs="Arial"/>
          <w:sz w:val="24"/>
        </w:rPr>
        <w:t>基金财务报表由基金管理人编制，基金托管人复核。</w:t>
      </w:r>
    </w:p>
    <w:p w14:paraId="296ADCF2">
      <w:pPr>
        <w:spacing w:line="360" w:lineRule="auto"/>
        <w:ind w:firstLine="480" w:firstLineChars="200"/>
        <w:rPr>
          <w:rFonts w:ascii="Arial" w:hAnsi="Arial" w:cs="Arial"/>
          <w:sz w:val="24"/>
        </w:rPr>
      </w:pPr>
      <w:r>
        <w:rPr>
          <w:rFonts w:ascii="Arial" w:hAnsi="Arial" w:cs="Arial"/>
          <w:sz w:val="24"/>
        </w:rPr>
        <w:t>2、报表复核</w:t>
      </w:r>
    </w:p>
    <w:p w14:paraId="20E02725">
      <w:pPr>
        <w:spacing w:line="360" w:lineRule="auto"/>
        <w:ind w:firstLine="480" w:firstLineChars="200"/>
        <w:rPr>
          <w:rFonts w:ascii="Arial" w:hAnsi="Arial" w:cs="Arial"/>
          <w:sz w:val="24"/>
        </w:rPr>
      </w:pPr>
      <w:r>
        <w:rPr>
          <w:rFonts w:ascii="Arial" w:hAnsi="Arial" w:cs="Arial"/>
          <w:sz w:val="24"/>
        </w:rPr>
        <w:t>基金托管人在收到基金管理人编制的基金财务报表后，进行独立的复核。核对不符时，应及时通知基金管理人共同查出原因，进行调整，直至双方数据完全一致。</w:t>
      </w:r>
    </w:p>
    <w:p w14:paraId="738AFEED">
      <w:pPr>
        <w:spacing w:line="360" w:lineRule="auto"/>
        <w:ind w:firstLine="480" w:firstLineChars="200"/>
        <w:rPr>
          <w:rFonts w:ascii="Arial" w:hAnsi="Arial" w:cs="Arial"/>
          <w:sz w:val="24"/>
        </w:rPr>
      </w:pPr>
      <w:r>
        <w:rPr>
          <w:rFonts w:ascii="Arial" w:hAnsi="Arial" w:cs="Arial"/>
          <w:sz w:val="24"/>
        </w:rPr>
        <w:t>3、财务报表的编制与复核时间安排</w:t>
      </w:r>
    </w:p>
    <w:p w14:paraId="007B197B">
      <w:pPr>
        <w:spacing w:line="360" w:lineRule="auto"/>
        <w:ind w:firstLine="480" w:firstLineChars="200"/>
        <w:rPr>
          <w:rFonts w:ascii="Arial" w:hAnsi="Arial" w:cs="Arial"/>
          <w:sz w:val="24"/>
        </w:rPr>
      </w:pPr>
      <w:r>
        <w:rPr>
          <w:rFonts w:ascii="Arial" w:hAnsi="Arial" w:cs="Arial"/>
          <w:sz w:val="24"/>
        </w:rPr>
        <w:t>（1）报表的编制</w:t>
      </w:r>
    </w:p>
    <w:p w14:paraId="72D8CC57">
      <w:pPr>
        <w:spacing w:line="360" w:lineRule="auto"/>
        <w:ind w:firstLine="480" w:firstLineChars="200"/>
        <w:rPr>
          <w:rFonts w:ascii="Arial" w:hAnsi="Arial" w:cs="Arial"/>
          <w:sz w:val="24"/>
        </w:rPr>
      </w:pPr>
      <w:r>
        <w:rPr>
          <w:rFonts w:ascii="Arial" w:hAnsi="Arial" w:cs="Arial"/>
          <w:sz w:val="24"/>
        </w:rPr>
        <w:t>基金管理人应当</w:t>
      </w:r>
      <w:r>
        <w:rPr>
          <w:rFonts w:hint="eastAsia" w:ascii="Arial" w:hAnsi="Arial" w:cs="Arial"/>
          <w:sz w:val="24"/>
        </w:rPr>
        <w:t>在</w:t>
      </w:r>
      <w:r>
        <w:rPr>
          <w:rFonts w:ascii="Arial" w:hAnsi="Arial" w:cs="Arial"/>
          <w:sz w:val="24"/>
        </w:rPr>
        <w:t>季度结束之日起15个工作日内完成基金季度报告的编制；在上半年结束之日起</w:t>
      </w:r>
      <w:r>
        <w:rPr>
          <w:rFonts w:hint="eastAsia" w:ascii="Arial" w:hAnsi="Arial" w:cs="Arial"/>
          <w:sz w:val="24"/>
        </w:rPr>
        <w:t>两个月</w:t>
      </w:r>
      <w:r>
        <w:rPr>
          <w:rFonts w:ascii="Arial" w:hAnsi="Arial" w:cs="Arial"/>
          <w:sz w:val="24"/>
        </w:rPr>
        <w:t>内完成基金</w:t>
      </w:r>
      <w:r>
        <w:rPr>
          <w:rFonts w:hint="eastAsia" w:ascii="Arial" w:hAnsi="Arial" w:cs="Arial"/>
          <w:sz w:val="24"/>
        </w:rPr>
        <w:t>中期</w:t>
      </w:r>
      <w:r>
        <w:rPr>
          <w:rFonts w:ascii="Arial" w:hAnsi="Arial" w:cs="Arial"/>
          <w:sz w:val="24"/>
        </w:rPr>
        <w:t>报告的编制；在每年结束之日起</w:t>
      </w:r>
      <w:r>
        <w:rPr>
          <w:rFonts w:hint="eastAsia" w:ascii="Arial" w:hAnsi="Arial" w:cs="Arial"/>
          <w:sz w:val="24"/>
        </w:rPr>
        <w:t>三个月</w:t>
      </w:r>
      <w:r>
        <w:rPr>
          <w:rFonts w:ascii="Arial" w:hAnsi="Arial" w:cs="Arial"/>
          <w:sz w:val="24"/>
        </w:rPr>
        <w:t>内完成基金年度报告的编制。基金年度报告的财务会计报告应当经过</w:t>
      </w:r>
      <w:r>
        <w:rPr>
          <w:rFonts w:hint="eastAsia" w:ascii="Arial" w:hAnsi="Arial" w:cs="Arial"/>
          <w:sz w:val="24"/>
        </w:rPr>
        <w:t>符合《证券法》规定的会计师事务所</w:t>
      </w:r>
      <w:r>
        <w:rPr>
          <w:rFonts w:ascii="Arial" w:hAnsi="Arial" w:cs="Arial"/>
          <w:sz w:val="24"/>
        </w:rPr>
        <w:t>审计。《基金合同》生效不足两个月的，基金管理人可以不编制当期季度报告、</w:t>
      </w:r>
      <w:r>
        <w:rPr>
          <w:rFonts w:hint="eastAsia" w:ascii="Arial" w:hAnsi="Arial" w:cs="Arial"/>
          <w:sz w:val="24"/>
        </w:rPr>
        <w:t>中期</w:t>
      </w:r>
      <w:r>
        <w:rPr>
          <w:rFonts w:ascii="Arial" w:hAnsi="Arial" w:cs="Arial"/>
          <w:sz w:val="24"/>
        </w:rPr>
        <w:t>报告或者年度报告。</w:t>
      </w:r>
    </w:p>
    <w:p w14:paraId="7F948BF5">
      <w:pPr>
        <w:spacing w:line="360" w:lineRule="auto"/>
        <w:ind w:firstLine="480" w:firstLineChars="200"/>
        <w:rPr>
          <w:rFonts w:ascii="Arial" w:hAnsi="Arial" w:cs="Arial"/>
          <w:sz w:val="24"/>
        </w:rPr>
      </w:pPr>
      <w:r>
        <w:rPr>
          <w:rFonts w:ascii="Arial" w:hAnsi="Arial" w:cs="Arial"/>
          <w:sz w:val="24"/>
        </w:rPr>
        <w:t>（2）报表的复核</w:t>
      </w:r>
    </w:p>
    <w:p w14:paraId="4D759762">
      <w:pPr>
        <w:spacing w:line="360" w:lineRule="auto"/>
        <w:ind w:firstLine="480" w:firstLineChars="200"/>
        <w:rPr>
          <w:rFonts w:ascii="Arial" w:hAnsi="Arial" w:cs="Arial"/>
          <w:sz w:val="24"/>
        </w:rPr>
      </w:pPr>
      <w:r>
        <w:rPr>
          <w:rFonts w:ascii="Arial" w:hAnsi="Arial" w:cs="Arial"/>
          <w:sz w:val="24"/>
        </w:rPr>
        <w:t>基金管理人在季度</w:t>
      </w:r>
      <w:r>
        <w:rPr>
          <w:rFonts w:hint="eastAsia" w:ascii="Arial" w:hAnsi="Arial" w:cs="Arial"/>
          <w:sz w:val="24"/>
        </w:rPr>
        <w:t>报告完成后</w:t>
      </w:r>
      <w:r>
        <w:rPr>
          <w:rFonts w:ascii="Arial" w:hAnsi="Arial" w:cs="Arial"/>
          <w:sz w:val="24"/>
        </w:rPr>
        <w:t>，将有关报告提供给基金托管人复核，基金托管人应在收到后7个工作日内完成复核，并将复核结果书面通知基金管理人。基金管理人在</w:t>
      </w:r>
      <w:r>
        <w:rPr>
          <w:rFonts w:hint="eastAsia" w:ascii="Arial" w:hAnsi="Arial" w:cs="Arial"/>
          <w:sz w:val="24"/>
        </w:rPr>
        <w:t>中期报告完成后</w:t>
      </w:r>
      <w:r>
        <w:rPr>
          <w:rFonts w:ascii="Arial" w:hAnsi="Arial" w:cs="Arial"/>
          <w:sz w:val="24"/>
        </w:rPr>
        <w:t>，将有关报告提供给基金托管人复核，基金托管人应在收到后30日内完成复核，并将复核结果书面通知基金管理人。基金管理人在年度</w:t>
      </w:r>
      <w:r>
        <w:rPr>
          <w:rFonts w:hint="eastAsia" w:ascii="Arial" w:hAnsi="Arial" w:cs="Arial"/>
          <w:sz w:val="24"/>
        </w:rPr>
        <w:t>报告完成后</w:t>
      </w:r>
      <w:r>
        <w:rPr>
          <w:rFonts w:ascii="Arial" w:hAnsi="Arial" w:cs="Arial"/>
          <w:sz w:val="24"/>
        </w:rPr>
        <w:t>，将有关报告提供基金托管人复核，基金托管人应在收到后45日内完成复核，并将复核结果书面通知基金管理人。基金管理人和基金托管人之间的上述文件往来均以传真的方式或双方商定的其他方式进行。</w:t>
      </w:r>
    </w:p>
    <w:p w14:paraId="20D8FDA7">
      <w:pPr>
        <w:spacing w:line="360" w:lineRule="auto"/>
        <w:ind w:firstLine="480" w:firstLineChars="200"/>
        <w:rPr>
          <w:rFonts w:ascii="Arial" w:hAnsi="Arial" w:cs="Arial"/>
          <w:sz w:val="24"/>
        </w:rPr>
      </w:pPr>
      <w:r>
        <w:rPr>
          <w:rFonts w:ascii="Arial" w:hAnsi="Arial" w:cs="Arial"/>
          <w:sz w:val="24"/>
        </w:rPr>
        <w:t>基金托管人在复核过程中，发现双方的报表存在不符时，基金管理人和基金托管人应共同查明原因，进行调整，调整以国家有关规定为准；若双方无法达成一致，以基金管理人的账务处理为准。如果基金管理人与基金托管人不能于应当发布公告之日之前就相关报表达成一致，基金管理人有权按照其编制的报表对外发布公告</w:t>
      </w:r>
      <w:r>
        <w:rPr>
          <w:rFonts w:hint="eastAsia" w:ascii="Arial" w:hAnsi="Arial" w:cs="Arial"/>
          <w:sz w:val="24"/>
        </w:rPr>
        <w:t>，由此产生的信息披露错误，基金托管人不承担责任，基金托管人有权就相关情况报证监会备案</w:t>
      </w:r>
      <w:r>
        <w:rPr>
          <w:rFonts w:ascii="Arial" w:hAnsi="Arial" w:cs="Arial"/>
          <w:sz w:val="24"/>
        </w:rPr>
        <w:t>。</w:t>
      </w:r>
    </w:p>
    <w:p w14:paraId="1C71AE51">
      <w:pPr>
        <w:spacing w:line="360" w:lineRule="auto"/>
        <w:ind w:firstLine="480" w:firstLineChars="200"/>
        <w:rPr>
          <w:rFonts w:ascii="Arial" w:hAnsi="Arial" w:cs="Arial"/>
          <w:sz w:val="24"/>
        </w:rPr>
      </w:pPr>
      <w:r>
        <w:rPr>
          <w:rFonts w:ascii="Arial" w:hAnsi="Arial" w:cs="Arial"/>
          <w:sz w:val="24"/>
        </w:rPr>
        <w:t>（八）基金管理人应在编制季度报告、</w:t>
      </w:r>
      <w:r>
        <w:rPr>
          <w:rFonts w:hint="eastAsia" w:ascii="Arial" w:hAnsi="Arial" w:cs="Arial"/>
          <w:sz w:val="24"/>
        </w:rPr>
        <w:t>中期</w:t>
      </w:r>
      <w:r>
        <w:rPr>
          <w:rFonts w:ascii="Arial" w:hAnsi="Arial" w:cs="Arial"/>
          <w:sz w:val="24"/>
        </w:rPr>
        <w:t>报告或者年度报告之前及时向基金托管人提供基金业绩比较基准的基础数据和编制结果。</w:t>
      </w:r>
    </w:p>
    <w:p w14:paraId="719195CC">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End w:id="88"/>
      <w:bookmarkEnd w:id="89"/>
      <w:bookmarkEnd w:id="90"/>
      <w:bookmarkEnd w:id="91"/>
      <w:bookmarkStart w:id="92" w:name="_Toc466378884"/>
      <w:bookmarkStart w:id="93" w:name="_Toc466464095"/>
      <w:bookmarkStart w:id="94" w:name="_Toc124749944"/>
      <w:bookmarkStart w:id="95" w:name="_Toc125361081"/>
      <w:bookmarkStart w:id="96" w:name="_Toc140002344"/>
      <w:bookmarkStart w:id="97" w:name="_Toc123626175"/>
      <w:bookmarkStart w:id="98" w:name="_Toc124749233"/>
      <w:bookmarkStart w:id="99" w:name="_Toc290284051"/>
      <w:bookmarkStart w:id="100" w:name="_Toc283383022"/>
      <w:r>
        <w:rPr>
          <w:rFonts w:ascii="Arial" w:hAnsi="Arial" w:cs="Arial"/>
          <w:bCs w:val="0"/>
          <w:kern w:val="0"/>
          <w:szCs w:val="30"/>
          <w:lang w:val="en-US"/>
        </w:rPr>
        <w:t>第九部分 基金收益分配</w:t>
      </w:r>
      <w:bookmarkEnd w:id="92"/>
      <w:bookmarkEnd w:id="93"/>
    </w:p>
    <w:bookmarkEnd w:id="94"/>
    <w:bookmarkEnd w:id="95"/>
    <w:bookmarkEnd w:id="96"/>
    <w:bookmarkEnd w:id="97"/>
    <w:bookmarkEnd w:id="98"/>
    <w:bookmarkEnd w:id="99"/>
    <w:bookmarkEnd w:id="100"/>
    <w:p w14:paraId="05FAB79A">
      <w:pPr>
        <w:spacing w:line="360" w:lineRule="auto"/>
        <w:ind w:firstLine="480" w:firstLineChars="200"/>
        <w:rPr>
          <w:rFonts w:ascii="Arial" w:hAnsi="Arial" w:cs="Arial"/>
          <w:sz w:val="24"/>
        </w:rPr>
      </w:pPr>
      <w:r>
        <w:rPr>
          <w:rFonts w:ascii="Arial" w:hAnsi="Arial" w:cs="Arial"/>
          <w:sz w:val="24"/>
        </w:rPr>
        <w:t>基金收益分配是指按规定将基金的可分配收益按基金份额进行比例分配。</w:t>
      </w:r>
    </w:p>
    <w:p w14:paraId="3BA789B1">
      <w:pPr>
        <w:spacing w:line="360" w:lineRule="auto"/>
        <w:ind w:firstLine="480" w:firstLineChars="200"/>
        <w:rPr>
          <w:rFonts w:ascii="Arial" w:hAnsi="Arial" w:cs="Arial"/>
          <w:sz w:val="24"/>
        </w:rPr>
      </w:pPr>
      <w:r>
        <w:rPr>
          <w:rFonts w:ascii="Arial" w:hAnsi="Arial" w:cs="Arial"/>
          <w:sz w:val="24"/>
        </w:rPr>
        <w:t>（一）基金收益分配的原则</w:t>
      </w:r>
    </w:p>
    <w:p w14:paraId="18C94B4C">
      <w:pPr>
        <w:spacing w:line="360" w:lineRule="auto"/>
        <w:ind w:firstLine="480" w:firstLineChars="200"/>
        <w:rPr>
          <w:rFonts w:ascii="Arial" w:hAnsi="Arial" w:cs="Arial"/>
          <w:sz w:val="24"/>
        </w:rPr>
      </w:pPr>
      <w:r>
        <w:rPr>
          <w:rFonts w:ascii="Arial" w:hAnsi="Arial" w:cs="Arial"/>
          <w:sz w:val="24"/>
        </w:rPr>
        <w:t>基金收益分配应遵循下列原则：</w:t>
      </w:r>
    </w:p>
    <w:p w14:paraId="309607C8">
      <w:pPr>
        <w:spacing w:line="360" w:lineRule="auto"/>
        <w:ind w:firstLine="480" w:firstLineChars="200"/>
        <w:rPr>
          <w:bCs/>
          <w:sz w:val="24"/>
        </w:rPr>
      </w:pPr>
      <w:r>
        <w:rPr>
          <w:rFonts w:hint="eastAsia"/>
          <w:bCs/>
          <w:sz w:val="24"/>
        </w:rPr>
        <w:t>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0212A548">
      <w:pPr>
        <w:spacing w:line="360" w:lineRule="auto"/>
        <w:ind w:firstLine="480" w:firstLineChars="200"/>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6BA2C57D">
      <w:pPr>
        <w:spacing w:line="360" w:lineRule="auto"/>
        <w:ind w:firstLine="480" w:firstLineChars="200"/>
        <w:rPr>
          <w:bCs/>
          <w:sz w:val="24"/>
        </w:rPr>
      </w:pPr>
      <w:r>
        <w:rPr>
          <w:rFonts w:hint="eastAsia"/>
          <w:bCs/>
          <w:sz w:val="24"/>
        </w:rPr>
        <w:t>3、由于本基金A类基金份额不收取销售服务费，C类基金份额收取销售服务费，各基金份额类别对应的可分配收益将有所不同。本基金同一类别每一基金份额享有同等分配权；</w:t>
      </w:r>
    </w:p>
    <w:p w14:paraId="5BCE771D">
      <w:pPr>
        <w:spacing w:line="360" w:lineRule="auto"/>
        <w:ind w:firstLine="480" w:firstLineChars="200"/>
        <w:rPr>
          <w:bCs/>
          <w:sz w:val="24"/>
        </w:rPr>
      </w:pPr>
      <w:r>
        <w:rPr>
          <w:rFonts w:hint="eastAsia"/>
          <w:bCs/>
          <w:sz w:val="24"/>
        </w:rPr>
        <w:t>4、法律法规或监管机关另有规定的，从其规定。</w:t>
      </w:r>
    </w:p>
    <w:p w14:paraId="44732629">
      <w:pPr>
        <w:spacing w:line="360" w:lineRule="auto"/>
        <w:ind w:firstLine="480" w:firstLineChars="200"/>
        <w:rPr>
          <w:bCs/>
          <w:sz w:val="24"/>
        </w:rPr>
      </w:pPr>
      <w:r>
        <w:rPr>
          <w:rFonts w:hint="eastAsia"/>
          <w:bCs/>
          <w:sz w:val="24"/>
        </w:rPr>
        <w:t>在不违反法律法规且对基金份额持有人利益无实质性不利影响的前提下，基金管理人可对基金收益分配的有关业务规则进行调整，并及时公告，此项调整不需要召开基金份额持有人大会。</w:t>
      </w:r>
    </w:p>
    <w:p w14:paraId="5B7450FC">
      <w:pPr>
        <w:spacing w:line="360" w:lineRule="auto"/>
        <w:ind w:firstLine="480" w:firstLineChars="200"/>
        <w:rPr>
          <w:rFonts w:ascii="Arial" w:hAnsi="Arial" w:cs="Arial"/>
          <w:sz w:val="24"/>
        </w:rPr>
      </w:pPr>
      <w:r>
        <w:rPr>
          <w:rFonts w:ascii="Arial" w:hAnsi="Arial" w:cs="Arial"/>
          <w:sz w:val="24"/>
        </w:rPr>
        <w:t>（二）基金收益分配的时间和程序</w:t>
      </w:r>
    </w:p>
    <w:p w14:paraId="26F3768D">
      <w:pPr>
        <w:spacing w:line="360" w:lineRule="auto"/>
        <w:ind w:firstLine="480" w:firstLineChars="200"/>
        <w:rPr>
          <w:rFonts w:ascii="Arial" w:hAnsi="Arial" w:cs="Arial"/>
          <w:sz w:val="24"/>
        </w:rPr>
      </w:pPr>
      <w:r>
        <w:rPr>
          <w:rFonts w:ascii="Arial" w:hAnsi="Arial" w:cs="Arial"/>
          <w:sz w:val="24"/>
        </w:rPr>
        <w:t>本基金收益分配方案由基金管理人拟订，并由基金托管人复核，</w:t>
      </w:r>
      <w:r>
        <w:rPr>
          <w:rFonts w:hint="eastAsia" w:ascii="Arial" w:hAnsi="Arial" w:cs="Arial"/>
          <w:sz w:val="24"/>
        </w:rPr>
        <w:t>依照《信息披露办法》</w:t>
      </w:r>
      <w:r>
        <w:rPr>
          <w:rFonts w:ascii="Arial" w:hAnsi="Arial" w:cs="Arial"/>
          <w:sz w:val="24"/>
        </w:rPr>
        <w:t>在规定媒介公告。</w:t>
      </w:r>
    </w:p>
    <w:p w14:paraId="5C57AFA2">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01" w:name="_Toc466464096"/>
      <w:bookmarkStart w:id="102" w:name="_Toc466378885"/>
      <w:r>
        <w:rPr>
          <w:rFonts w:ascii="Arial" w:hAnsi="Arial" w:cs="Arial"/>
          <w:bCs w:val="0"/>
          <w:kern w:val="0"/>
          <w:szCs w:val="30"/>
          <w:lang w:val="en-US"/>
        </w:rPr>
        <w:t>第十部分 基金信息披露</w:t>
      </w:r>
      <w:bookmarkEnd w:id="101"/>
      <w:bookmarkEnd w:id="102"/>
    </w:p>
    <w:p w14:paraId="15EDC23F">
      <w:pPr>
        <w:spacing w:line="360" w:lineRule="auto"/>
        <w:ind w:firstLine="480" w:firstLineChars="200"/>
        <w:rPr>
          <w:rFonts w:ascii="Arial" w:hAnsi="Arial" w:cs="Arial"/>
          <w:sz w:val="24"/>
        </w:rPr>
      </w:pPr>
      <w:r>
        <w:rPr>
          <w:rFonts w:ascii="Arial" w:hAnsi="Arial" w:cs="Arial"/>
          <w:sz w:val="24"/>
        </w:rPr>
        <w:t>（一）保密义务</w:t>
      </w:r>
    </w:p>
    <w:p w14:paraId="055274D4">
      <w:pPr>
        <w:spacing w:line="360" w:lineRule="auto"/>
        <w:ind w:firstLine="480" w:firstLineChars="200"/>
        <w:rPr>
          <w:rFonts w:ascii="Arial" w:hAnsi="Arial" w:cs="Arial"/>
          <w:sz w:val="24"/>
        </w:rPr>
      </w:pPr>
      <w:r>
        <w:rPr>
          <w:rFonts w:ascii="Arial" w:hAnsi="Arial" w:cs="Arial"/>
          <w:sz w:val="24"/>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14:paraId="7778E791">
      <w:pPr>
        <w:spacing w:line="360" w:lineRule="auto"/>
        <w:ind w:firstLine="480" w:firstLineChars="200"/>
        <w:rPr>
          <w:rFonts w:ascii="Arial" w:hAnsi="Arial" w:cs="Arial"/>
          <w:sz w:val="24"/>
        </w:rPr>
      </w:pPr>
      <w:r>
        <w:rPr>
          <w:rFonts w:ascii="Arial" w:hAnsi="Arial" w:cs="Arial"/>
          <w:sz w:val="24"/>
        </w:rPr>
        <w:t>1、非因基金管理人和基金托管人的原因导致保密信息被披露、泄露或公开；</w:t>
      </w:r>
    </w:p>
    <w:p w14:paraId="17D8BE02">
      <w:pPr>
        <w:spacing w:line="360" w:lineRule="auto"/>
        <w:ind w:firstLine="480" w:firstLineChars="200"/>
        <w:rPr>
          <w:rFonts w:ascii="Arial" w:hAnsi="Arial" w:cs="Arial"/>
          <w:sz w:val="24"/>
        </w:rPr>
      </w:pPr>
      <w:r>
        <w:rPr>
          <w:rFonts w:ascii="Arial" w:hAnsi="Arial" w:cs="Arial"/>
          <w:sz w:val="24"/>
        </w:rPr>
        <w:t>2、基金管理人和基金托管人为遵守和服从法院判决或裁定、仲裁裁决或中国证监会等监管机构的命令、决定所做出的信息披露或公开。</w:t>
      </w:r>
    </w:p>
    <w:p w14:paraId="13DB84F7">
      <w:pPr>
        <w:spacing w:line="360" w:lineRule="auto"/>
        <w:ind w:firstLine="480" w:firstLineChars="200"/>
        <w:rPr>
          <w:rFonts w:ascii="Arial" w:hAnsi="Arial" w:cs="Arial"/>
          <w:sz w:val="24"/>
        </w:rPr>
      </w:pPr>
      <w:r>
        <w:rPr>
          <w:rFonts w:ascii="Arial" w:hAnsi="Arial" w:cs="Arial"/>
          <w:sz w:val="24"/>
        </w:rPr>
        <w:t>（二）信息披露的内容</w:t>
      </w:r>
    </w:p>
    <w:p w14:paraId="4371B476">
      <w:pPr>
        <w:spacing w:line="360" w:lineRule="auto"/>
        <w:ind w:firstLine="480" w:firstLineChars="200"/>
        <w:rPr>
          <w:rFonts w:ascii="Arial" w:hAnsi="Arial" w:cs="Arial"/>
          <w:sz w:val="24"/>
        </w:rPr>
      </w:pPr>
      <w:r>
        <w:rPr>
          <w:rFonts w:ascii="Arial" w:hAnsi="Arial" w:cs="Arial"/>
          <w:sz w:val="24"/>
        </w:rPr>
        <w:t>基金的信息披露内容主要包括基金招募说明书、《基金合同》、托管协议、</w:t>
      </w:r>
      <w:r>
        <w:rPr>
          <w:rFonts w:hint="eastAsia" w:ascii="Arial" w:hAnsi="Arial" w:cs="Arial"/>
          <w:sz w:val="24"/>
        </w:rPr>
        <w:t>基金产品资料概要、</w:t>
      </w:r>
      <w:r>
        <w:rPr>
          <w:rFonts w:ascii="Arial" w:hAnsi="Arial" w:cs="Arial"/>
          <w:sz w:val="24"/>
        </w:rPr>
        <w:t>基金份额发售公告、《基金合同》生效公告、</w:t>
      </w:r>
      <w:r>
        <w:rPr>
          <w:rFonts w:hint="eastAsia" w:ascii="Arial" w:hAnsi="Arial" w:cs="Arial"/>
          <w:sz w:val="24"/>
        </w:rPr>
        <w:t>基金净值信息</w:t>
      </w:r>
      <w:r>
        <w:rPr>
          <w:rFonts w:ascii="Arial" w:hAnsi="Arial" w:cs="Arial"/>
          <w:sz w:val="24"/>
        </w:rPr>
        <w:t>、基金份额申购、赎回价格、基金定期报告（包括基金年度报告、基金中期报告和基金季度报告）、临时报告、澄清公告、基金份额持有人大会决议、</w:t>
      </w:r>
      <w:r>
        <w:rPr>
          <w:rFonts w:hint="eastAsia" w:ascii="Arial" w:hAnsi="Arial" w:cs="Arial"/>
          <w:sz w:val="24"/>
        </w:rPr>
        <w:t>清算报告、投资资产支持证券、股指期货、国债期货、股票期权、港股通标的股票、流通受限证券、目标ETF的信息披露、参与融资和转融通证券出借业务的信息披露、发起资金认购份额报告、实施侧袋机制期间的信息披露、</w:t>
      </w:r>
      <w:r>
        <w:rPr>
          <w:rFonts w:ascii="Arial" w:hAnsi="Arial" w:cs="Arial"/>
          <w:sz w:val="24"/>
        </w:rPr>
        <w:t>中国证监会规定的其他信息。基金年度报告</w:t>
      </w:r>
      <w:r>
        <w:rPr>
          <w:rFonts w:hint="eastAsia" w:ascii="Arial" w:hAnsi="Arial" w:cs="Arial"/>
          <w:sz w:val="24"/>
        </w:rPr>
        <w:t>中的财务会计报告需经符合《证券法》规定</w:t>
      </w:r>
      <w:r>
        <w:rPr>
          <w:rFonts w:ascii="Arial" w:hAnsi="Arial" w:cs="Arial"/>
          <w:sz w:val="24"/>
        </w:rPr>
        <w:t>的会计师事务所审计后，方可披露。</w:t>
      </w:r>
    </w:p>
    <w:p w14:paraId="3C2B4A12">
      <w:pPr>
        <w:spacing w:line="360" w:lineRule="auto"/>
        <w:ind w:firstLine="480" w:firstLineChars="200"/>
        <w:rPr>
          <w:rFonts w:ascii="Arial" w:hAnsi="Arial" w:cs="Arial"/>
          <w:sz w:val="24"/>
        </w:rPr>
      </w:pPr>
      <w:r>
        <w:rPr>
          <w:rFonts w:ascii="Arial" w:hAnsi="Arial" w:cs="Arial"/>
          <w:sz w:val="24"/>
        </w:rPr>
        <w:t>（三）基金托管人和基金管理人在信息披露中的职责和信息披露程序</w:t>
      </w:r>
    </w:p>
    <w:p w14:paraId="21091BB7">
      <w:pPr>
        <w:spacing w:line="360" w:lineRule="auto"/>
        <w:ind w:firstLine="480" w:firstLineChars="200"/>
        <w:rPr>
          <w:rFonts w:ascii="Arial" w:hAnsi="Arial" w:cs="Arial"/>
          <w:sz w:val="24"/>
        </w:rPr>
      </w:pPr>
      <w:r>
        <w:rPr>
          <w:rFonts w:ascii="Arial" w:hAnsi="Arial" w:cs="Arial"/>
          <w:sz w:val="24"/>
        </w:rPr>
        <w:t>1、职责</w:t>
      </w:r>
    </w:p>
    <w:p w14:paraId="27E139FB">
      <w:pPr>
        <w:spacing w:line="360" w:lineRule="auto"/>
        <w:ind w:firstLine="480" w:firstLineChars="200"/>
        <w:rPr>
          <w:rFonts w:ascii="Arial" w:hAnsi="Arial" w:cs="Arial"/>
          <w:sz w:val="24"/>
        </w:rPr>
      </w:pPr>
      <w:r>
        <w:rPr>
          <w:rFonts w:ascii="Arial" w:hAnsi="Arial" w:cs="Arial"/>
          <w:sz w:val="24"/>
        </w:rPr>
        <w:t>基金托管人和基金管理人在信息披露过程中应以保护基金份额持有人利益为宗旨，诚实信用，严守秘密。基金管理人负责办理与基金有关的信息披露事宜，基金托管人应当按照相关法律法规和《基金合同》的约定，对于本章第（二）条规定的应由基金托管人复核的事项进行复核，基金托管人复核无误后，由基金管理人予以公布。</w:t>
      </w:r>
    </w:p>
    <w:p w14:paraId="2D0955D3">
      <w:pPr>
        <w:spacing w:line="360" w:lineRule="auto"/>
        <w:ind w:firstLine="480" w:firstLineChars="200"/>
        <w:rPr>
          <w:rFonts w:ascii="Arial" w:hAnsi="Arial" w:cs="Arial"/>
          <w:sz w:val="24"/>
        </w:rPr>
      </w:pPr>
      <w:r>
        <w:rPr>
          <w:rFonts w:ascii="Arial" w:hAnsi="Arial" w:cs="Arial"/>
          <w:sz w:val="24"/>
        </w:rPr>
        <w:t>对于不需要基金托管人（或基金管理人）复核的信息，基金管理人（或基金托管人）在公告前应告知基金托管人（或基金管理人）。</w:t>
      </w:r>
    </w:p>
    <w:p w14:paraId="298CB9DB">
      <w:pPr>
        <w:spacing w:line="360" w:lineRule="auto"/>
        <w:ind w:firstLine="480" w:firstLineChars="200"/>
        <w:rPr>
          <w:rFonts w:ascii="Arial" w:hAnsi="Arial" w:cs="Arial"/>
          <w:sz w:val="24"/>
        </w:rPr>
      </w:pPr>
      <w:r>
        <w:rPr>
          <w:rFonts w:ascii="Arial" w:hAnsi="Arial" w:cs="Arial"/>
          <w:sz w:val="24"/>
        </w:rPr>
        <w:t>基金管理人和基金托管人应积极配合、互相监督，保证其履行按照法定方式和限时披露的义务。</w:t>
      </w:r>
    </w:p>
    <w:p w14:paraId="3538DA19">
      <w:pPr>
        <w:spacing w:line="360" w:lineRule="auto"/>
        <w:ind w:firstLine="480" w:firstLineChars="200"/>
        <w:rPr>
          <w:rFonts w:ascii="Arial" w:hAnsi="Arial" w:cs="Arial"/>
          <w:sz w:val="24"/>
        </w:rPr>
      </w:pPr>
      <w:r>
        <w:rPr>
          <w:rFonts w:hint="eastAsia" w:ascii="Arial" w:hAnsi="Arial" w:cs="Arial"/>
          <w:sz w:val="24"/>
        </w:rPr>
        <w:t>基金管理人、基金托管人应当在规定报刊中选择披露信息的报刊。基金管理人、基金托管人应当向中国证监会基金电子披露网站报送拟披露的基金信息，并保证相关报送信息的真实、准确、完整、及时</w:t>
      </w:r>
      <w:r>
        <w:rPr>
          <w:rFonts w:ascii="Arial" w:hAnsi="Arial" w:cs="Arial"/>
          <w:sz w:val="24"/>
        </w:rPr>
        <w:t>。</w:t>
      </w:r>
    </w:p>
    <w:p w14:paraId="15F310DE">
      <w:pPr>
        <w:spacing w:line="360" w:lineRule="auto"/>
        <w:ind w:firstLine="480" w:firstLineChars="200"/>
        <w:rPr>
          <w:rFonts w:ascii="Arial" w:hAnsi="Arial" w:cs="Arial"/>
          <w:sz w:val="24"/>
        </w:rPr>
      </w:pPr>
      <w:r>
        <w:rPr>
          <w:rFonts w:ascii="Arial" w:hAnsi="Arial" w:cs="Arial"/>
          <w:sz w:val="24"/>
        </w:rPr>
        <w:t>当出现下述情况时，基金管理人和基金托管人可暂停或延迟披露基金相关信息：</w:t>
      </w:r>
    </w:p>
    <w:p w14:paraId="5E7896CB">
      <w:pPr>
        <w:spacing w:line="360" w:lineRule="auto"/>
        <w:ind w:firstLine="480" w:firstLineChars="200"/>
        <w:rPr>
          <w:rFonts w:ascii="Arial" w:hAnsi="Arial" w:cs="Arial"/>
          <w:sz w:val="24"/>
        </w:rPr>
      </w:pPr>
      <w:r>
        <w:rPr>
          <w:rFonts w:hint="eastAsia" w:ascii="Arial" w:hAnsi="Arial" w:cs="Arial"/>
          <w:sz w:val="24"/>
        </w:rPr>
        <w:t>（1）因不可抗力或其他情形致使基金管理人、基金托管人无法准确评估基金资产价值时；</w:t>
      </w:r>
    </w:p>
    <w:p w14:paraId="6D24333F">
      <w:pPr>
        <w:spacing w:line="360" w:lineRule="auto"/>
        <w:ind w:firstLine="480" w:firstLineChars="200"/>
        <w:rPr>
          <w:rFonts w:ascii="Arial" w:hAnsi="Arial" w:cs="Arial"/>
          <w:sz w:val="24"/>
        </w:rPr>
      </w:pPr>
      <w:r>
        <w:rPr>
          <w:rFonts w:hint="eastAsia" w:ascii="Arial" w:hAnsi="Arial" w:cs="Arial"/>
          <w:sz w:val="24"/>
        </w:rPr>
        <w:t>（2）基金投资所涉及的证券、期货交易市场或外汇市场遇法定节假日或因其他原因暂停营业时；</w:t>
      </w:r>
    </w:p>
    <w:p w14:paraId="0CF5677F">
      <w:pPr>
        <w:spacing w:line="360" w:lineRule="auto"/>
        <w:ind w:firstLine="480" w:firstLineChars="200"/>
        <w:rPr>
          <w:rFonts w:ascii="Arial" w:hAnsi="Arial" w:cs="Arial"/>
          <w:sz w:val="24"/>
        </w:rPr>
      </w:pPr>
      <w:r>
        <w:rPr>
          <w:rFonts w:hint="eastAsia" w:ascii="Arial" w:hAnsi="Arial" w:cs="Arial"/>
          <w:sz w:val="24"/>
        </w:rPr>
        <w:t>（3）所投资的目标ETF暂停估值、暂停公告基金份额净值时；</w:t>
      </w:r>
    </w:p>
    <w:p w14:paraId="44AFACEB">
      <w:pPr>
        <w:spacing w:line="360" w:lineRule="auto"/>
        <w:ind w:firstLine="480" w:firstLineChars="200"/>
        <w:rPr>
          <w:rFonts w:ascii="Arial" w:hAnsi="Arial" w:cs="Arial"/>
          <w:sz w:val="24"/>
        </w:rPr>
      </w:pPr>
      <w:r>
        <w:rPr>
          <w:rFonts w:hint="eastAsia" w:ascii="Arial" w:hAnsi="Arial" w:cs="Arial"/>
          <w:sz w:val="24"/>
        </w:rPr>
        <w:t>（4）当特定资产占前一估值日基金资产净值50%以上的，经与基金托管人协商一致确认后，应当暂停估值；</w:t>
      </w:r>
    </w:p>
    <w:p w14:paraId="74EB1D29">
      <w:pPr>
        <w:spacing w:line="360" w:lineRule="auto"/>
        <w:ind w:firstLine="480" w:firstLineChars="200"/>
        <w:rPr>
          <w:rFonts w:ascii="Arial" w:hAnsi="Arial" w:cs="Arial"/>
          <w:sz w:val="24"/>
        </w:rPr>
      </w:pPr>
      <w:r>
        <w:rPr>
          <w:rFonts w:hint="eastAsia" w:ascii="Arial" w:hAnsi="Arial" w:cs="Arial"/>
          <w:sz w:val="24"/>
        </w:rPr>
        <w:t>（</w:t>
      </w:r>
      <w:r>
        <w:rPr>
          <w:rFonts w:ascii="Arial" w:hAnsi="Arial" w:cs="Arial"/>
          <w:sz w:val="24"/>
        </w:rPr>
        <w:t>5</w:t>
      </w:r>
      <w:r>
        <w:rPr>
          <w:rFonts w:hint="eastAsia" w:ascii="Arial" w:hAnsi="Arial" w:cs="Arial"/>
          <w:sz w:val="24"/>
        </w:rPr>
        <w:t>）法律法规、基金合同认定的或中国证监会规定的其他情形。</w:t>
      </w:r>
    </w:p>
    <w:p w14:paraId="7D4E73A1">
      <w:pPr>
        <w:spacing w:line="360" w:lineRule="auto"/>
        <w:ind w:firstLine="480" w:firstLineChars="200"/>
        <w:rPr>
          <w:rFonts w:ascii="Arial" w:hAnsi="Arial" w:cs="Arial"/>
          <w:sz w:val="24"/>
        </w:rPr>
      </w:pPr>
      <w:r>
        <w:rPr>
          <w:rFonts w:ascii="Arial" w:hAnsi="Arial" w:cs="Arial"/>
          <w:sz w:val="24"/>
        </w:rPr>
        <w:t>2、程序</w:t>
      </w:r>
    </w:p>
    <w:p w14:paraId="0EB2B89F">
      <w:pPr>
        <w:spacing w:line="360" w:lineRule="auto"/>
        <w:ind w:firstLine="480" w:firstLineChars="200"/>
        <w:rPr>
          <w:rFonts w:ascii="Arial" w:hAnsi="Arial" w:cs="Arial"/>
          <w:sz w:val="24"/>
        </w:rPr>
      </w:pPr>
      <w:r>
        <w:rPr>
          <w:rFonts w:ascii="Arial" w:hAnsi="Arial" w:cs="Arial"/>
          <w:sz w:val="24"/>
        </w:rPr>
        <w:t>按有关规定须经基金托管人复核的信息披露文件，由基金管理人起草、并经基金托管人复核后由基金管理人公告。发生《基金合同》中规定需要披露的事项时，按《基金合同》规定公布。</w:t>
      </w:r>
    </w:p>
    <w:p w14:paraId="681BB515">
      <w:pPr>
        <w:spacing w:line="360" w:lineRule="auto"/>
        <w:ind w:firstLine="480" w:firstLineChars="200"/>
        <w:rPr>
          <w:rFonts w:ascii="Arial" w:hAnsi="Arial" w:cs="Arial"/>
          <w:sz w:val="24"/>
        </w:rPr>
      </w:pPr>
      <w:r>
        <w:rPr>
          <w:rFonts w:ascii="Arial" w:hAnsi="Arial" w:cs="Arial"/>
          <w:sz w:val="24"/>
        </w:rPr>
        <w:t>3、信息文本的存放</w:t>
      </w:r>
    </w:p>
    <w:p w14:paraId="7212B27F">
      <w:pPr>
        <w:spacing w:line="360" w:lineRule="auto"/>
        <w:ind w:firstLine="480" w:firstLineChars="200"/>
        <w:rPr>
          <w:rFonts w:ascii="Arial" w:hAnsi="Arial" w:cs="Arial"/>
          <w:sz w:val="24"/>
        </w:rPr>
      </w:pPr>
      <w:r>
        <w:rPr>
          <w:rFonts w:hint="eastAsia" w:ascii="Arial" w:hAnsi="Arial" w:cs="Arial"/>
          <w:sz w:val="24"/>
        </w:rPr>
        <w:t>依法必须披露的信息发布后，基金管理人、基金托管人应当按照相关法律法规规定将信息置备于各自住所，供社会公众查阅、复制</w:t>
      </w:r>
      <w:r>
        <w:rPr>
          <w:rFonts w:ascii="Arial" w:hAnsi="Arial" w:cs="Arial"/>
          <w:sz w:val="24"/>
        </w:rPr>
        <w:t>。在支付工本费后可在合理时间获得上述文件的复制件或复印件。基金管理人和基金托管人应保证文本的内容与所公告的内容完全一致。</w:t>
      </w:r>
    </w:p>
    <w:p w14:paraId="65B206F9">
      <w:pPr>
        <w:spacing w:line="360" w:lineRule="auto"/>
        <w:ind w:firstLine="480"/>
        <w:rPr>
          <w:rFonts w:ascii="Arial" w:hAnsi="Arial" w:cs="Arial"/>
          <w:sz w:val="24"/>
        </w:rPr>
      </w:pPr>
    </w:p>
    <w:p w14:paraId="6CCE2FFB">
      <w:pPr>
        <w:pStyle w:val="2"/>
        <w:tabs>
          <w:tab w:val="clear" w:pos="432"/>
        </w:tabs>
        <w:spacing w:before="0" w:after="0" w:line="360" w:lineRule="auto"/>
        <w:ind w:left="420"/>
        <w:rPr>
          <w:rFonts w:ascii="Arial" w:hAnsi="Arial" w:cs="Arial"/>
          <w:bCs w:val="0"/>
          <w:kern w:val="0"/>
          <w:szCs w:val="30"/>
          <w:lang w:val="en-US"/>
        </w:rPr>
      </w:pPr>
      <w:bookmarkStart w:id="103" w:name="_Toc283383024"/>
      <w:bookmarkStart w:id="104" w:name="_Toc290284053"/>
      <w:bookmarkStart w:id="105" w:name="_Toc124749235"/>
      <w:bookmarkStart w:id="106" w:name="_Toc140002346"/>
      <w:bookmarkStart w:id="107" w:name="_Toc123626177"/>
      <w:bookmarkStart w:id="108" w:name="_Toc125361083"/>
      <w:bookmarkStart w:id="109" w:name="_Toc124749946"/>
      <w:r>
        <w:rPr>
          <w:rFonts w:ascii="Arial" w:hAnsi="Arial" w:cs="Arial"/>
          <w:sz w:val="24"/>
          <w:szCs w:val="24"/>
        </w:rPr>
        <w:br w:type="page"/>
      </w:r>
      <w:bookmarkStart w:id="110" w:name="_Toc466464097"/>
      <w:bookmarkStart w:id="111" w:name="_Toc466378886"/>
      <w:r>
        <w:rPr>
          <w:rFonts w:ascii="Arial" w:hAnsi="Arial" w:cs="Arial"/>
          <w:bCs w:val="0"/>
          <w:kern w:val="0"/>
          <w:szCs w:val="30"/>
          <w:lang w:val="en-US"/>
        </w:rPr>
        <w:t>第十一部分 基金费用</w:t>
      </w:r>
      <w:bookmarkEnd w:id="110"/>
      <w:bookmarkEnd w:id="111"/>
    </w:p>
    <w:bookmarkEnd w:id="103"/>
    <w:bookmarkEnd w:id="104"/>
    <w:bookmarkEnd w:id="105"/>
    <w:bookmarkEnd w:id="106"/>
    <w:bookmarkEnd w:id="107"/>
    <w:bookmarkEnd w:id="108"/>
    <w:bookmarkEnd w:id="109"/>
    <w:p w14:paraId="50758B2D">
      <w:pPr>
        <w:spacing w:line="360" w:lineRule="auto"/>
        <w:ind w:firstLine="480" w:firstLineChars="200"/>
        <w:rPr>
          <w:rFonts w:ascii="Arial" w:hAnsi="Arial" w:cs="Arial"/>
          <w:sz w:val="24"/>
        </w:rPr>
      </w:pPr>
      <w:r>
        <w:rPr>
          <w:rFonts w:ascii="Arial" w:hAnsi="Arial" w:cs="Arial"/>
          <w:sz w:val="24"/>
        </w:rPr>
        <w:t>（一）基金管理费的计提比例和计提方法</w:t>
      </w:r>
    </w:p>
    <w:p w14:paraId="38BB09CB">
      <w:pPr>
        <w:spacing w:line="360" w:lineRule="auto"/>
        <w:ind w:firstLine="480" w:firstLineChars="200"/>
        <w:rPr>
          <w:bCs/>
          <w:sz w:val="24"/>
        </w:rPr>
      </w:pPr>
      <w:r>
        <w:rPr>
          <w:rFonts w:hint="eastAsia"/>
          <w:bCs/>
          <w:sz w:val="24"/>
        </w:rPr>
        <w:t>1.基金管理人的管理费</w:t>
      </w:r>
    </w:p>
    <w:p w14:paraId="3225E065">
      <w:pPr>
        <w:spacing w:line="360" w:lineRule="auto"/>
        <w:ind w:firstLine="480" w:firstLineChars="200"/>
        <w:rPr>
          <w:bCs/>
          <w:sz w:val="24"/>
        </w:rPr>
      </w:pPr>
      <w:r>
        <w:rPr>
          <w:rFonts w:hint="eastAsia"/>
          <w:bCs/>
          <w:sz w:val="24"/>
        </w:rPr>
        <w:t>本基金管理费按前一日基金资产净值的0.50%年费率计提。管理费的计算方法如下：</w:t>
      </w:r>
    </w:p>
    <w:p w14:paraId="41C8D89A">
      <w:pPr>
        <w:spacing w:line="360" w:lineRule="auto"/>
        <w:ind w:firstLine="480" w:firstLineChars="200"/>
        <w:rPr>
          <w:bCs/>
          <w:sz w:val="24"/>
        </w:rPr>
      </w:pPr>
      <w:r>
        <w:rPr>
          <w:rFonts w:hint="eastAsia"/>
          <w:bCs/>
          <w:sz w:val="24"/>
        </w:rPr>
        <w:t>H＝E×年管理费率÷当年天数</w:t>
      </w:r>
    </w:p>
    <w:p w14:paraId="54869EA2">
      <w:pPr>
        <w:spacing w:line="360" w:lineRule="auto"/>
        <w:ind w:firstLine="480" w:firstLineChars="200"/>
        <w:rPr>
          <w:bCs/>
          <w:sz w:val="24"/>
        </w:rPr>
      </w:pPr>
      <w:r>
        <w:rPr>
          <w:rFonts w:hint="eastAsia"/>
          <w:bCs/>
          <w:sz w:val="24"/>
        </w:rPr>
        <w:t>H为每日应计提的基金管理费</w:t>
      </w:r>
    </w:p>
    <w:p w14:paraId="114A8AC3">
      <w:pPr>
        <w:spacing w:line="360" w:lineRule="auto"/>
        <w:ind w:firstLine="480" w:firstLineChars="200"/>
        <w:rPr>
          <w:bCs/>
          <w:sz w:val="24"/>
        </w:rPr>
      </w:pPr>
      <w:r>
        <w:rPr>
          <w:rFonts w:hint="eastAsia"/>
          <w:bCs/>
          <w:sz w:val="24"/>
        </w:rPr>
        <w:t>E为前一日的基金资产净值</w:t>
      </w:r>
    </w:p>
    <w:p w14:paraId="2375DAD1">
      <w:pPr>
        <w:spacing w:line="360" w:lineRule="auto"/>
        <w:ind w:firstLine="480" w:firstLineChars="200"/>
        <w:rPr>
          <w:bCs/>
          <w:sz w:val="24"/>
        </w:rPr>
      </w:pPr>
      <w:r>
        <w:rPr>
          <w:rFonts w:hint="eastAsia"/>
          <w:bCs/>
          <w:sz w:val="24"/>
        </w:rPr>
        <w:t>基金管理人对本基金投资组合中投资于目标ETF部分的基金资产净值不计提基金管理费。</w:t>
      </w:r>
    </w:p>
    <w:p w14:paraId="3DA83C00">
      <w:pPr>
        <w:spacing w:line="360" w:lineRule="auto"/>
        <w:ind w:firstLine="480" w:firstLineChars="200"/>
        <w:rPr>
          <w:bCs/>
          <w:sz w:val="24"/>
        </w:rPr>
      </w:pPr>
      <w:r>
        <w:rPr>
          <w:rFonts w:hint="eastAsia"/>
          <w:bCs/>
          <w:sz w:val="24"/>
        </w:rPr>
        <w:t>前一日的基金资产净值为已扣除本基金投资于目标ETF部分基金资产净值后的净额，金额为负时以零计。</w:t>
      </w:r>
    </w:p>
    <w:p w14:paraId="61FA1FD9">
      <w:pPr>
        <w:spacing w:line="360" w:lineRule="auto"/>
        <w:ind w:firstLine="480" w:firstLineChars="200"/>
        <w:rPr>
          <w:rFonts w:ascii="Arial" w:hAnsi="Arial" w:cs="Arial"/>
          <w:sz w:val="24"/>
        </w:rPr>
      </w:pPr>
      <w:r>
        <w:rPr>
          <w:rFonts w:ascii="Arial" w:hAnsi="Arial" w:cs="Arial"/>
          <w:sz w:val="24"/>
        </w:rPr>
        <w:t>（二）基金托管费的计提比例和计提方法</w:t>
      </w:r>
    </w:p>
    <w:p w14:paraId="6C529975">
      <w:pPr>
        <w:spacing w:line="360" w:lineRule="auto"/>
        <w:ind w:firstLine="480" w:firstLineChars="200"/>
        <w:rPr>
          <w:bCs/>
          <w:sz w:val="24"/>
        </w:rPr>
      </w:pPr>
      <w:r>
        <w:rPr>
          <w:rFonts w:hint="eastAsia"/>
          <w:bCs/>
          <w:sz w:val="24"/>
        </w:rPr>
        <w:t>基金托管费按前一日基金资产净值的0.10%年费率计提。托管费的计算方法如下：</w:t>
      </w:r>
    </w:p>
    <w:p w14:paraId="3B5E145E">
      <w:pPr>
        <w:spacing w:line="360" w:lineRule="auto"/>
        <w:ind w:firstLine="480" w:firstLineChars="200"/>
        <w:rPr>
          <w:bCs/>
          <w:sz w:val="24"/>
        </w:rPr>
      </w:pPr>
      <w:r>
        <w:rPr>
          <w:rFonts w:hint="eastAsia"/>
          <w:bCs/>
          <w:sz w:val="24"/>
        </w:rPr>
        <w:t>H＝E×年托管费率÷当年天数</w:t>
      </w:r>
    </w:p>
    <w:p w14:paraId="3C07760E">
      <w:pPr>
        <w:spacing w:line="360" w:lineRule="auto"/>
        <w:ind w:firstLine="480" w:firstLineChars="200"/>
        <w:rPr>
          <w:bCs/>
          <w:sz w:val="24"/>
        </w:rPr>
      </w:pPr>
      <w:r>
        <w:rPr>
          <w:rFonts w:hint="eastAsia"/>
          <w:bCs/>
          <w:sz w:val="24"/>
        </w:rPr>
        <w:t>H为每日应计提的基金托管费</w:t>
      </w:r>
    </w:p>
    <w:p w14:paraId="72411D36">
      <w:pPr>
        <w:spacing w:line="360" w:lineRule="auto"/>
        <w:ind w:firstLine="480" w:firstLineChars="200"/>
        <w:rPr>
          <w:bCs/>
          <w:sz w:val="24"/>
        </w:rPr>
      </w:pPr>
      <w:r>
        <w:rPr>
          <w:rFonts w:hint="eastAsia"/>
          <w:bCs/>
          <w:sz w:val="24"/>
        </w:rPr>
        <w:t>E为前一日的基金资产净值</w:t>
      </w:r>
    </w:p>
    <w:p w14:paraId="296F15CF">
      <w:pPr>
        <w:spacing w:line="360" w:lineRule="auto"/>
        <w:ind w:firstLine="480" w:firstLineChars="200"/>
        <w:rPr>
          <w:bCs/>
          <w:sz w:val="24"/>
        </w:rPr>
      </w:pPr>
      <w:r>
        <w:rPr>
          <w:rFonts w:hint="eastAsia"/>
          <w:bCs/>
          <w:sz w:val="24"/>
        </w:rPr>
        <w:t>基金托管人对本基金投资组合中投资于目标ETF部分的基金资产净值不计提基金托管费。</w:t>
      </w:r>
    </w:p>
    <w:p w14:paraId="639FF6A4">
      <w:pPr>
        <w:spacing w:line="360" w:lineRule="auto"/>
        <w:ind w:firstLine="480" w:firstLineChars="200"/>
        <w:rPr>
          <w:bCs/>
          <w:sz w:val="24"/>
        </w:rPr>
      </w:pPr>
      <w:r>
        <w:rPr>
          <w:rFonts w:hint="eastAsia"/>
          <w:bCs/>
          <w:sz w:val="24"/>
        </w:rPr>
        <w:t>前一日的基金资产净值为已扣除本基金投资于目标ETF部分基金资产净值后的净额，金额为负时以零计。</w:t>
      </w:r>
    </w:p>
    <w:p w14:paraId="361330BF">
      <w:pPr>
        <w:spacing w:line="360" w:lineRule="auto"/>
        <w:ind w:firstLine="480" w:firstLineChars="200"/>
        <w:rPr>
          <w:rFonts w:ascii="Arial" w:hAnsi="Arial" w:cs="Arial"/>
          <w:sz w:val="24"/>
        </w:rPr>
      </w:pPr>
      <w:r>
        <w:rPr>
          <w:rFonts w:hint="eastAsia"/>
          <w:bCs/>
          <w:sz w:val="24"/>
        </w:rPr>
        <w:t>（三）C类基金份额的销售服务费</w:t>
      </w:r>
      <w:r>
        <w:rPr>
          <w:rFonts w:ascii="Arial" w:hAnsi="Arial" w:cs="Arial"/>
          <w:sz w:val="24"/>
        </w:rPr>
        <w:t>的计提比例和计提方法</w:t>
      </w:r>
    </w:p>
    <w:p w14:paraId="3B52D15A">
      <w:pPr>
        <w:spacing w:line="360" w:lineRule="auto"/>
        <w:ind w:firstLine="480" w:firstLineChars="200"/>
        <w:rPr>
          <w:bCs/>
          <w:sz w:val="24"/>
        </w:rPr>
      </w:pPr>
      <w:r>
        <w:rPr>
          <w:rFonts w:hint="eastAsia"/>
          <w:bCs/>
          <w:sz w:val="24"/>
        </w:rPr>
        <w:t>本基金A类基金份额不收取销售服务费，C类基金份额的销售服务费年费率为0.40%。</w:t>
      </w:r>
    </w:p>
    <w:p w14:paraId="4565A364">
      <w:pPr>
        <w:spacing w:line="360" w:lineRule="auto"/>
        <w:ind w:firstLine="480" w:firstLineChars="200"/>
        <w:rPr>
          <w:bCs/>
          <w:sz w:val="24"/>
        </w:rPr>
      </w:pPr>
      <w:r>
        <w:rPr>
          <w:rFonts w:hint="eastAsia"/>
          <w:bCs/>
          <w:sz w:val="24"/>
        </w:rPr>
        <w:t xml:space="preserve">本基金销售服务费按前一日C类基金份额的基金资产净值的0.40%年费率计提。销售服务费的计算方法如下： </w:t>
      </w:r>
    </w:p>
    <w:p w14:paraId="10C152ED">
      <w:pPr>
        <w:spacing w:line="360" w:lineRule="auto"/>
        <w:ind w:firstLine="480" w:firstLineChars="200"/>
        <w:rPr>
          <w:bCs/>
          <w:sz w:val="24"/>
        </w:rPr>
      </w:pPr>
      <w:r>
        <w:rPr>
          <w:rFonts w:hint="eastAsia"/>
          <w:bCs/>
          <w:sz w:val="24"/>
        </w:rPr>
        <w:t>H=E×年销售服务费率÷当年天数</w:t>
      </w:r>
    </w:p>
    <w:p w14:paraId="43C39A98">
      <w:pPr>
        <w:spacing w:line="360" w:lineRule="auto"/>
        <w:ind w:firstLine="480" w:firstLineChars="200"/>
        <w:rPr>
          <w:bCs/>
          <w:sz w:val="24"/>
        </w:rPr>
      </w:pPr>
      <w:r>
        <w:rPr>
          <w:rFonts w:hint="eastAsia"/>
          <w:bCs/>
          <w:sz w:val="24"/>
        </w:rPr>
        <w:t>H为C类基金份额每日应计提的销售服务费</w:t>
      </w:r>
    </w:p>
    <w:p w14:paraId="3794D43D">
      <w:pPr>
        <w:spacing w:line="360" w:lineRule="auto"/>
        <w:ind w:firstLine="480" w:firstLineChars="200"/>
        <w:rPr>
          <w:bCs/>
          <w:sz w:val="24"/>
        </w:rPr>
      </w:pPr>
      <w:r>
        <w:rPr>
          <w:rFonts w:hint="eastAsia"/>
          <w:bCs/>
          <w:sz w:val="24"/>
        </w:rPr>
        <w:t>E为C类基金份额前一日基金资产净值</w:t>
      </w:r>
    </w:p>
    <w:p w14:paraId="6038E281">
      <w:pPr>
        <w:spacing w:line="360" w:lineRule="auto"/>
        <w:ind w:firstLine="480" w:firstLineChars="200"/>
        <w:rPr>
          <w:rFonts w:ascii="Arial" w:hAnsi="Arial" w:cs="Arial"/>
          <w:sz w:val="24"/>
        </w:rPr>
      </w:pPr>
      <w:r>
        <w:rPr>
          <w:rFonts w:hint="eastAsia"/>
          <w:bCs/>
          <w:sz w:val="24"/>
        </w:rPr>
        <w:t>（四）</w:t>
      </w:r>
      <w:r>
        <w:rPr>
          <w:rFonts w:hint="eastAsia" w:ascii="Arial" w:hAnsi="Arial" w:cs="Arial"/>
          <w:sz w:val="24"/>
        </w:rPr>
        <w:t>基金的账户开户及维护费用、证券/期货/期权交易、结算费用、《基金合同》生效后与基金相关的信息披露费用（法律法规、中国证监会另有规定的除外）、基金份额持有人大会费用、《基金合同》生效后与基金有关的会计师费、律师费、公证费、诉讼费和仲裁费、基金投资目标ETF的相关费用、基金的银行汇划费用、因投资港股通标的股票而产生的各项合理费用、基金依照有关法律法规应当缴纳的，购买或处置证券有关的任何税收、征费、关税、印花税及预扣提税（以及与前述各项有关的任何利息及费用）（简称“税收”），及基金缴纳税收有关的手续费、汇款费、顾问费等等根据有关法律法规、《基金合同》及相应协议的规定，列入当期基金费用，由基金托管人从基金财产中支付。</w:t>
      </w:r>
    </w:p>
    <w:p w14:paraId="0263CEF0">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五</w:t>
      </w:r>
      <w:r>
        <w:rPr>
          <w:rFonts w:ascii="Arial" w:hAnsi="Arial" w:cs="Arial"/>
          <w:sz w:val="24"/>
        </w:rPr>
        <w:t>）不列入基金费用的项目</w:t>
      </w:r>
    </w:p>
    <w:p w14:paraId="1C9F30A5">
      <w:pPr>
        <w:spacing w:line="360" w:lineRule="auto"/>
        <w:ind w:firstLine="480" w:firstLineChars="200"/>
        <w:rPr>
          <w:rFonts w:ascii="Arial" w:hAnsi="Arial" w:cs="Arial"/>
          <w:sz w:val="24"/>
        </w:rPr>
      </w:pPr>
      <w:r>
        <w:rPr>
          <w:rFonts w:ascii="Arial" w:hAnsi="Arial" w:cs="Arial"/>
          <w:sz w:val="24"/>
        </w:rPr>
        <w:t>《基金合同》生效前的相关费用，包括但不限于验资费、会计师和律师费、信息披露费用等费用不得从基金财产中列支；基金管理人和基金托管人因未履行或未完全履行义务导致的费用支出或基金财产的损失，以及处理与基金运作无关的事项发生的费用等不列入基金费用</w:t>
      </w:r>
      <w:r>
        <w:rPr>
          <w:rFonts w:hint="eastAsia" w:ascii="Arial" w:hAnsi="Arial" w:cs="Arial"/>
          <w:sz w:val="24"/>
        </w:rPr>
        <w:t>；其他根据相关法律法规及中国证监会的有关规定不得列入基金费用的项目。</w:t>
      </w:r>
    </w:p>
    <w:p w14:paraId="191C4F41">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六</w:t>
      </w:r>
      <w:r>
        <w:rPr>
          <w:rFonts w:ascii="Arial" w:hAnsi="Arial" w:cs="Arial"/>
          <w:sz w:val="24"/>
        </w:rPr>
        <w:t>）基金管理费、基金托管费的复核程序、支付方式和时间</w:t>
      </w:r>
    </w:p>
    <w:p w14:paraId="6AB6F29D">
      <w:pPr>
        <w:spacing w:line="360" w:lineRule="auto"/>
        <w:ind w:firstLine="480" w:firstLineChars="200"/>
        <w:rPr>
          <w:rFonts w:ascii="Arial" w:hAnsi="Arial" w:cs="Arial"/>
          <w:sz w:val="24"/>
        </w:rPr>
      </w:pPr>
      <w:r>
        <w:rPr>
          <w:rFonts w:ascii="Arial" w:hAnsi="Arial" w:cs="Arial"/>
          <w:sz w:val="24"/>
        </w:rPr>
        <w:t>1、复核程序</w:t>
      </w:r>
    </w:p>
    <w:p w14:paraId="21CDDCAC">
      <w:pPr>
        <w:spacing w:line="360" w:lineRule="auto"/>
        <w:ind w:firstLine="480" w:firstLineChars="200"/>
        <w:rPr>
          <w:rFonts w:ascii="Arial" w:hAnsi="Arial" w:cs="Arial"/>
          <w:sz w:val="24"/>
        </w:rPr>
      </w:pPr>
      <w:r>
        <w:rPr>
          <w:rFonts w:ascii="Arial" w:hAnsi="Arial" w:cs="Arial"/>
          <w:sz w:val="24"/>
        </w:rPr>
        <w:t>基金托管人对基金管理人计提的基金管理费、基金托管费</w:t>
      </w:r>
      <w:r>
        <w:rPr>
          <w:rFonts w:hint="eastAsia" w:ascii="Arial" w:hAnsi="Arial" w:cs="Arial"/>
          <w:sz w:val="24"/>
        </w:rPr>
        <w:t>、C类基金份额的销售服务费</w:t>
      </w:r>
      <w:r>
        <w:rPr>
          <w:rFonts w:ascii="Arial" w:hAnsi="Arial" w:cs="Arial"/>
          <w:sz w:val="24"/>
        </w:rPr>
        <w:t>等，根据本托管协议和《基金合同》的有关规定进行复核。</w:t>
      </w:r>
    </w:p>
    <w:p w14:paraId="215A87E5">
      <w:pPr>
        <w:spacing w:line="360" w:lineRule="auto"/>
        <w:ind w:firstLine="480" w:firstLineChars="200"/>
        <w:rPr>
          <w:rFonts w:ascii="Arial" w:hAnsi="Arial" w:cs="Arial"/>
          <w:sz w:val="24"/>
        </w:rPr>
      </w:pPr>
      <w:r>
        <w:rPr>
          <w:rFonts w:ascii="Arial" w:hAnsi="Arial" w:cs="Arial"/>
          <w:sz w:val="24"/>
        </w:rPr>
        <w:t>2、支付方式和时间</w:t>
      </w:r>
    </w:p>
    <w:p w14:paraId="50708B39">
      <w:pPr>
        <w:spacing w:line="360" w:lineRule="auto"/>
        <w:ind w:firstLine="480" w:firstLineChars="200"/>
        <w:rPr>
          <w:rFonts w:ascii="Arial" w:hAnsi="Arial" w:cs="Arial"/>
          <w:sz w:val="24"/>
        </w:rPr>
      </w:pPr>
      <w:r>
        <w:rPr>
          <w:rFonts w:hint="eastAsia" w:ascii="Arial" w:hAnsi="Arial" w:cs="Arial"/>
          <w:sz w:val="24"/>
        </w:rPr>
        <w:t>基金管理费每日计算，逐日累计至每月月末，按月支付，经基金管理人与基金托管人双方核对无误后，基金托管人按照与基金管理人协商一致的方式于次月首日起3个工作日内从基金财产中一次性支付给基金管理人。若遇法定节假日、公休日或不可抗力等致使无法按时支付的，支付日期顺延。</w:t>
      </w:r>
    </w:p>
    <w:p w14:paraId="3A020B6A">
      <w:pPr>
        <w:spacing w:line="360" w:lineRule="auto"/>
        <w:ind w:firstLine="480" w:firstLineChars="200"/>
        <w:rPr>
          <w:rFonts w:ascii="Arial" w:hAnsi="Arial" w:cs="Arial"/>
          <w:sz w:val="24"/>
        </w:rPr>
      </w:pPr>
      <w:r>
        <w:rPr>
          <w:rFonts w:hint="eastAsia" w:ascii="Arial" w:hAnsi="Arial" w:cs="Arial"/>
          <w:sz w:val="24"/>
        </w:rPr>
        <w:t>基金托管费每日计算，逐日累计至每月月末，按月支付，经基金管理人与基金托管人双方核对无误后，基金托管人按照与基金管理人协商一致的方式于次月首日起3个工作日内从基金财产中一次性支取。若遇法定节假日、公休日或不可抗力等致使无法按时支付的，支付日期顺延。</w:t>
      </w:r>
    </w:p>
    <w:p w14:paraId="29E2ECD2">
      <w:pPr>
        <w:spacing w:line="360" w:lineRule="auto"/>
        <w:ind w:firstLine="480" w:firstLineChars="200"/>
        <w:rPr>
          <w:rFonts w:ascii="Arial" w:hAnsi="Arial" w:cs="Arial"/>
          <w:sz w:val="24"/>
        </w:rPr>
      </w:pPr>
      <w:r>
        <w:rPr>
          <w:rFonts w:hint="eastAsia" w:ascii="Arial" w:hAnsi="Arial" w:cs="Arial"/>
          <w:sz w:val="24"/>
        </w:rPr>
        <w:t>销售服务费每日计算，逐日累计至每月月末，按月支付，经基金管理人与基金托管人双方核对无误后，基金托管人按照与基金管理人协商一致的方式于次月首日起3个工作日内从基金财产中一次性划出，由登记机构代收，登记机构收到后按相关合同规定支付给基金销售机构。若遇法定节假日、公休日或不可抗力等致使无法按时支付的，支付日期顺延。</w:t>
      </w:r>
    </w:p>
    <w:p w14:paraId="2A71B2B7">
      <w:pPr>
        <w:spacing w:line="360" w:lineRule="auto"/>
        <w:ind w:firstLine="480" w:firstLineChars="200"/>
        <w:rPr>
          <w:rFonts w:ascii="Arial" w:hAnsi="Arial" w:cs="Arial"/>
          <w:sz w:val="24"/>
        </w:rPr>
      </w:pPr>
      <w:r>
        <w:rPr>
          <w:rFonts w:ascii="Arial" w:hAnsi="Arial" w:cs="Arial"/>
          <w:sz w:val="24"/>
        </w:rPr>
        <w:t>（</w:t>
      </w:r>
      <w:r>
        <w:rPr>
          <w:rFonts w:hint="eastAsia" w:ascii="Arial" w:hAnsi="Arial" w:cs="Arial"/>
          <w:sz w:val="24"/>
        </w:rPr>
        <w:t>六</w:t>
      </w:r>
      <w:r>
        <w:rPr>
          <w:rFonts w:ascii="Arial" w:hAnsi="Arial" w:cs="Arial"/>
          <w:sz w:val="24"/>
        </w:rPr>
        <w:t>）基金托管人发现基金管理人违反《基金法》、《基金合同》、《</w:t>
      </w:r>
      <w:r>
        <w:rPr>
          <w:rFonts w:hint="eastAsia" w:ascii="Arial" w:hAnsi="Arial" w:cs="Arial"/>
          <w:sz w:val="24"/>
        </w:rPr>
        <w:t>运作办法</w:t>
      </w:r>
      <w:r>
        <w:rPr>
          <w:rFonts w:ascii="Arial" w:hAnsi="Arial" w:cs="Arial"/>
          <w:sz w:val="24"/>
        </w:rPr>
        <w:t>》及其他有关规定从基金财产中列支费用时，基金托管人可要求基金管理人予以说明解释，如基金管理人无正当理由，基金托管人可拒绝支付。</w:t>
      </w:r>
    </w:p>
    <w:p w14:paraId="520D1107">
      <w:pPr>
        <w:spacing w:line="360" w:lineRule="auto"/>
        <w:ind w:firstLine="480" w:firstLineChars="200"/>
        <w:rPr>
          <w:rFonts w:ascii="Arial" w:hAnsi="Arial" w:cs="Arial"/>
          <w:sz w:val="24"/>
        </w:rPr>
      </w:pPr>
      <w:r>
        <w:rPr>
          <w:rFonts w:hint="eastAsia" w:ascii="Arial" w:hAnsi="Arial" w:cs="Arial"/>
          <w:sz w:val="24"/>
        </w:rPr>
        <w:t>（七）本基金运作过程中涉及的各纳税主体，其纳税义务按国家税收法律、法规执行。</w:t>
      </w:r>
    </w:p>
    <w:p w14:paraId="75FD2CA2">
      <w:pPr>
        <w:spacing w:line="360" w:lineRule="auto"/>
        <w:ind w:firstLine="480" w:firstLineChars="200"/>
        <w:rPr>
          <w:rFonts w:ascii="Arial" w:hAnsi="Arial" w:cs="Arial"/>
          <w:sz w:val="24"/>
        </w:rPr>
      </w:pPr>
      <w:r>
        <w:rPr>
          <w:rFonts w:hint="eastAsia" w:ascii="Arial" w:hAnsi="Arial" w:cs="Arial"/>
          <w:sz w:val="24"/>
        </w:rPr>
        <w:t>基金财产投资的相关税收，由基金份额持有人承担，基金管理人或者其他扣缴义务人按照国家有关税收征收的规定代扣代缴。</w:t>
      </w:r>
    </w:p>
    <w:p w14:paraId="516A6559">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12" w:name="_Toc466378887"/>
      <w:bookmarkStart w:id="113" w:name="_Toc466464098"/>
      <w:r>
        <w:rPr>
          <w:rFonts w:ascii="Arial" w:hAnsi="Arial" w:cs="Arial"/>
          <w:bCs w:val="0"/>
          <w:kern w:val="0"/>
          <w:szCs w:val="30"/>
          <w:lang w:val="en-US"/>
        </w:rPr>
        <w:t>第十二部分 基金份额持有人名册的保管</w:t>
      </w:r>
      <w:bookmarkEnd w:id="112"/>
      <w:bookmarkEnd w:id="113"/>
    </w:p>
    <w:p w14:paraId="54213936">
      <w:pPr>
        <w:spacing w:line="360" w:lineRule="auto"/>
        <w:ind w:firstLine="480" w:firstLineChars="200"/>
        <w:rPr>
          <w:rFonts w:ascii="Arial" w:hAnsi="Arial" w:cs="Arial"/>
          <w:sz w:val="24"/>
        </w:rPr>
      </w:pPr>
      <w:r>
        <w:rPr>
          <w:rFonts w:ascii="Arial" w:hAnsi="Arial" w:cs="Arial"/>
          <w:sz w:val="24"/>
        </w:rPr>
        <w:t>本基金的基金管理人和基金托管人须分别妥善保管基金份额持有人名册，包括基金合同生效日、基金合同终止日、每年6月30 日、12 月 31 日的基金份额持有人名册。基金份额持有人名册至少应包括基金份额持有人的名称和持有的基金份额。基金份额持有人名册由基金登记机构编制和保管，保存期不少于20年</w:t>
      </w:r>
      <w:r>
        <w:rPr>
          <w:rFonts w:hint="eastAsia" w:ascii="Arial" w:hAnsi="Arial" w:cs="Arial"/>
          <w:sz w:val="24"/>
        </w:rPr>
        <w:t>，法律法规另有规定或监管机关另有要求的除外</w:t>
      </w:r>
      <w:r>
        <w:rPr>
          <w:rFonts w:ascii="Arial" w:hAnsi="Arial" w:cs="Arial"/>
          <w:sz w:val="24"/>
        </w:rPr>
        <w:t>。基金管理人和基金托管人应分别保管基金份额持有人名册，保存期</w:t>
      </w:r>
      <w:r>
        <w:rPr>
          <w:rFonts w:hint="eastAsia" w:ascii="Arial" w:hAnsi="Arial" w:cs="Arial"/>
          <w:sz w:val="24"/>
        </w:rPr>
        <w:t>限不少于法律法规规定的最低期限</w:t>
      </w:r>
      <w:r>
        <w:rPr>
          <w:rFonts w:ascii="Arial" w:hAnsi="Arial" w:cs="Arial"/>
          <w:sz w:val="24"/>
        </w:rPr>
        <w:t>。如不能妥善保管，则按相关法规承担责任。</w:t>
      </w:r>
    </w:p>
    <w:p w14:paraId="3E780BE9">
      <w:pPr>
        <w:spacing w:line="360" w:lineRule="auto"/>
        <w:ind w:firstLine="480" w:firstLineChars="200"/>
        <w:rPr>
          <w:rFonts w:ascii="Arial" w:hAnsi="Arial" w:cs="Arial"/>
          <w:sz w:val="24"/>
        </w:rPr>
      </w:pPr>
      <w:r>
        <w:rPr>
          <w:rFonts w:ascii="Arial" w:hAnsi="Arial" w:cs="Arial"/>
          <w:sz w:val="24"/>
        </w:rPr>
        <w:t>基金托管人有权要求基金管理人提供任意一个交易日或全部交易日的基金份额持有人名册，基金管理人应及时提供，不得无故拒绝或延误提供，并保证其真实性、准确性和完整性。每年6月30日和12月31日的基金份额持有人名册应于下月前十个工作日内提交；基金合同生效日、基金合同终止日等涉及到基金重要事项日期的基金份额持有人名册应于发生日后十个工作日内提交。</w:t>
      </w:r>
    </w:p>
    <w:p w14:paraId="3CDCD0F0">
      <w:pPr>
        <w:spacing w:line="360" w:lineRule="auto"/>
        <w:ind w:firstLine="480" w:firstLineChars="200"/>
        <w:rPr>
          <w:rFonts w:ascii="Arial" w:hAnsi="Arial" w:cs="Arial"/>
          <w:sz w:val="24"/>
        </w:rPr>
      </w:pPr>
      <w:r>
        <w:rPr>
          <w:rFonts w:ascii="Arial" w:hAnsi="Arial" w:cs="Arial"/>
          <w:sz w:val="24"/>
        </w:rPr>
        <w:t>基金托管人不得将所保管的基金份额持有人名册用于基金托管业务以外的其他用途，并应遵守保密义务</w:t>
      </w:r>
      <w:r>
        <w:rPr>
          <w:rFonts w:hint="eastAsia" w:ascii="Arial" w:hAnsi="Arial" w:cs="Arial"/>
          <w:sz w:val="24"/>
        </w:rPr>
        <w:t>，法律法规另有规定或监管机关另有要求的除外</w:t>
      </w:r>
      <w:r>
        <w:rPr>
          <w:rFonts w:ascii="Arial" w:hAnsi="Arial" w:cs="Arial"/>
          <w:sz w:val="24"/>
        </w:rPr>
        <w:t>。</w:t>
      </w:r>
    </w:p>
    <w:p w14:paraId="2BFCC331">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14" w:name="_Toc466464099"/>
      <w:bookmarkStart w:id="115" w:name="_Toc466378888"/>
      <w:r>
        <w:rPr>
          <w:rFonts w:ascii="Arial" w:hAnsi="Arial" w:cs="Arial"/>
          <w:bCs w:val="0"/>
          <w:kern w:val="0"/>
          <w:szCs w:val="30"/>
          <w:lang w:val="en-US"/>
        </w:rPr>
        <w:t>第十三部分 基金有关文件档案的保存</w:t>
      </w:r>
      <w:bookmarkEnd w:id="114"/>
      <w:bookmarkEnd w:id="115"/>
    </w:p>
    <w:p w14:paraId="433C61BD">
      <w:pPr>
        <w:spacing w:line="360" w:lineRule="auto"/>
        <w:ind w:firstLine="480" w:firstLineChars="200"/>
        <w:rPr>
          <w:rFonts w:ascii="Arial" w:hAnsi="Arial" w:cs="Arial"/>
          <w:sz w:val="24"/>
        </w:rPr>
      </w:pPr>
      <w:r>
        <w:rPr>
          <w:rFonts w:ascii="Arial" w:hAnsi="Arial" w:cs="Arial"/>
          <w:sz w:val="24"/>
        </w:rPr>
        <w:t>（一）档案保存</w:t>
      </w:r>
    </w:p>
    <w:p w14:paraId="61CACD00">
      <w:pPr>
        <w:spacing w:line="360" w:lineRule="auto"/>
        <w:ind w:firstLine="480" w:firstLineChars="200"/>
        <w:rPr>
          <w:rFonts w:ascii="Arial" w:hAnsi="Arial" w:cs="Arial"/>
          <w:sz w:val="24"/>
        </w:rPr>
      </w:pPr>
      <w:r>
        <w:rPr>
          <w:rFonts w:ascii="Arial" w:hAnsi="Arial" w:cs="Arial"/>
          <w:sz w:val="24"/>
        </w:rPr>
        <w:t>基金管理人应保存基金财产管理业务活动的记录、账册、报表和其他相关资料。基金托管人应保存基金托管业务活动的记录、账册、报表和其他相关资料。基金管理人和基金托管人都应当按规定的期限保管。保存期限</w:t>
      </w:r>
      <w:r>
        <w:rPr>
          <w:rFonts w:hint="eastAsia" w:ascii="Arial" w:hAnsi="Arial" w:cs="Arial"/>
          <w:sz w:val="24"/>
        </w:rPr>
        <w:t>不少于法律法规规定的最低期限</w:t>
      </w:r>
      <w:r>
        <w:rPr>
          <w:rFonts w:ascii="Arial" w:hAnsi="Arial" w:cs="Arial"/>
          <w:sz w:val="24"/>
        </w:rPr>
        <w:t>。</w:t>
      </w:r>
    </w:p>
    <w:p w14:paraId="53F362CE">
      <w:pPr>
        <w:spacing w:line="360" w:lineRule="auto"/>
        <w:ind w:firstLine="480" w:firstLineChars="200"/>
        <w:rPr>
          <w:rFonts w:ascii="Arial" w:hAnsi="Arial" w:cs="Arial"/>
          <w:sz w:val="24"/>
        </w:rPr>
      </w:pPr>
      <w:r>
        <w:rPr>
          <w:rFonts w:ascii="Arial" w:hAnsi="Arial" w:cs="Arial"/>
          <w:sz w:val="24"/>
        </w:rPr>
        <w:t>（二）合同档案的建立</w:t>
      </w:r>
    </w:p>
    <w:p w14:paraId="712B5194">
      <w:pPr>
        <w:spacing w:line="360" w:lineRule="auto"/>
        <w:ind w:firstLine="480" w:firstLineChars="200"/>
        <w:rPr>
          <w:rFonts w:ascii="Arial" w:hAnsi="Arial" w:cs="Arial"/>
          <w:sz w:val="24"/>
        </w:rPr>
      </w:pPr>
      <w:r>
        <w:rPr>
          <w:rFonts w:ascii="Arial" w:hAnsi="Arial" w:cs="Arial"/>
          <w:sz w:val="24"/>
        </w:rPr>
        <w:t>1、基金管理人代表基金签署与基金相关的重大合同文本后，应及时将合同文本正本传真给基金托管人，并在十个工作日内送达基金托管人处。</w:t>
      </w:r>
    </w:p>
    <w:p w14:paraId="1B2BA399">
      <w:pPr>
        <w:spacing w:line="360" w:lineRule="auto"/>
        <w:ind w:firstLine="480" w:firstLineChars="200"/>
        <w:rPr>
          <w:rFonts w:ascii="Arial" w:hAnsi="Arial" w:cs="Arial"/>
          <w:sz w:val="24"/>
        </w:rPr>
      </w:pPr>
      <w:r>
        <w:rPr>
          <w:rFonts w:ascii="Arial" w:hAnsi="Arial" w:cs="Arial"/>
          <w:sz w:val="24"/>
        </w:rPr>
        <w:t>2、基金管理人应及时将与本基金账务处理、资金划拨等有关的合同、协议传真基金托管人。</w:t>
      </w:r>
    </w:p>
    <w:p w14:paraId="5872C6EE">
      <w:pPr>
        <w:spacing w:line="360" w:lineRule="auto"/>
        <w:ind w:firstLine="480" w:firstLineChars="200"/>
        <w:rPr>
          <w:rFonts w:ascii="Arial" w:hAnsi="Arial" w:cs="Arial"/>
          <w:sz w:val="24"/>
        </w:rPr>
      </w:pPr>
      <w:r>
        <w:rPr>
          <w:rFonts w:ascii="Arial" w:hAnsi="Arial" w:cs="Arial"/>
          <w:sz w:val="24"/>
        </w:rPr>
        <w:t>（三）变更与协助</w:t>
      </w:r>
    </w:p>
    <w:p w14:paraId="32F1ECB8">
      <w:pPr>
        <w:spacing w:line="360" w:lineRule="auto"/>
        <w:ind w:firstLine="480" w:firstLineChars="200"/>
        <w:rPr>
          <w:rFonts w:ascii="Arial" w:hAnsi="Arial" w:cs="Arial"/>
          <w:sz w:val="24"/>
        </w:rPr>
      </w:pPr>
      <w:r>
        <w:rPr>
          <w:rFonts w:ascii="Arial" w:hAnsi="Arial" w:cs="Arial"/>
          <w:sz w:val="24"/>
        </w:rPr>
        <w:t>若基金管理人/基金托管人发生变更，未变更的一方有义务协助变更后的接任人接收相应文件。</w:t>
      </w:r>
    </w:p>
    <w:p w14:paraId="32F43F77">
      <w:pPr>
        <w:spacing w:line="360" w:lineRule="auto"/>
        <w:ind w:firstLine="480" w:firstLineChars="200"/>
        <w:rPr>
          <w:rFonts w:ascii="Arial" w:hAnsi="Arial" w:cs="Arial"/>
          <w:sz w:val="24"/>
        </w:rPr>
      </w:pPr>
      <w:r>
        <w:rPr>
          <w:rFonts w:ascii="Arial" w:hAnsi="Arial" w:cs="Arial"/>
          <w:sz w:val="24"/>
        </w:rPr>
        <w:t>（四）基金管理人和基金托管人应按各自职责完整保存原始凭证、记账凭证、基金账册、交易记录和重要合同等，承担保密义务</w:t>
      </w:r>
      <w:r>
        <w:rPr>
          <w:rFonts w:hint="eastAsia" w:ascii="Arial" w:hAnsi="Arial" w:cs="Arial"/>
          <w:sz w:val="24"/>
        </w:rPr>
        <w:t>，</w:t>
      </w:r>
      <w:r>
        <w:rPr>
          <w:rFonts w:ascii="Arial" w:hAnsi="Arial" w:cs="Arial"/>
          <w:sz w:val="24"/>
        </w:rPr>
        <w:t>保存期</w:t>
      </w:r>
      <w:r>
        <w:rPr>
          <w:rFonts w:hint="eastAsia" w:ascii="Arial" w:hAnsi="Arial" w:cs="Arial"/>
          <w:sz w:val="24"/>
        </w:rPr>
        <w:t>限不少于法律法规规定的最低期限</w:t>
      </w:r>
      <w:r>
        <w:rPr>
          <w:rFonts w:ascii="Arial" w:hAnsi="Arial" w:cs="Arial"/>
          <w:sz w:val="24"/>
        </w:rPr>
        <w:t>。</w:t>
      </w:r>
    </w:p>
    <w:p w14:paraId="751F996C">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16" w:name="_Toc466464100"/>
      <w:bookmarkStart w:id="117" w:name="_Toc466378889"/>
      <w:r>
        <w:rPr>
          <w:rFonts w:ascii="Arial" w:hAnsi="Arial" w:cs="Arial"/>
          <w:bCs w:val="0"/>
          <w:kern w:val="0"/>
          <w:szCs w:val="30"/>
          <w:lang w:val="en-US"/>
        </w:rPr>
        <w:t>第十四部分 基金管理人和基金托管人的更换</w:t>
      </w:r>
      <w:bookmarkEnd w:id="116"/>
      <w:bookmarkEnd w:id="117"/>
    </w:p>
    <w:p w14:paraId="25014619">
      <w:pPr>
        <w:spacing w:line="360" w:lineRule="auto"/>
        <w:ind w:firstLine="480" w:firstLineChars="200"/>
        <w:rPr>
          <w:rFonts w:ascii="Arial" w:hAnsi="Arial" w:cs="Arial"/>
          <w:sz w:val="24"/>
        </w:rPr>
      </w:pPr>
      <w:r>
        <w:rPr>
          <w:rFonts w:ascii="Arial" w:hAnsi="Arial" w:cs="Arial"/>
          <w:sz w:val="24"/>
        </w:rPr>
        <w:t>（一）基金管理人职责终止的情形</w:t>
      </w:r>
    </w:p>
    <w:p w14:paraId="7CB1A8F7">
      <w:pPr>
        <w:spacing w:line="360" w:lineRule="auto"/>
        <w:ind w:firstLine="480" w:firstLineChars="200"/>
        <w:rPr>
          <w:rFonts w:ascii="Arial" w:hAnsi="Arial" w:cs="Arial"/>
          <w:sz w:val="24"/>
        </w:rPr>
      </w:pPr>
      <w:r>
        <w:rPr>
          <w:rFonts w:ascii="Arial" w:hAnsi="Arial" w:cs="Arial"/>
          <w:sz w:val="24"/>
        </w:rPr>
        <w:t>1、基金管理人职责终止的情形</w:t>
      </w:r>
    </w:p>
    <w:p w14:paraId="33927E7B">
      <w:pPr>
        <w:spacing w:line="360" w:lineRule="auto"/>
        <w:ind w:firstLine="480" w:firstLineChars="200"/>
        <w:rPr>
          <w:rFonts w:ascii="Arial" w:hAnsi="Arial" w:cs="Arial"/>
          <w:sz w:val="24"/>
        </w:rPr>
      </w:pPr>
      <w:r>
        <w:rPr>
          <w:rFonts w:ascii="Arial" w:hAnsi="Arial" w:cs="Arial"/>
          <w:sz w:val="24"/>
        </w:rPr>
        <w:t>有下列情形之一的，基金管理人职责终止：</w:t>
      </w:r>
    </w:p>
    <w:p w14:paraId="6BEC3DAD">
      <w:pPr>
        <w:spacing w:line="360" w:lineRule="auto"/>
        <w:ind w:firstLine="480" w:firstLineChars="200"/>
        <w:rPr>
          <w:rFonts w:ascii="Arial" w:hAnsi="Arial" w:cs="Arial"/>
          <w:sz w:val="24"/>
        </w:rPr>
      </w:pPr>
      <w:r>
        <w:rPr>
          <w:rFonts w:ascii="Arial" w:hAnsi="Arial" w:cs="Arial"/>
          <w:sz w:val="24"/>
        </w:rPr>
        <w:t>（1）被依法取消基金管理资格；</w:t>
      </w:r>
    </w:p>
    <w:p w14:paraId="2A6A9534">
      <w:pPr>
        <w:spacing w:line="360" w:lineRule="auto"/>
        <w:ind w:firstLine="480" w:firstLineChars="200"/>
        <w:rPr>
          <w:rFonts w:ascii="Arial" w:hAnsi="Arial" w:cs="Arial"/>
          <w:sz w:val="24"/>
        </w:rPr>
      </w:pPr>
      <w:r>
        <w:rPr>
          <w:rFonts w:ascii="Arial" w:hAnsi="Arial" w:cs="Arial"/>
          <w:sz w:val="24"/>
        </w:rPr>
        <w:t>（2）依法解散、被依法撤销或被依法宣告破产；</w:t>
      </w:r>
    </w:p>
    <w:p w14:paraId="28D453C2">
      <w:pPr>
        <w:spacing w:line="360" w:lineRule="auto"/>
        <w:ind w:firstLine="480" w:firstLineChars="200"/>
        <w:rPr>
          <w:rFonts w:ascii="Arial" w:hAnsi="Arial" w:cs="Arial"/>
          <w:sz w:val="24"/>
        </w:rPr>
      </w:pPr>
      <w:r>
        <w:rPr>
          <w:rFonts w:ascii="Arial" w:hAnsi="Arial" w:cs="Arial"/>
          <w:sz w:val="24"/>
        </w:rPr>
        <w:t>（3）被基金份额持有人大会解任；</w:t>
      </w:r>
    </w:p>
    <w:p w14:paraId="5ED4B167">
      <w:pPr>
        <w:spacing w:line="360" w:lineRule="auto"/>
        <w:ind w:firstLine="480" w:firstLineChars="200"/>
        <w:rPr>
          <w:rFonts w:ascii="Arial" w:hAnsi="Arial" w:cs="Arial"/>
          <w:sz w:val="24"/>
        </w:rPr>
      </w:pPr>
      <w:r>
        <w:rPr>
          <w:rFonts w:ascii="Arial" w:hAnsi="Arial" w:cs="Arial"/>
          <w:sz w:val="24"/>
        </w:rPr>
        <w:t>（4）法律法规及中国证监会规定的和《基金合同》约定的其他情形。</w:t>
      </w:r>
    </w:p>
    <w:p w14:paraId="578CA81C">
      <w:pPr>
        <w:spacing w:line="360" w:lineRule="auto"/>
        <w:ind w:firstLine="480" w:firstLineChars="200"/>
        <w:rPr>
          <w:rFonts w:ascii="Arial" w:hAnsi="Arial" w:cs="Arial"/>
          <w:sz w:val="24"/>
        </w:rPr>
      </w:pPr>
      <w:r>
        <w:rPr>
          <w:rFonts w:ascii="Arial" w:hAnsi="Arial" w:cs="Arial"/>
          <w:sz w:val="24"/>
        </w:rPr>
        <w:t>2、基金管理人的更换程序</w:t>
      </w:r>
    </w:p>
    <w:p w14:paraId="0CD665E9">
      <w:pPr>
        <w:spacing w:line="360" w:lineRule="auto"/>
        <w:ind w:firstLine="480" w:firstLineChars="200"/>
        <w:rPr>
          <w:rFonts w:ascii="Arial" w:hAnsi="Arial" w:cs="Arial"/>
          <w:sz w:val="24"/>
        </w:rPr>
      </w:pPr>
      <w:r>
        <w:rPr>
          <w:rFonts w:ascii="Arial" w:hAnsi="Arial" w:cs="Arial"/>
          <w:sz w:val="24"/>
        </w:rPr>
        <w:t>更换基金管理人必须依照如下程序进行：</w:t>
      </w:r>
    </w:p>
    <w:p w14:paraId="7A96F13E">
      <w:pPr>
        <w:spacing w:line="360" w:lineRule="auto"/>
        <w:ind w:firstLine="480" w:firstLineChars="200"/>
        <w:rPr>
          <w:rFonts w:ascii="Arial" w:hAnsi="Arial" w:cs="Arial"/>
          <w:sz w:val="24"/>
        </w:rPr>
      </w:pPr>
      <w:r>
        <w:rPr>
          <w:rFonts w:ascii="Arial" w:hAnsi="Arial" w:cs="Arial"/>
          <w:sz w:val="24"/>
        </w:rPr>
        <w:t>（1）提名：新任基金管理人由基金托管人或由单独或合计持有10%以上（含10%）基金份额的基金份额持有人提名；</w:t>
      </w:r>
    </w:p>
    <w:p w14:paraId="7F8F7388">
      <w:pPr>
        <w:spacing w:line="360" w:lineRule="auto"/>
        <w:ind w:firstLine="480" w:firstLineChars="200"/>
        <w:rPr>
          <w:rFonts w:ascii="Arial" w:hAnsi="Arial" w:cs="Arial"/>
          <w:sz w:val="24"/>
        </w:rPr>
      </w:pPr>
      <w:r>
        <w:rPr>
          <w:rFonts w:ascii="Arial" w:hAnsi="Arial" w:cs="Arial"/>
          <w:sz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5DEF3CCB">
      <w:pPr>
        <w:spacing w:line="360" w:lineRule="auto"/>
        <w:ind w:firstLine="480" w:firstLineChars="200"/>
        <w:rPr>
          <w:rFonts w:ascii="Arial" w:hAnsi="Arial" w:cs="Arial"/>
          <w:sz w:val="24"/>
        </w:rPr>
      </w:pPr>
      <w:r>
        <w:rPr>
          <w:rFonts w:ascii="Arial" w:hAnsi="Arial" w:cs="Arial"/>
          <w:sz w:val="24"/>
        </w:rPr>
        <w:t>（3）临时基金管理人：新任基金管理人产生之前，由中国证监会指定临时基金管理人；</w:t>
      </w:r>
    </w:p>
    <w:p w14:paraId="6ED590FD">
      <w:pPr>
        <w:spacing w:line="360" w:lineRule="auto"/>
        <w:ind w:firstLine="480" w:firstLineChars="200"/>
        <w:rPr>
          <w:rFonts w:ascii="Arial" w:hAnsi="Arial" w:cs="Arial"/>
          <w:sz w:val="24"/>
        </w:rPr>
      </w:pPr>
      <w:r>
        <w:rPr>
          <w:rFonts w:ascii="Arial" w:hAnsi="Arial" w:cs="Arial"/>
          <w:sz w:val="24"/>
        </w:rPr>
        <w:t>（4）备案：基金份额持有人大会</w:t>
      </w:r>
      <w:r>
        <w:rPr>
          <w:rFonts w:hint="eastAsia" w:ascii="Arial" w:hAnsi="Arial" w:cs="Arial"/>
          <w:sz w:val="24"/>
        </w:rPr>
        <w:t>更换</w:t>
      </w:r>
      <w:r>
        <w:rPr>
          <w:rFonts w:ascii="Arial" w:hAnsi="Arial" w:cs="Arial"/>
          <w:sz w:val="24"/>
        </w:rPr>
        <w:t>基金管理人的决议须报中国证监会备案；</w:t>
      </w:r>
    </w:p>
    <w:p w14:paraId="21022943">
      <w:pPr>
        <w:spacing w:line="360" w:lineRule="auto"/>
        <w:ind w:firstLine="480" w:firstLineChars="200"/>
        <w:rPr>
          <w:rFonts w:ascii="Arial" w:hAnsi="Arial" w:cs="Arial"/>
          <w:sz w:val="24"/>
        </w:rPr>
      </w:pPr>
      <w:r>
        <w:rPr>
          <w:rFonts w:ascii="Arial" w:hAnsi="Arial" w:cs="Arial"/>
          <w:sz w:val="24"/>
        </w:rPr>
        <w:t>（5）公告：基金管理人更换后，由基金托管人在更换基金管理人的基金份额持有人大会决议生效后</w:t>
      </w:r>
      <w:r>
        <w:rPr>
          <w:rFonts w:hint="eastAsia" w:ascii="Arial" w:hAnsi="Arial" w:cs="Arial"/>
          <w:sz w:val="24"/>
        </w:rPr>
        <w:t>依照《信息披露办法》</w:t>
      </w:r>
      <w:r>
        <w:rPr>
          <w:rFonts w:ascii="Arial" w:hAnsi="Arial" w:cs="Arial"/>
          <w:sz w:val="24"/>
        </w:rPr>
        <w:t>在规定媒介公告；</w:t>
      </w:r>
    </w:p>
    <w:p w14:paraId="128B7C97">
      <w:pPr>
        <w:spacing w:line="360" w:lineRule="auto"/>
        <w:ind w:firstLine="480" w:firstLineChars="200"/>
        <w:rPr>
          <w:rFonts w:ascii="Arial" w:hAnsi="Arial" w:cs="Arial"/>
          <w:sz w:val="24"/>
        </w:rPr>
      </w:pPr>
      <w:r>
        <w:rPr>
          <w:rFonts w:ascii="Arial" w:hAnsi="Arial" w:cs="Arial"/>
          <w:sz w:val="24"/>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2808ED7F">
      <w:pPr>
        <w:spacing w:line="360" w:lineRule="auto"/>
        <w:ind w:firstLine="480" w:firstLineChars="200"/>
        <w:rPr>
          <w:rFonts w:ascii="Arial" w:hAnsi="Arial" w:cs="Arial"/>
          <w:sz w:val="24"/>
        </w:rPr>
      </w:pPr>
      <w:r>
        <w:rPr>
          <w:rFonts w:ascii="Arial" w:hAnsi="Arial" w:cs="Arial"/>
          <w:sz w:val="24"/>
        </w:rPr>
        <w:t>（7）审计：基金管理人职责终止的，应当按照法律法规规定聘请会计师事务所对基金财产进行审计，并将审计结果予以公告，同时报中国证监会备案，审计费用</w:t>
      </w:r>
      <w:r>
        <w:rPr>
          <w:rFonts w:hint="eastAsia" w:ascii="Arial" w:hAnsi="Arial" w:cs="Arial"/>
          <w:sz w:val="24"/>
        </w:rPr>
        <w:t>从基金财产中列支</w:t>
      </w:r>
      <w:r>
        <w:rPr>
          <w:rFonts w:ascii="Arial" w:hAnsi="Arial" w:cs="Arial"/>
          <w:sz w:val="24"/>
        </w:rPr>
        <w:t>；</w:t>
      </w:r>
    </w:p>
    <w:p w14:paraId="550528F9">
      <w:pPr>
        <w:spacing w:line="360" w:lineRule="auto"/>
        <w:ind w:firstLine="480" w:firstLineChars="200"/>
        <w:rPr>
          <w:rFonts w:ascii="Arial" w:hAnsi="Arial" w:cs="Arial"/>
          <w:sz w:val="24"/>
        </w:rPr>
      </w:pPr>
      <w:r>
        <w:rPr>
          <w:rFonts w:ascii="Arial" w:hAnsi="Arial" w:cs="Arial"/>
          <w:sz w:val="24"/>
        </w:rPr>
        <w:t>（8）基金名称变更：基金管理人更换后，如果原任或新任基金管理人要求，应按其要求替换或删除基金名称中与原基金管理人有关的名称字样。</w:t>
      </w:r>
    </w:p>
    <w:p w14:paraId="67A283E5">
      <w:pPr>
        <w:spacing w:line="360" w:lineRule="auto"/>
        <w:ind w:firstLine="480" w:firstLineChars="200"/>
        <w:rPr>
          <w:rFonts w:ascii="Arial" w:hAnsi="Arial" w:cs="Arial"/>
          <w:sz w:val="24"/>
        </w:rPr>
      </w:pPr>
      <w:r>
        <w:rPr>
          <w:rFonts w:ascii="Arial" w:hAnsi="Arial" w:cs="Arial"/>
          <w:sz w:val="24"/>
        </w:rPr>
        <w:t>（二）基金托管人职责终止的情形</w:t>
      </w:r>
    </w:p>
    <w:p w14:paraId="0E3B9447">
      <w:pPr>
        <w:spacing w:line="360" w:lineRule="auto"/>
        <w:ind w:firstLine="480" w:firstLineChars="200"/>
        <w:rPr>
          <w:rFonts w:ascii="Arial" w:hAnsi="Arial" w:cs="Arial"/>
          <w:sz w:val="24"/>
        </w:rPr>
      </w:pPr>
      <w:r>
        <w:rPr>
          <w:rFonts w:ascii="Arial" w:hAnsi="Arial" w:cs="Arial"/>
          <w:sz w:val="24"/>
        </w:rPr>
        <w:t>1、基金托管人职责终止的情形</w:t>
      </w:r>
    </w:p>
    <w:p w14:paraId="0F0B31E5">
      <w:pPr>
        <w:spacing w:line="360" w:lineRule="auto"/>
        <w:ind w:firstLine="480" w:firstLineChars="200"/>
        <w:rPr>
          <w:rFonts w:ascii="Arial" w:hAnsi="Arial" w:cs="Arial"/>
          <w:sz w:val="24"/>
        </w:rPr>
      </w:pPr>
      <w:r>
        <w:rPr>
          <w:rFonts w:ascii="Arial" w:hAnsi="Arial" w:cs="Arial"/>
          <w:sz w:val="24"/>
        </w:rPr>
        <w:t>有下列情形之一的，基金托管人职责终止：</w:t>
      </w:r>
    </w:p>
    <w:p w14:paraId="674A96A1">
      <w:pPr>
        <w:spacing w:line="360" w:lineRule="auto"/>
        <w:ind w:firstLine="480" w:firstLineChars="200"/>
        <w:rPr>
          <w:rFonts w:ascii="Arial" w:hAnsi="Arial" w:cs="Arial"/>
          <w:sz w:val="24"/>
        </w:rPr>
      </w:pPr>
      <w:r>
        <w:rPr>
          <w:rFonts w:ascii="Arial" w:hAnsi="Arial" w:cs="Arial"/>
          <w:sz w:val="24"/>
        </w:rPr>
        <w:t>（1）被依法取消基金托管资格；</w:t>
      </w:r>
    </w:p>
    <w:p w14:paraId="49A1136A">
      <w:pPr>
        <w:spacing w:line="360" w:lineRule="auto"/>
        <w:ind w:firstLine="480" w:firstLineChars="200"/>
        <w:rPr>
          <w:rFonts w:ascii="Arial" w:hAnsi="Arial" w:cs="Arial"/>
          <w:sz w:val="24"/>
        </w:rPr>
      </w:pPr>
      <w:r>
        <w:rPr>
          <w:rFonts w:ascii="Arial" w:hAnsi="Arial" w:cs="Arial"/>
          <w:sz w:val="24"/>
        </w:rPr>
        <w:t>（2）依法解散、被依法撤销或被依法宣告破产；</w:t>
      </w:r>
    </w:p>
    <w:p w14:paraId="14E22B02">
      <w:pPr>
        <w:spacing w:line="360" w:lineRule="auto"/>
        <w:ind w:firstLine="480" w:firstLineChars="200"/>
        <w:rPr>
          <w:rFonts w:ascii="Arial" w:hAnsi="Arial" w:cs="Arial"/>
          <w:sz w:val="24"/>
        </w:rPr>
      </w:pPr>
      <w:r>
        <w:rPr>
          <w:rFonts w:ascii="Arial" w:hAnsi="Arial" w:cs="Arial"/>
          <w:sz w:val="24"/>
        </w:rPr>
        <w:t>（3）被基金份额持有人大会解任；</w:t>
      </w:r>
    </w:p>
    <w:p w14:paraId="4A0A1CE6">
      <w:pPr>
        <w:spacing w:line="360" w:lineRule="auto"/>
        <w:ind w:firstLine="480" w:firstLineChars="200"/>
        <w:rPr>
          <w:rFonts w:ascii="Arial" w:hAnsi="Arial" w:cs="Arial"/>
          <w:sz w:val="24"/>
        </w:rPr>
      </w:pPr>
      <w:r>
        <w:rPr>
          <w:rFonts w:ascii="Arial" w:hAnsi="Arial" w:cs="Arial"/>
          <w:sz w:val="24"/>
        </w:rPr>
        <w:t>（4）法律法规及中国证监会规定的和《基金合同》约定的其他情形。</w:t>
      </w:r>
    </w:p>
    <w:p w14:paraId="14DCDF9F">
      <w:pPr>
        <w:spacing w:line="360" w:lineRule="auto"/>
        <w:ind w:firstLine="480" w:firstLineChars="200"/>
        <w:rPr>
          <w:rFonts w:ascii="Arial" w:hAnsi="Arial" w:cs="Arial"/>
          <w:sz w:val="24"/>
        </w:rPr>
      </w:pPr>
      <w:r>
        <w:rPr>
          <w:rFonts w:ascii="Arial" w:hAnsi="Arial" w:cs="Arial"/>
          <w:sz w:val="24"/>
        </w:rPr>
        <w:t>2、基金托管人的更换程序</w:t>
      </w:r>
    </w:p>
    <w:p w14:paraId="147C9426">
      <w:pPr>
        <w:spacing w:line="360" w:lineRule="auto"/>
        <w:ind w:firstLine="480" w:firstLineChars="200"/>
        <w:rPr>
          <w:rFonts w:ascii="Arial" w:hAnsi="Arial" w:cs="Arial"/>
          <w:sz w:val="24"/>
        </w:rPr>
      </w:pPr>
      <w:r>
        <w:rPr>
          <w:rFonts w:ascii="Arial" w:hAnsi="Arial" w:cs="Arial"/>
          <w:sz w:val="24"/>
        </w:rPr>
        <w:t>（1）提名：新任基金托管人由基金管理人或由单独或合计持有10%以上（含10%）基金份额的基金份额持有人提名；</w:t>
      </w:r>
    </w:p>
    <w:p w14:paraId="72F1531E">
      <w:pPr>
        <w:spacing w:line="360" w:lineRule="auto"/>
        <w:ind w:firstLine="480" w:firstLineChars="200"/>
        <w:rPr>
          <w:rFonts w:ascii="Arial" w:hAnsi="Arial" w:cs="Arial"/>
          <w:sz w:val="24"/>
        </w:rPr>
      </w:pPr>
      <w:r>
        <w:rPr>
          <w:rFonts w:ascii="Arial" w:hAnsi="Arial" w:cs="Arial"/>
          <w:sz w:val="24"/>
        </w:rPr>
        <w:t>（2）决议：基金份额持有人大会在基金托管人职责终止后6个月内对被提名的基金托管人形成决议，该决议需经参加大会的基金份额持有人所持表决权的三分之二以上（含三分之二）表决通过</w:t>
      </w:r>
      <w:r>
        <w:rPr>
          <w:rFonts w:hint="eastAsia" w:ascii="Arial" w:hAnsi="Arial" w:cs="Arial"/>
          <w:sz w:val="24"/>
        </w:rPr>
        <w:t>，决议自表决通过之日起生效</w:t>
      </w:r>
      <w:r>
        <w:rPr>
          <w:rFonts w:ascii="Arial" w:hAnsi="Arial" w:cs="Arial"/>
          <w:sz w:val="24"/>
        </w:rPr>
        <w:t>；</w:t>
      </w:r>
    </w:p>
    <w:p w14:paraId="684DDE71">
      <w:pPr>
        <w:spacing w:line="360" w:lineRule="auto"/>
        <w:ind w:firstLine="480" w:firstLineChars="200"/>
        <w:rPr>
          <w:rFonts w:ascii="Arial" w:hAnsi="Arial" w:cs="Arial"/>
          <w:sz w:val="24"/>
        </w:rPr>
      </w:pPr>
      <w:r>
        <w:rPr>
          <w:rFonts w:ascii="Arial" w:hAnsi="Arial" w:cs="Arial"/>
          <w:sz w:val="24"/>
        </w:rPr>
        <w:t>（3）临时基金托管人：新任基金托管人产生之前，由中国证监会指定临时基金托管人；</w:t>
      </w:r>
    </w:p>
    <w:p w14:paraId="6B62356B">
      <w:pPr>
        <w:spacing w:line="360" w:lineRule="auto"/>
        <w:ind w:firstLine="480" w:firstLineChars="200"/>
        <w:rPr>
          <w:rFonts w:ascii="Arial" w:hAnsi="Arial" w:cs="Arial"/>
          <w:sz w:val="24"/>
        </w:rPr>
      </w:pPr>
      <w:r>
        <w:rPr>
          <w:rFonts w:ascii="Arial" w:hAnsi="Arial" w:cs="Arial"/>
          <w:sz w:val="24"/>
        </w:rPr>
        <w:t>（4）备案：基金份额持有人大会更换基金托管人的决议须报中国证监会备案；</w:t>
      </w:r>
    </w:p>
    <w:p w14:paraId="209AA5AD">
      <w:pPr>
        <w:spacing w:line="360" w:lineRule="auto"/>
        <w:ind w:firstLine="480" w:firstLineChars="200"/>
        <w:rPr>
          <w:rFonts w:ascii="Arial" w:hAnsi="Arial" w:cs="Arial"/>
          <w:sz w:val="24"/>
        </w:rPr>
      </w:pPr>
      <w:r>
        <w:rPr>
          <w:rFonts w:ascii="Arial" w:hAnsi="Arial" w:cs="Arial"/>
          <w:sz w:val="24"/>
        </w:rPr>
        <w:t>（5）公告：基金托管人更换后，由基金管理人在更换基金托管人的基金份额持有人大会决议生效后</w:t>
      </w:r>
      <w:r>
        <w:rPr>
          <w:rFonts w:hint="eastAsia" w:ascii="Arial" w:hAnsi="Arial" w:cs="Arial"/>
          <w:sz w:val="24"/>
        </w:rPr>
        <w:t>依照《信息披露办法》</w:t>
      </w:r>
      <w:r>
        <w:rPr>
          <w:rFonts w:ascii="Arial" w:hAnsi="Arial" w:cs="Arial"/>
          <w:sz w:val="24"/>
        </w:rPr>
        <w:t>在规定媒介公告；</w:t>
      </w:r>
    </w:p>
    <w:p w14:paraId="14055A18">
      <w:pPr>
        <w:spacing w:line="360" w:lineRule="auto"/>
        <w:ind w:firstLine="480" w:firstLineChars="200"/>
        <w:rPr>
          <w:rFonts w:ascii="Arial" w:hAnsi="Arial" w:cs="Arial"/>
          <w:sz w:val="24"/>
        </w:rPr>
      </w:pPr>
      <w:r>
        <w:rPr>
          <w:rFonts w:ascii="Arial" w:hAnsi="Arial" w:cs="Arial"/>
          <w:sz w:val="24"/>
        </w:rPr>
        <w:t xml:space="preserve">（6）交接：基金托管人职责终止的，应当妥善保管基金财产和基金托管业务资料，及时办理基金财产和基金托管业务的移交手续，新任基金托管人或者临时基金托管人应当及时接收。临时基金托管人或新任基金托管人应与基金管理人核对基金资产总值和净值； </w:t>
      </w:r>
    </w:p>
    <w:p w14:paraId="3F4434BC">
      <w:pPr>
        <w:spacing w:line="360" w:lineRule="auto"/>
        <w:ind w:firstLine="480" w:firstLineChars="200"/>
        <w:rPr>
          <w:rFonts w:ascii="Arial" w:hAnsi="Arial" w:cs="Arial"/>
          <w:sz w:val="24"/>
        </w:rPr>
      </w:pPr>
      <w:r>
        <w:rPr>
          <w:rFonts w:ascii="Arial" w:hAnsi="Arial" w:cs="Arial"/>
          <w:sz w:val="24"/>
        </w:rPr>
        <w:t>（7）审计：基金托管人职责终止的，应当按照法律法规规定聘请会计师事务所对基金财产进行审计，并将审计结果予以公告，同时报中国证监会备案，审计费用</w:t>
      </w:r>
      <w:r>
        <w:rPr>
          <w:rFonts w:hint="eastAsia" w:ascii="Arial" w:hAnsi="Arial" w:cs="Arial"/>
          <w:sz w:val="24"/>
        </w:rPr>
        <w:t>从基金财产中列支</w:t>
      </w:r>
      <w:r>
        <w:rPr>
          <w:rFonts w:ascii="Arial" w:hAnsi="Arial" w:cs="Arial"/>
          <w:sz w:val="24"/>
        </w:rPr>
        <w:t>。</w:t>
      </w:r>
    </w:p>
    <w:p w14:paraId="11D90111">
      <w:pPr>
        <w:spacing w:line="360" w:lineRule="auto"/>
        <w:ind w:firstLine="480" w:firstLineChars="200"/>
        <w:rPr>
          <w:rFonts w:ascii="Arial" w:hAnsi="Arial" w:cs="Arial"/>
          <w:sz w:val="24"/>
        </w:rPr>
      </w:pPr>
      <w:r>
        <w:rPr>
          <w:rFonts w:ascii="Arial" w:hAnsi="Arial" w:cs="Arial"/>
          <w:sz w:val="24"/>
        </w:rPr>
        <w:t>（三）基金管理人与基金托管人同时更换的条件和程序</w:t>
      </w:r>
    </w:p>
    <w:p w14:paraId="242A9D9C">
      <w:pPr>
        <w:spacing w:line="360" w:lineRule="auto"/>
        <w:ind w:firstLine="480" w:firstLineChars="200"/>
        <w:rPr>
          <w:rFonts w:ascii="Arial" w:hAnsi="Arial" w:cs="Arial"/>
          <w:sz w:val="24"/>
        </w:rPr>
      </w:pPr>
      <w:r>
        <w:rPr>
          <w:rFonts w:ascii="Arial" w:hAnsi="Arial" w:cs="Arial"/>
          <w:sz w:val="24"/>
        </w:rPr>
        <w:t>（1）提名：如果基金管理人和基金托管人同时更换，由单独或合计持有基金总份额10%以上（含10%）的基金份额持有人提名新的基金管理人和基金托管人；</w:t>
      </w:r>
    </w:p>
    <w:p w14:paraId="43F5937F">
      <w:pPr>
        <w:spacing w:line="360" w:lineRule="auto"/>
        <w:ind w:firstLine="480" w:firstLineChars="200"/>
        <w:rPr>
          <w:rFonts w:ascii="Arial" w:hAnsi="Arial" w:cs="Arial"/>
          <w:sz w:val="24"/>
        </w:rPr>
      </w:pPr>
      <w:r>
        <w:rPr>
          <w:rFonts w:ascii="Arial" w:hAnsi="Arial" w:cs="Arial"/>
          <w:sz w:val="24"/>
        </w:rPr>
        <w:t>（2）基金管理人和基金托管人的更换分别按上述程序进行；</w:t>
      </w:r>
    </w:p>
    <w:p w14:paraId="5A82FB58">
      <w:pPr>
        <w:spacing w:line="360" w:lineRule="auto"/>
        <w:ind w:firstLine="480" w:firstLineChars="200"/>
        <w:rPr>
          <w:rFonts w:ascii="Arial" w:hAnsi="Arial" w:cs="Arial"/>
          <w:sz w:val="24"/>
        </w:rPr>
      </w:pPr>
      <w:r>
        <w:rPr>
          <w:rFonts w:ascii="Arial" w:hAnsi="Arial" w:cs="Arial"/>
          <w:sz w:val="24"/>
        </w:rPr>
        <w:t>（3）公告：新任基金管理人和新任基金托管人应在更换基金管理人和基金托管人的基金份额持有人大会决议生效后</w:t>
      </w:r>
      <w:r>
        <w:rPr>
          <w:rFonts w:hint="eastAsia" w:ascii="Arial" w:hAnsi="Arial" w:cs="Arial"/>
          <w:sz w:val="24"/>
        </w:rPr>
        <w:t>依照《信息披露办法》</w:t>
      </w:r>
      <w:r>
        <w:rPr>
          <w:rFonts w:ascii="Arial" w:hAnsi="Arial" w:cs="Arial"/>
          <w:sz w:val="24"/>
        </w:rPr>
        <w:t>在规定媒介上联合公告。</w:t>
      </w:r>
    </w:p>
    <w:p w14:paraId="3F958AE8">
      <w:pPr>
        <w:spacing w:line="360" w:lineRule="auto"/>
        <w:ind w:firstLine="480" w:firstLineChars="200"/>
        <w:rPr>
          <w:rFonts w:ascii="Arial" w:hAnsi="Arial" w:cs="Arial"/>
          <w:sz w:val="24"/>
        </w:rPr>
      </w:pPr>
      <w:r>
        <w:rPr>
          <w:rFonts w:ascii="Arial" w:hAnsi="Arial" w:cs="Arial"/>
          <w:sz w:val="24"/>
        </w:rPr>
        <w:t>（四）新任或临时基金管理人接</w:t>
      </w:r>
      <w:r>
        <w:rPr>
          <w:rFonts w:hint="eastAsia" w:ascii="Arial" w:hAnsi="Arial" w:cs="Arial"/>
          <w:sz w:val="24"/>
        </w:rPr>
        <w:t>收</w:t>
      </w:r>
      <w:r>
        <w:rPr>
          <w:rFonts w:ascii="Arial" w:hAnsi="Arial" w:cs="Arial"/>
          <w:sz w:val="24"/>
        </w:rPr>
        <w:t>基金管理业务或新任或临时基金托管人接</w:t>
      </w:r>
      <w:r>
        <w:rPr>
          <w:rFonts w:hint="eastAsia" w:ascii="Arial" w:hAnsi="Arial" w:cs="Arial"/>
          <w:sz w:val="24"/>
        </w:rPr>
        <w:t>收</w:t>
      </w:r>
      <w:r>
        <w:rPr>
          <w:rFonts w:ascii="Arial" w:hAnsi="Arial" w:cs="Arial"/>
          <w:sz w:val="24"/>
        </w:rPr>
        <w:t>基金财产和基金托管业务前，原基金管理人或基金托管人应依据法律法规和基金合同的规定继续履行相关职责，并保证不对基金份额持有人的利益造成损害。原基金管理人或基金托管人在继续履行相关职责期间，仍有权按照基金合同的规定收取基金管理费或基金托管费。</w:t>
      </w:r>
    </w:p>
    <w:p w14:paraId="12F28755">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18" w:name="_Toc466464101"/>
      <w:bookmarkStart w:id="119" w:name="_Toc466378890"/>
      <w:r>
        <w:rPr>
          <w:rFonts w:ascii="Arial" w:hAnsi="Arial" w:cs="Arial"/>
          <w:bCs w:val="0"/>
          <w:kern w:val="0"/>
          <w:szCs w:val="30"/>
          <w:lang w:val="en-US"/>
        </w:rPr>
        <w:t>第十五部分 禁止行为</w:t>
      </w:r>
      <w:bookmarkEnd w:id="118"/>
      <w:bookmarkEnd w:id="119"/>
    </w:p>
    <w:p w14:paraId="14AA844A">
      <w:pPr>
        <w:spacing w:line="360" w:lineRule="auto"/>
        <w:ind w:firstLine="480" w:firstLineChars="200"/>
        <w:rPr>
          <w:rFonts w:ascii="Arial" w:hAnsi="Arial" w:cs="Arial"/>
          <w:sz w:val="24"/>
        </w:rPr>
      </w:pPr>
      <w:r>
        <w:rPr>
          <w:rFonts w:ascii="Arial" w:hAnsi="Arial" w:cs="Arial"/>
          <w:sz w:val="24"/>
        </w:rPr>
        <w:t>本协议当事人禁止从事的行为，包括但不限于：</w:t>
      </w:r>
    </w:p>
    <w:p w14:paraId="6E5A1C67">
      <w:pPr>
        <w:spacing w:line="360" w:lineRule="auto"/>
        <w:ind w:firstLine="480" w:firstLineChars="200"/>
        <w:rPr>
          <w:rFonts w:ascii="Arial" w:hAnsi="Arial" w:cs="Arial"/>
          <w:sz w:val="24"/>
        </w:rPr>
      </w:pPr>
      <w:r>
        <w:rPr>
          <w:rFonts w:ascii="Arial" w:hAnsi="Arial" w:cs="Arial"/>
          <w:sz w:val="24"/>
        </w:rPr>
        <w:t>（一）基金管理人、基金托管人将其固有财产或者他人财产混同于基金财产从事证券投资。</w:t>
      </w:r>
    </w:p>
    <w:p w14:paraId="04736AAE">
      <w:pPr>
        <w:spacing w:line="360" w:lineRule="auto"/>
        <w:ind w:firstLine="480" w:firstLineChars="200"/>
        <w:rPr>
          <w:rFonts w:ascii="Arial" w:hAnsi="Arial" w:cs="Arial"/>
          <w:sz w:val="24"/>
        </w:rPr>
      </w:pPr>
      <w:r>
        <w:rPr>
          <w:rFonts w:ascii="Arial" w:hAnsi="Arial" w:cs="Arial"/>
          <w:sz w:val="24"/>
        </w:rPr>
        <w:t>（二）基金管理人不公平地对待其管理的不同基金财产，基金托管人不公平地对待其托管的不同基金财产。</w:t>
      </w:r>
    </w:p>
    <w:p w14:paraId="100EEC85">
      <w:pPr>
        <w:spacing w:line="360" w:lineRule="auto"/>
        <w:ind w:firstLine="480" w:firstLineChars="200"/>
        <w:rPr>
          <w:rFonts w:ascii="Arial" w:hAnsi="Arial" w:cs="Arial"/>
          <w:sz w:val="24"/>
        </w:rPr>
      </w:pPr>
      <w:r>
        <w:rPr>
          <w:rFonts w:ascii="Arial" w:hAnsi="Arial" w:cs="Arial"/>
          <w:sz w:val="24"/>
        </w:rPr>
        <w:t>（三）基金管理人、基金托管人利用基金财产为基金份额持有人以外的第三人牟取利益。</w:t>
      </w:r>
    </w:p>
    <w:p w14:paraId="09942889">
      <w:pPr>
        <w:spacing w:line="360" w:lineRule="auto"/>
        <w:ind w:firstLine="480" w:firstLineChars="200"/>
        <w:rPr>
          <w:rFonts w:ascii="Arial" w:hAnsi="Arial" w:cs="Arial"/>
          <w:sz w:val="24"/>
        </w:rPr>
      </w:pPr>
      <w:r>
        <w:rPr>
          <w:rFonts w:ascii="Arial" w:hAnsi="Arial" w:cs="Arial"/>
          <w:sz w:val="24"/>
        </w:rPr>
        <w:t>（四）基金管理人、基金托管人向基金份额持有人违规承诺收益或者承担损失。</w:t>
      </w:r>
    </w:p>
    <w:p w14:paraId="415938D5">
      <w:pPr>
        <w:spacing w:line="360" w:lineRule="auto"/>
        <w:ind w:firstLine="480" w:firstLineChars="200"/>
        <w:rPr>
          <w:rFonts w:ascii="Arial" w:hAnsi="Arial" w:cs="Arial"/>
          <w:sz w:val="24"/>
        </w:rPr>
      </w:pPr>
      <w:r>
        <w:rPr>
          <w:rFonts w:ascii="Arial" w:hAnsi="Arial" w:cs="Arial"/>
          <w:sz w:val="24"/>
        </w:rPr>
        <w:t>（五）基金管理人、基金托管人对他人泄漏基金运作和管理过程中任何尚未按法律法规规定的方式公开披露的信息</w:t>
      </w:r>
      <w:r>
        <w:rPr>
          <w:rFonts w:hint="eastAsia" w:ascii="Arial" w:hAnsi="Arial" w:cs="Arial"/>
          <w:sz w:val="24"/>
        </w:rPr>
        <w:t>，但依据法律法规、监管规定或因司法、行政等机关要求对外提供，向所聘请的审计、法律等外部专业顾问提供的以及本协议另有约定的除外</w:t>
      </w:r>
      <w:r>
        <w:rPr>
          <w:rFonts w:ascii="Arial" w:hAnsi="Arial" w:cs="Arial"/>
          <w:sz w:val="24"/>
        </w:rPr>
        <w:t>。</w:t>
      </w:r>
    </w:p>
    <w:p w14:paraId="50492C4D">
      <w:pPr>
        <w:spacing w:line="360" w:lineRule="auto"/>
        <w:ind w:firstLine="480" w:firstLineChars="200"/>
        <w:rPr>
          <w:rFonts w:ascii="Arial" w:hAnsi="Arial" w:cs="Arial"/>
          <w:sz w:val="24"/>
        </w:rPr>
      </w:pPr>
      <w:r>
        <w:rPr>
          <w:rFonts w:ascii="Arial" w:hAnsi="Arial" w:cs="Arial"/>
          <w:sz w:val="24"/>
        </w:rPr>
        <w:t>（六）基金管理人在没有充足资金的情况下向基金托管人发出投资指令和赎回、分红资金的划拨指令，或违规向基金托管人发出指令。</w:t>
      </w:r>
    </w:p>
    <w:p w14:paraId="518446B7">
      <w:pPr>
        <w:spacing w:line="360" w:lineRule="auto"/>
        <w:ind w:firstLine="480" w:firstLineChars="200"/>
        <w:rPr>
          <w:rFonts w:ascii="Arial" w:hAnsi="Arial" w:cs="Arial"/>
          <w:sz w:val="24"/>
        </w:rPr>
      </w:pPr>
      <w:r>
        <w:rPr>
          <w:rFonts w:ascii="Arial" w:hAnsi="Arial" w:cs="Arial"/>
          <w:sz w:val="24"/>
        </w:rPr>
        <w:t>（七）基金管理人、基金托管人在行政上、财务上不独立</w:t>
      </w:r>
      <w:r>
        <w:rPr>
          <w:rFonts w:hint="eastAsia" w:ascii="Arial" w:hAnsi="Arial" w:cs="Arial"/>
          <w:sz w:val="24"/>
        </w:rPr>
        <w:t>，</w:t>
      </w:r>
      <w:r>
        <w:rPr>
          <w:rFonts w:ascii="Arial" w:hAnsi="Arial" w:cs="Arial"/>
          <w:sz w:val="24"/>
        </w:rPr>
        <w:t>其高级管理人员和其他从业人员相互兼职。</w:t>
      </w:r>
    </w:p>
    <w:p w14:paraId="4C75BE43">
      <w:pPr>
        <w:spacing w:line="360" w:lineRule="auto"/>
        <w:ind w:firstLine="480" w:firstLineChars="200"/>
        <w:rPr>
          <w:rFonts w:ascii="Arial" w:hAnsi="Arial" w:cs="Arial"/>
          <w:sz w:val="24"/>
        </w:rPr>
      </w:pPr>
      <w:r>
        <w:rPr>
          <w:rFonts w:ascii="Arial" w:hAnsi="Arial" w:cs="Arial"/>
          <w:sz w:val="24"/>
        </w:rPr>
        <w:t>（八）基金托管人私自动用或处分基金财产，根据基金管理人的合法指令、《基金合同》或托管协议的规定进行处分的除外。</w:t>
      </w:r>
    </w:p>
    <w:p w14:paraId="3A278CC9">
      <w:pPr>
        <w:spacing w:line="360" w:lineRule="auto"/>
        <w:ind w:firstLine="480" w:firstLineChars="200"/>
        <w:rPr>
          <w:rFonts w:ascii="Arial" w:hAnsi="Arial" w:cs="Arial"/>
          <w:sz w:val="24"/>
        </w:rPr>
      </w:pPr>
      <w:r>
        <w:rPr>
          <w:rFonts w:ascii="Arial" w:hAnsi="Arial" w:cs="Arial"/>
          <w:sz w:val="24"/>
        </w:rPr>
        <w:t>（九）基金财产用于下列投资或者活动：</w:t>
      </w:r>
    </w:p>
    <w:p w14:paraId="6E1AC08A">
      <w:pPr>
        <w:spacing w:line="372" w:lineRule="auto"/>
        <w:ind w:firstLine="480" w:firstLineChars="200"/>
        <w:rPr>
          <w:bCs/>
          <w:sz w:val="24"/>
        </w:rPr>
      </w:pPr>
      <w:r>
        <w:rPr>
          <w:rFonts w:hint="eastAsia"/>
          <w:bCs/>
          <w:sz w:val="24"/>
        </w:rPr>
        <w:t>1、承销证券；</w:t>
      </w:r>
    </w:p>
    <w:p w14:paraId="7F8D783D">
      <w:pPr>
        <w:spacing w:line="372" w:lineRule="auto"/>
        <w:ind w:firstLine="480" w:firstLineChars="200"/>
        <w:rPr>
          <w:bCs/>
          <w:sz w:val="24"/>
        </w:rPr>
      </w:pPr>
      <w:r>
        <w:rPr>
          <w:rFonts w:hint="eastAsia"/>
          <w:bCs/>
          <w:sz w:val="24"/>
        </w:rPr>
        <w:t>2、违反规定向他人贷款或者提供担保；</w:t>
      </w:r>
    </w:p>
    <w:p w14:paraId="3767B53B">
      <w:pPr>
        <w:spacing w:line="372" w:lineRule="auto"/>
        <w:ind w:firstLine="480" w:firstLineChars="200"/>
        <w:rPr>
          <w:bCs/>
          <w:sz w:val="24"/>
        </w:rPr>
      </w:pPr>
      <w:r>
        <w:rPr>
          <w:rFonts w:hint="eastAsia"/>
          <w:bCs/>
          <w:sz w:val="24"/>
        </w:rPr>
        <w:t>3、从事承担无限责任的投资；</w:t>
      </w:r>
    </w:p>
    <w:p w14:paraId="60F379F1">
      <w:pPr>
        <w:spacing w:line="372" w:lineRule="auto"/>
        <w:ind w:firstLine="480" w:firstLineChars="200"/>
        <w:rPr>
          <w:bCs/>
          <w:sz w:val="24"/>
        </w:rPr>
      </w:pPr>
      <w:r>
        <w:rPr>
          <w:rFonts w:hint="eastAsia"/>
          <w:bCs/>
          <w:sz w:val="24"/>
        </w:rPr>
        <w:t>4、买卖除目标ETF外的其他基金份额，但是中国证监会另有规定的除外；</w:t>
      </w:r>
    </w:p>
    <w:p w14:paraId="2920FE2F">
      <w:pPr>
        <w:spacing w:line="372" w:lineRule="auto"/>
        <w:ind w:firstLine="480" w:firstLineChars="200"/>
        <w:rPr>
          <w:bCs/>
          <w:sz w:val="24"/>
        </w:rPr>
      </w:pPr>
      <w:r>
        <w:rPr>
          <w:rFonts w:hint="eastAsia"/>
          <w:bCs/>
          <w:sz w:val="24"/>
        </w:rPr>
        <w:t>5、向其基金管理人、基金托管人出资；</w:t>
      </w:r>
    </w:p>
    <w:p w14:paraId="3E4FBC78">
      <w:pPr>
        <w:spacing w:line="372" w:lineRule="auto"/>
        <w:ind w:firstLine="480" w:firstLineChars="200"/>
        <w:rPr>
          <w:bCs/>
          <w:sz w:val="24"/>
        </w:rPr>
      </w:pPr>
      <w:r>
        <w:rPr>
          <w:rFonts w:hint="eastAsia"/>
          <w:bCs/>
          <w:sz w:val="24"/>
        </w:rPr>
        <w:t>6、从事内幕交易、操纵证券交易价格及其他不正当的证券交易活动；</w:t>
      </w:r>
    </w:p>
    <w:p w14:paraId="0D7B4DA9">
      <w:pPr>
        <w:spacing w:line="372" w:lineRule="auto"/>
        <w:ind w:firstLine="480" w:firstLineChars="200"/>
        <w:rPr>
          <w:bCs/>
          <w:sz w:val="24"/>
        </w:rPr>
      </w:pPr>
      <w:r>
        <w:rPr>
          <w:rFonts w:hint="eastAsia"/>
          <w:bCs/>
          <w:sz w:val="24"/>
        </w:rPr>
        <w:t>7、法律、行政法规和中国证监会规定禁止的其他活动。</w:t>
      </w:r>
    </w:p>
    <w:p w14:paraId="2B6EAE2E">
      <w:pPr>
        <w:spacing w:line="372"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338F439">
      <w:pPr>
        <w:spacing w:line="372" w:lineRule="auto"/>
        <w:ind w:firstLine="480" w:firstLineChars="200"/>
        <w:rPr>
          <w:bCs/>
          <w:sz w:val="24"/>
        </w:rPr>
      </w:pPr>
      <w:r>
        <w:rPr>
          <w:rFonts w:hint="eastAsia"/>
          <w:bCs/>
          <w:sz w:val="24"/>
        </w:rPr>
        <w:t>法律、行政法规或监管部门取消或变更上述限制，如适用于本基金，在履行适当程序后，则本基金投资不再受相关限制或按变更后的规定执行。</w:t>
      </w:r>
    </w:p>
    <w:p w14:paraId="60DC7848">
      <w:pPr>
        <w:spacing w:line="360" w:lineRule="auto"/>
        <w:ind w:firstLine="480" w:firstLineChars="200"/>
        <w:rPr>
          <w:rFonts w:ascii="Arial" w:hAnsi="Arial" w:cs="Arial"/>
          <w:sz w:val="24"/>
        </w:rPr>
      </w:pPr>
      <w:r>
        <w:rPr>
          <w:rFonts w:ascii="Arial" w:hAnsi="Arial" w:cs="Arial"/>
          <w:sz w:val="24"/>
        </w:rPr>
        <w:t>（十）法律法规和《基金合同》禁止的其他行为，以及依照法律、行政法规有关规定，由中国证监会规定禁止基金管理人、基金托管人从事的其他行为。</w:t>
      </w:r>
    </w:p>
    <w:p w14:paraId="5BB44266">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20" w:name="_Toc466378891"/>
      <w:bookmarkStart w:id="121" w:name="_Toc466464102"/>
      <w:r>
        <w:rPr>
          <w:rFonts w:ascii="Arial" w:hAnsi="Arial" w:cs="Arial"/>
          <w:bCs w:val="0"/>
          <w:kern w:val="0"/>
          <w:szCs w:val="30"/>
          <w:lang w:val="en-US"/>
        </w:rPr>
        <w:t>第十六部分 基金托管协议的变更、终止与基金财产的清算</w:t>
      </w:r>
      <w:bookmarkEnd w:id="120"/>
      <w:bookmarkEnd w:id="121"/>
    </w:p>
    <w:p w14:paraId="5FDCBB8A">
      <w:pPr>
        <w:spacing w:line="360" w:lineRule="auto"/>
        <w:ind w:firstLine="480" w:firstLineChars="200"/>
        <w:rPr>
          <w:rFonts w:ascii="Arial" w:hAnsi="Arial" w:cs="Arial"/>
          <w:sz w:val="24"/>
        </w:rPr>
      </w:pPr>
      <w:r>
        <w:rPr>
          <w:rFonts w:ascii="Arial" w:hAnsi="Arial" w:cs="Arial"/>
          <w:sz w:val="24"/>
        </w:rPr>
        <w:t>（一）托管协议的变更程序</w:t>
      </w:r>
    </w:p>
    <w:p w14:paraId="659A2C68">
      <w:pPr>
        <w:spacing w:line="360" w:lineRule="auto"/>
        <w:ind w:firstLine="480" w:firstLineChars="200"/>
        <w:rPr>
          <w:rFonts w:ascii="Arial" w:hAnsi="Arial" w:cs="Arial"/>
          <w:sz w:val="24"/>
        </w:rPr>
      </w:pPr>
      <w:r>
        <w:rPr>
          <w:rFonts w:ascii="Arial" w:hAnsi="Arial" w:cs="Arial"/>
          <w:sz w:val="24"/>
        </w:rPr>
        <w:t>本协议双方当事人经协商一致，可以对协议进行修改。修改后的新协议，其内容不得与《基金合同》的规定有任何冲突。基金托管协议的变更报中国证监会备案。</w:t>
      </w:r>
    </w:p>
    <w:p w14:paraId="5696438A">
      <w:pPr>
        <w:spacing w:line="360" w:lineRule="auto"/>
        <w:ind w:firstLine="480" w:firstLineChars="200"/>
        <w:rPr>
          <w:rFonts w:ascii="Arial" w:hAnsi="Arial" w:cs="Arial"/>
          <w:sz w:val="24"/>
        </w:rPr>
      </w:pPr>
      <w:r>
        <w:rPr>
          <w:rFonts w:ascii="Arial" w:hAnsi="Arial" w:cs="Arial"/>
          <w:sz w:val="24"/>
        </w:rPr>
        <w:t>（二）基金托管协议终止出现的情形</w:t>
      </w:r>
    </w:p>
    <w:p w14:paraId="2C506A5D">
      <w:pPr>
        <w:spacing w:line="360" w:lineRule="auto"/>
        <w:ind w:firstLine="480" w:firstLineChars="200"/>
        <w:rPr>
          <w:rFonts w:ascii="Arial" w:hAnsi="Arial" w:cs="Arial"/>
          <w:sz w:val="24"/>
        </w:rPr>
      </w:pPr>
      <w:r>
        <w:rPr>
          <w:rFonts w:ascii="Arial" w:hAnsi="Arial" w:cs="Arial"/>
          <w:sz w:val="24"/>
        </w:rPr>
        <w:t>1、《基金合同》终止；</w:t>
      </w:r>
    </w:p>
    <w:p w14:paraId="40F2E85F">
      <w:pPr>
        <w:spacing w:line="360" w:lineRule="auto"/>
        <w:ind w:firstLine="480" w:firstLineChars="200"/>
        <w:rPr>
          <w:rFonts w:ascii="Arial" w:hAnsi="Arial" w:cs="Arial"/>
          <w:sz w:val="24"/>
        </w:rPr>
      </w:pPr>
      <w:r>
        <w:rPr>
          <w:rFonts w:ascii="Arial" w:hAnsi="Arial" w:cs="Arial"/>
          <w:sz w:val="24"/>
        </w:rPr>
        <w:t>2、基金托管人解散、依法被撤销、破产或由其他基金托管人接管基金资产；</w:t>
      </w:r>
    </w:p>
    <w:p w14:paraId="5CEC77BA">
      <w:pPr>
        <w:spacing w:line="360" w:lineRule="auto"/>
        <w:ind w:firstLine="480" w:firstLineChars="200"/>
        <w:rPr>
          <w:rFonts w:ascii="Arial" w:hAnsi="Arial" w:cs="Arial"/>
          <w:sz w:val="24"/>
        </w:rPr>
      </w:pPr>
      <w:r>
        <w:rPr>
          <w:rFonts w:ascii="Arial" w:hAnsi="Arial" w:cs="Arial"/>
          <w:sz w:val="24"/>
        </w:rPr>
        <w:t>3、基金管理人解散、依法被撤销、破产或由其他基金管理人接管基金管理权；</w:t>
      </w:r>
    </w:p>
    <w:p w14:paraId="0D0A5B1D">
      <w:pPr>
        <w:spacing w:line="360" w:lineRule="auto"/>
        <w:ind w:firstLine="480" w:firstLineChars="200"/>
        <w:rPr>
          <w:rFonts w:ascii="Arial" w:hAnsi="Arial" w:cs="Arial"/>
          <w:sz w:val="24"/>
        </w:rPr>
      </w:pPr>
      <w:r>
        <w:rPr>
          <w:rFonts w:ascii="Arial" w:hAnsi="Arial" w:cs="Arial"/>
          <w:sz w:val="24"/>
        </w:rPr>
        <w:t>4、发生法律法规</w:t>
      </w:r>
      <w:r>
        <w:rPr>
          <w:rFonts w:hint="eastAsia" w:ascii="Arial" w:hAnsi="Arial" w:cs="Arial"/>
          <w:sz w:val="24"/>
        </w:rPr>
        <w:t>、中国证监会</w:t>
      </w:r>
      <w:r>
        <w:rPr>
          <w:rFonts w:ascii="Arial" w:hAnsi="Arial" w:cs="Arial"/>
          <w:sz w:val="24"/>
        </w:rPr>
        <w:t>或《基金合同》规定的终止事项。</w:t>
      </w:r>
    </w:p>
    <w:p w14:paraId="40909E4F">
      <w:pPr>
        <w:spacing w:line="360" w:lineRule="auto"/>
        <w:ind w:firstLine="480" w:firstLineChars="200"/>
        <w:rPr>
          <w:rFonts w:ascii="Arial" w:hAnsi="Arial" w:cs="Arial"/>
          <w:sz w:val="24"/>
        </w:rPr>
      </w:pPr>
      <w:r>
        <w:rPr>
          <w:rFonts w:ascii="Arial" w:hAnsi="Arial" w:cs="Arial"/>
          <w:sz w:val="24"/>
        </w:rPr>
        <w:t>（三）基金财产的清算</w:t>
      </w:r>
    </w:p>
    <w:p w14:paraId="33B88C53">
      <w:pPr>
        <w:spacing w:line="360" w:lineRule="auto"/>
        <w:ind w:firstLine="480" w:firstLineChars="200"/>
        <w:rPr>
          <w:rFonts w:ascii="Arial" w:hAnsi="Arial" w:cs="Arial"/>
          <w:sz w:val="24"/>
        </w:rPr>
      </w:pPr>
      <w:r>
        <w:rPr>
          <w:rFonts w:ascii="Arial" w:hAnsi="Arial" w:cs="Arial"/>
          <w:sz w:val="24"/>
        </w:rPr>
        <w:t>1、基金财产清算小组：自出现《基金合同》终止事由之日起30个工作日内成立</w:t>
      </w:r>
      <w:r>
        <w:rPr>
          <w:rFonts w:hint="eastAsia" w:ascii="Arial" w:hAnsi="Arial" w:cs="Arial"/>
          <w:sz w:val="24"/>
        </w:rPr>
        <w:t>基金财产</w:t>
      </w:r>
      <w:r>
        <w:rPr>
          <w:rFonts w:ascii="Arial" w:hAnsi="Arial" w:cs="Arial"/>
          <w:sz w:val="24"/>
        </w:rPr>
        <w:t>清算小组，基金管理人组织基金财产清算小组并在中国证监会的监督下进行基金清算。</w:t>
      </w:r>
    </w:p>
    <w:p w14:paraId="180D7E5A">
      <w:pPr>
        <w:spacing w:line="360" w:lineRule="auto"/>
        <w:ind w:firstLine="480" w:firstLineChars="200"/>
        <w:rPr>
          <w:rFonts w:ascii="Arial" w:hAnsi="Arial" w:cs="Arial"/>
          <w:sz w:val="24"/>
        </w:rPr>
      </w:pPr>
      <w:r>
        <w:rPr>
          <w:rFonts w:ascii="Arial" w:hAnsi="Arial" w:cs="Arial"/>
          <w:sz w:val="24"/>
        </w:rPr>
        <w:t>2、基金财产清算小组组成：基金财产清算小组成员由基金管理人、基金托管人、</w:t>
      </w:r>
      <w:r>
        <w:rPr>
          <w:rFonts w:hint="eastAsia" w:ascii="Arial" w:hAnsi="Arial" w:cs="Arial"/>
          <w:sz w:val="24"/>
        </w:rPr>
        <w:t>符合《证券法》规定</w:t>
      </w:r>
      <w:r>
        <w:rPr>
          <w:rFonts w:ascii="Arial" w:hAnsi="Arial" w:cs="Arial"/>
          <w:sz w:val="24"/>
        </w:rPr>
        <w:t>的注册会计师、律师以及中国证监会指定的人员组成。基金财产清算小组可以聘用必要的工作人员。</w:t>
      </w:r>
    </w:p>
    <w:p w14:paraId="76031EF8">
      <w:pPr>
        <w:spacing w:line="360" w:lineRule="auto"/>
        <w:ind w:firstLine="480" w:firstLineChars="200"/>
        <w:rPr>
          <w:rFonts w:ascii="Arial" w:hAnsi="Arial" w:cs="Arial"/>
          <w:sz w:val="24"/>
        </w:rPr>
      </w:pPr>
      <w:r>
        <w:rPr>
          <w:rFonts w:ascii="Arial" w:hAnsi="Arial" w:cs="Arial"/>
          <w:sz w:val="24"/>
        </w:rPr>
        <w:t>3、基金财产清算小组职责：基金财产清算小组负责基金财产的保管、清理、估价、变现和分配。基金财产清算小组可以依法进行必要的民事活动。</w:t>
      </w:r>
    </w:p>
    <w:p w14:paraId="13749328">
      <w:pPr>
        <w:spacing w:line="360" w:lineRule="auto"/>
        <w:ind w:firstLine="480" w:firstLineChars="200"/>
        <w:rPr>
          <w:rFonts w:ascii="Arial" w:hAnsi="Arial" w:cs="Arial"/>
          <w:sz w:val="24"/>
        </w:rPr>
      </w:pPr>
      <w:r>
        <w:rPr>
          <w:rFonts w:ascii="Arial" w:hAnsi="Arial" w:cs="Arial"/>
          <w:sz w:val="24"/>
        </w:rPr>
        <w:t>4、基金财产清算程序：</w:t>
      </w:r>
    </w:p>
    <w:p w14:paraId="4F627FD2">
      <w:pPr>
        <w:spacing w:line="360" w:lineRule="auto"/>
        <w:ind w:firstLine="480" w:firstLineChars="200"/>
        <w:rPr>
          <w:rFonts w:ascii="Arial" w:hAnsi="Arial" w:cs="Arial"/>
          <w:sz w:val="24"/>
        </w:rPr>
      </w:pPr>
      <w:r>
        <w:rPr>
          <w:rFonts w:ascii="Arial" w:hAnsi="Arial" w:cs="Arial"/>
          <w:sz w:val="24"/>
        </w:rPr>
        <w:t>（1）《基金合同》终止情形出现时，由基金财产清算小组统一接管基金；</w:t>
      </w:r>
    </w:p>
    <w:p w14:paraId="61A005A3">
      <w:pPr>
        <w:spacing w:line="360" w:lineRule="auto"/>
        <w:ind w:firstLine="480" w:firstLineChars="200"/>
        <w:rPr>
          <w:rFonts w:ascii="Arial" w:hAnsi="Arial" w:cs="Arial"/>
          <w:sz w:val="24"/>
        </w:rPr>
      </w:pPr>
      <w:r>
        <w:rPr>
          <w:rFonts w:ascii="Arial" w:hAnsi="Arial" w:cs="Arial"/>
          <w:sz w:val="24"/>
        </w:rPr>
        <w:t>（2）对基金财产和债权债务进行清理和确认；</w:t>
      </w:r>
    </w:p>
    <w:p w14:paraId="036EC1B5">
      <w:pPr>
        <w:spacing w:line="360" w:lineRule="auto"/>
        <w:ind w:firstLine="480" w:firstLineChars="200"/>
        <w:rPr>
          <w:rFonts w:ascii="Arial" w:hAnsi="Arial" w:cs="Arial"/>
          <w:sz w:val="24"/>
        </w:rPr>
      </w:pPr>
      <w:r>
        <w:rPr>
          <w:rFonts w:ascii="Arial" w:hAnsi="Arial" w:cs="Arial"/>
          <w:sz w:val="24"/>
        </w:rPr>
        <w:t>（3）对基金财产进行估值和变现；</w:t>
      </w:r>
    </w:p>
    <w:p w14:paraId="51BFE08C">
      <w:pPr>
        <w:spacing w:line="360" w:lineRule="auto"/>
        <w:ind w:firstLine="480" w:firstLineChars="200"/>
        <w:rPr>
          <w:rFonts w:ascii="Arial" w:hAnsi="Arial" w:cs="Arial"/>
          <w:sz w:val="24"/>
        </w:rPr>
      </w:pPr>
      <w:r>
        <w:rPr>
          <w:rFonts w:ascii="Arial" w:hAnsi="Arial" w:cs="Arial"/>
          <w:sz w:val="24"/>
        </w:rPr>
        <w:t>（4）制作清算报告；</w:t>
      </w:r>
    </w:p>
    <w:p w14:paraId="5AB560D6">
      <w:pPr>
        <w:spacing w:line="360" w:lineRule="auto"/>
        <w:ind w:firstLine="480" w:firstLineChars="200"/>
        <w:rPr>
          <w:rFonts w:ascii="Arial" w:hAnsi="Arial" w:cs="Arial"/>
          <w:sz w:val="24"/>
        </w:rPr>
      </w:pPr>
      <w:r>
        <w:rPr>
          <w:rFonts w:ascii="Arial" w:hAnsi="Arial" w:cs="Arial"/>
          <w:sz w:val="24"/>
        </w:rPr>
        <w:t>（5）聘请会计师事务所对清算报告进行外部审计，聘请律师事务所对清算报告出具法律意见书；</w:t>
      </w:r>
    </w:p>
    <w:p w14:paraId="631C3559">
      <w:pPr>
        <w:spacing w:line="360" w:lineRule="auto"/>
        <w:ind w:firstLine="480" w:firstLineChars="200"/>
        <w:rPr>
          <w:rFonts w:ascii="Arial" w:hAnsi="Arial" w:cs="Arial"/>
          <w:sz w:val="24"/>
        </w:rPr>
      </w:pPr>
      <w:r>
        <w:rPr>
          <w:rFonts w:ascii="Arial" w:hAnsi="Arial" w:cs="Arial"/>
          <w:sz w:val="24"/>
        </w:rPr>
        <w:t>（6）将清算报告报中国证监会备案并公告；</w:t>
      </w:r>
    </w:p>
    <w:p w14:paraId="42EFA7DB">
      <w:pPr>
        <w:spacing w:line="360" w:lineRule="auto"/>
        <w:ind w:firstLine="480" w:firstLineChars="200"/>
        <w:rPr>
          <w:rFonts w:ascii="Arial" w:hAnsi="Arial" w:cs="Arial"/>
          <w:sz w:val="24"/>
        </w:rPr>
      </w:pPr>
      <w:r>
        <w:rPr>
          <w:rFonts w:ascii="Arial" w:hAnsi="Arial" w:cs="Arial"/>
          <w:sz w:val="24"/>
        </w:rPr>
        <w:t>（7）对基金剩余财产进行分配。</w:t>
      </w:r>
    </w:p>
    <w:p w14:paraId="187A4FEE">
      <w:pPr>
        <w:spacing w:line="360" w:lineRule="auto"/>
        <w:ind w:firstLine="480" w:firstLineChars="200"/>
        <w:rPr>
          <w:rFonts w:ascii="Arial" w:hAnsi="Arial" w:cs="Arial"/>
          <w:sz w:val="24"/>
        </w:rPr>
      </w:pPr>
      <w:r>
        <w:rPr>
          <w:rFonts w:ascii="Arial" w:hAnsi="Arial" w:cs="Arial"/>
          <w:sz w:val="24"/>
        </w:rPr>
        <w:t>5、基金财产清算的期限为6个月</w:t>
      </w:r>
      <w:r>
        <w:rPr>
          <w:rFonts w:hint="eastAsia" w:ascii="Arial" w:hAnsi="Arial" w:cs="Arial"/>
          <w:sz w:val="24"/>
        </w:rPr>
        <w:t>，但因本基金所持证券的流动性受到限制而不能及时变现的，清算期限可相应顺延</w:t>
      </w:r>
      <w:r>
        <w:rPr>
          <w:rFonts w:ascii="Arial" w:hAnsi="Arial" w:cs="Arial"/>
          <w:sz w:val="24"/>
        </w:rPr>
        <w:t>。</w:t>
      </w:r>
    </w:p>
    <w:p w14:paraId="7BC7DD59">
      <w:pPr>
        <w:spacing w:line="360" w:lineRule="auto"/>
        <w:ind w:firstLine="480" w:firstLineChars="200"/>
        <w:rPr>
          <w:rFonts w:ascii="Arial" w:hAnsi="Arial" w:cs="Arial"/>
          <w:sz w:val="24"/>
        </w:rPr>
      </w:pPr>
      <w:r>
        <w:rPr>
          <w:rFonts w:ascii="Arial" w:hAnsi="Arial" w:cs="Arial"/>
          <w:sz w:val="24"/>
        </w:rPr>
        <w:t>6、清算费用</w:t>
      </w:r>
    </w:p>
    <w:p w14:paraId="6C32D1F6">
      <w:pPr>
        <w:spacing w:line="360" w:lineRule="auto"/>
        <w:ind w:firstLine="480" w:firstLineChars="200"/>
        <w:rPr>
          <w:rFonts w:ascii="Arial" w:hAnsi="Arial" w:cs="Arial"/>
          <w:sz w:val="24"/>
        </w:rPr>
      </w:pPr>
      <w:r>
        <w:rPr>
          <w:rFonts w:ascii="Arial" w:hAnsi="Arial" w:cs="Arial"/>
          <w:sz w:val="24"/>
        </w:rPr>
        <w:t>清算费用是指基金财产清算小组在进行基金清算过程中发生的所有合理费用，清算费用由基金财产清算小组优先从基金财产中支付。</w:t>
      </w:r>
    </w:p>
    <w:p w14:paraId="092E3E49">
      <w:pPr>
        <w:spacing w:line="360" w:lineRule="auto"/>
        <w:ind w:firstLine="480" w:firstLineChars="200"/>
        <w:rPr>
          <w:rFonts w:ascii="Arial" w:hAnsi="Arial" w:cs="Arial"/>
          <w:sz w:val="24"/>
        </w:rPr>
      </w:pPr>
      <w:r>
        <w:rPr>
          <w:rFonts w:ascii="Arial" w:hAnsi="Arial" w:cs="Arial"/>
          <w:sz w:val="24"/>
        </w:rPr>
        <w:t>7、基金财产清算剩余资产的分配</w:t>
      </w:r>
    </w:p>
    <w:p w14:paraId="65FC9D06">
      <w:pPr>
        <w:spacing w:line="360" w:lineRule="auto"/>
        <w:ind w:firstLine="480" w:firstLineChars="200"/>
        <w:rPr>
          <w:rFonts w:ascii="Arial" w:hAnsi="Arial" w:cs="Arial"/>
          <w:sz w:val="24"/>
        </w:rPr>
      </w:pPr>
      <w:r>
        <w:rPr>
          <w:rFonts w:ascii="Arial" w:hAnsi="Arial" w:cs="Arial"/>
          <w:sz w:val="24"/>
        </w:rPr>
        <w:t>依据基金财产清算的分配方案，将基金财产清算后的全部剩余资产扣除基金财产清算费用、交纳所欠税款并清偿基金债务后，按基金份额持有人持有的基金份额比例进行分配。</w:t>
      </w:r>
    </w:p>
    <w:p w14:paraId="15CCB160">
      <w:pPr>
        <w:spacing w:line="360" w:lineRule="auto"/>
        <w:ind w:firstLine="480" w:firstLineChars="200"/>
        <w:rPr>
          <w:rFonts w:ascii="Arial" w:hAnsi="Arial" w:cs="Arial"/>
          <w:sz w:val="24"/>
        </w:rPr>
      </w:pPr>
      <w:r>
        <w:rPr>
          <w:rFonts w:ascii="Arial" w:hAnsi="Arial" w:cs="Arial"/>
          <w:sz w:val="24"/>
        </w:rPr>
        <w:t>8、基金财产清算的公告</w:t>
      </w:r>
    </w:p>
    <w:p w14:paraId="2B9DCB62">
      <w:pPr>
        <w:spacing w:line="360" w:lineRule="auto"/>
        <w:ind w:firstLine="480" w:firstLineChars="200"/>
        <w:rPr>
          <w:rFonts w:ascii="Arial" w:hAnsi="Arial" w:cs="Arial"/>
          <w:sz w:val="24"/>
        </w:rPr>
      </w:pPr>
      <w:r>
        <w:rPr>
          <w:rFonts w:hint="eastAsia" w:ascii="Arial" w:hAnsi="Arial" w:cs="Arial"/>
          <w:sz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w:t>
      </w:r>
    </w:p>
    <w:p w14:paraId="5B7565D5">
      <w:pPr>
        <w:spacing w:line="360" w:lineRule="auto"/>
        <w:ind w:firstLine="480" w:firstLineChars="200"/>
        <w:rPr>
          <w:rFonts w:ascii="Arial" w:hAnsi="Arial" w:cs="Arial"/>
          <w:sz w:val="24"/>
        </w:rPr>
      </w:pPr>
      <w:r>
        <w:rPr>
          <w:rFonts w:ascii="Arial" w:hAnsi="Arial" w:cs="Arial"/>
          <w:sz w:val="24"/>
        </w:rPr>
        <w:t>9、基金财产清算账册及文件的保存</w:t>
      </w:r>
    </w:p>
    <w:p w14:paraId="166DBE09">
      <w:pPr>
        <w:spacing w:line="360" w:lineRule="auto"/>
        <w:ind w:firstLine="480" w:firstLineChars="200"/>
        <w:rPr>
          <w:rFonts w:ascii="Arial" w:hAnsi="Arial" w:cs="Arial"/>
          <w:sz w:val="24"/>
        </w:rPr>
      </w:pPr>
      <w:r>
        <w:rPr>
          <w:rFonts w:ascii="Arial" w:hAnsi="Arial" w:cs="Arial"/>
          <w:sz w:val="24"/>
        </w:rPr>
        <w:t>基金财产清算账册及有关文件由基金托管人保存</w:t>
      </w:r>
      <w:r>
        <w:rPr>
          <w:rFonts w:hint="eastAsia" w:ascii="Arial" w:hAnsi="Arial" w:cs="Arial"/>
          <w:sz w:val="24"/>
        </w:rPr>
        <w:t>20</w:t>
      </w:r>
      <w:r>
        <w:rPr>
          <w:rFonts w:ascii="Arial" w:hAnsi="Arial" w:cs="Arial"/>
          <w:sz w:val="24"/>
        </w:rPr>
        <w:t>年以上</w:t>
      </w:r>
      <w:r>
        <w:rPr>
          <w:rFonts w:hint="eastAsia" w:ascii="Arial" w:hAnsi="Arial" w:cs="Arial"/>
          <w:sz w:val="24"/>
        </w:rPr>
        <w:t>，法律法规或监管规则另有规定的从其规定</w:t>
      </w:r>
      <w:r>
        <w:rPr>
          <w:rFonts w:ascii="Arial" w:hAnsi="Arial" w:cs="Arial"/>
          <w:sz w:val="24"/>
        </w:rPr>
        <w:t>。</w:t>
      </w:r>
    </w:p>
    <w:p w14:paraId="11B5B8DF">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22" w:name="_Toc466464103"/>
      <w:bookmarkStart w:id="123" w:name="_Toc466378892"/>
      <w:r>
        <w:rPr>
          <w:rFonts w:ascii="Arial" w:hAnsi="Arial" w:cs="Arial"/>
          <w:bCs w:val="0"/>
          <w:kern w:val="0"/>
          <w:szCs w:val="30"/>
          <w:lang w:val="en-US"/>
        </w:rPr>
        <w:t>第十七部分 违约责任</w:t>
      </w:r>
      <w:bookmarkEnd w:id="122"/>
      <w:bookmarkEnd w:id="123"/>
    </w:p>
    <w:p w14:paraId="04DB8C1C">
      <w:pPr>
        <w:spacing w:line="360" w:lineRule="auto"/>
        <w:ind w:firstLine="480" w:firstLineChars="200"/>
        <w:rPr>
          <w:rFonts w:ascii="Arial" w:hAnsi="Arial" w:cs="Arial"/>
          <w:sz w:val="24"/>
        </w:rPr>
      </w:pPr>
      <w:r>
        <w:rPr>
          <w:rFonts w:ascii="Arial" w:hAnsi="Arial" w:cs="Arial"/>
          <w:sz w:val="24"/>
        </w:rPr>
        <w:t>（一）基金管理人、基金托管人不履行本协议或履行本协议不符合约定的，应当承担违约责任。</w:t>
      </w:r>
    </w:p>
    <w:p w14:paraId="6B552735">
      <w:pPr>
        <w:spacing w:line="360" w:lineRule="auto"/>
        <w:ind w:firstLine="480" w:firstLineChars="200"/>
        <w:rPr>
          <w:rFonts w:ascii="Arial" w:hAnsi="Arial" w:cs="Arial"/>
          <w:sz w:val="24"/>
        </w:rPr>
      </w:pPr>
      <w:r>
        <w:rPr>
          <w:rFonts w:ascii="Arial" w:hAnsi="Arial" w:cs="Arial"/>
          <w:sz w:val="24"/>
        </w:rPr>
        <w:t>（二）基金管理人、基金托管人在履行各自职责的过程中，违反《基金法》</w:t>
      </w:r>
      <w:r>
        <w:rPr>
          <w:rFonts w:ascii="Arial" w:hAnsi="Arial" w:cs="Arial"/>
          <w:bCs/>
          <w:sz w:val="24"/>
        </w:rPr>
        <w:t>等法律法规的规定</w:t>
      </w:r>
      <w:r>
        <w:rPr>
          <w:rFonts w:ascii="Arial" w:hAnsi="Arial" w:cs="Arial"/>
          <w:sz w:val="24"/>
        </w:rPr>
        <w:t>或者《基金合同》和本托管协议约定，给基金财产或者基金份额持有人造成损害的，应当分别对各自的行为依法承担赔偿责任</w:t>
      </w:r>
      <w:r>
        <w:rPr>
          <w:rFonts w:hint="eastAsia" w:ascii="Arial" w:hAnsi="Arial" w:cs="Arial"/>
          <w:sz w:val="24"/>
        </w:rPr>
        <w:t>。</w:t>
      </w:r>
      <w:r>
        <w:rPr>
          <w:rFonts w:ascii="Arial" w:hAnsi="Arial" w:cs="Arial"/>
          <w:bCs/>
          <w:sz w:val="24"/>
        </w:rPr>
        <w:t>因共同行为给基金财产或者基金份额持有人造成损害的，应当承担连带赔偿责任</w:t>
      </w:r>
      <w:r>
        <w:rPr>
          <w:rFonts w:hint="eastAsia" w:ascii="Arial" w:hAnsi="Arial" w:cs="Arial"/>
          <w:bCs/>
          <w:sz w:val="24"/>
        </w:rPr>
        <w:t>。</w:t>
      </w:r>
      <w:r>
        <w:rPr>
          <w:rFonts w:ascii="Arial" w:hAnsi="Arial" w:cs="Arial"/>
          <w:sz w:val="24"/>
        </w:rPr>
        <w:t>对损害的赔偿，仅限于直接损失。</w:t>
      </w:r>
    </w:p>
    <w:p w14:paraId="22994B0E">
      <w:pPr>
        <w:spacing w:line="360" w:lineRule="auto"/>
        <w:ind w:firstLine="480" w:firstLineChars="200"/>
        <w:rPr>
          <w:rFonts w:ascii="Arial" w:hAnsi="Arial" w:cs="Arial"/>
          <w:sz w:val="24"/>
        </w:rPr>
      </w:pPr>
      <w:r>
        <w:rPr>
          <w:rFonts w:ascii="Arial" w:hAnsi="Arial" w:cs="Arial"/>
          <w:sz w:val="24"/>
        </w:rPr>
        <w:t>（三）一方当事人违约，给另一方当事人造成损失的，应就直接损失进行赔偿；给基金财产造成损失的，应就直接损失进行赔偿，另一方当事人有权利及义务代表基金向违约方追偿。但是如发生下列情况，当事人免责：</w:t>
      </w:r>
    </w:p>
    <w:p w14:paraId="6B081F70">
      <w:pPr>
        <w:spacing w:line="360" w:lineRule="auto"/>
        <w:ind w:firstLine="480" w:firstLineChars="200"/>
        <w:rPr>
          <w:rFonts w:ascii="Arial" w:hAnsi="Arial" w:cs="Arial"/>
          <w:sz w:val="24"/>
        </w:rPr>
      </w:pPr>
      <w:r>
        <w:rPr>
          <w:rFonts w:ascii="Arial" w:hAnsi="Arial" w:cs="Arial"/>
          <w:sz w:val="24"/>
        </w:rPr>
        <w:t>（1）基金管理人和/或基金托管人按照当时有效的法律法规</w:t>
      </w:r>
      <w:r>
        <w:rPr>
          <w:rFonts w:hint="eastAsia" w:ascii="Arial" w:hAnsi="Arial" w:cs="Arial"/>
          <w:sz w:val="24"/>
        </w:rPr>
        <w:t>、规章</w:t>
      </w:r>
      <w:r>
        <w:rPr>
          <w:rFonts w:ascii="Arial" w:hAnsi="Arial" w:cs="Arial"/>
          <w:sz w:val="24"/>
        </w:rPr>
        <w:t>或中国证监会的规定作为或不作为而造成的损失等；</w:t>
      </w:r>
    </w:p>
    <w:p w14:paraId="0507A192">
      <w:pPr>
        <w:spacing w:line="360" w:lineRule="auto"/>
        <w:ind w:firstLine="480" w:firstLineChars="200"/>
        <w:rPr>
          <w:rFonts w:ascii="Arial" w:hAnsi="Arial" w:cs="Arial"/>
          <w:sz w:val="24"/>
        </w:rPr>
      </w:pPr>
      <w:r>
        <w:rPr>
          <w:rFonts w:ascii="Arial" w:hAnsi="Arial" w:cs="Arial"/>
          <w:sz w:val="24"/>
        </w:rPr>
        <w:t>（2）基金管理人由于按照基金合同</w:t>
      </w:r>
      <w:r>
        <w:rPr>
          <w:rFonts w:ascii="Arial" w:hAnsi="Arial" w:cs="Arial"/>
          <w:bCs/>
          <w:sz w:val="24"/>
        </w:rPr>
        <w:t>规定行使或不行使其投资权而造成的损失等</w:t>
      </w:r>
      <w:r>
        <w:rPr>
          <w:rFonts w:ascii="Arial" w:hAnsi="Arial" w:cs="Arial"/>
          <w:sz w:val="24"/>
        </w:rPr>
        <w:t>；</w:t>
      </w:r>
    </w:p>
    <w:p w14:paraId="1A6C87A3">
      <w:pPr>
        <w:spacing w:line="360" w:lineRule="auto"/>
        <w:ind w:firstLine="480" w:firstLineChars="200"/>
        <w:rPr>
          <w:rFonts w:ascii="Arial" w:hAnsi="Arial" w:cs="Arial"/>
          <w:sz w:val="24"/>
        </w:rPr>
      </w:pPr>
      <w:r>
        <w:rPr>
          <w:rFonts w:ascii="Arial" w:hAnsi="Arial" w:cs="Arial"/>
          <w:sz w:val="24"/>
        </w:rPr>
        <w:t>（3）基金托管人对存放或存管在基金托管人以外机构的基金资产，或交由证券公司、期货公司等其他机构负责清算交收的基金资产（包括但不限于期货保证金账户内的资金、期货合约等）及其收益，由于该机构欺诈、故意、疏忽、过失或破产等原因给本基金资产造成的损失等；</w:t>
      </w:r>
    </w:p>
    <w:p w14:paraId="17049C7A">
      <w:pPr>
        <w:spacing w:line="360" w:lineRule="auto"/>
        <w:ind w:firstLine="480" w:firstLineChars="200"/>
        <w:rPr>
          <w:rFonts w:ascii="Arial" w:hAnsi="Arial" w:cs="Arial"/>
          <w:bCs/>
          <w:sz w:val="24"/>
        </w:rPr>
      </w:pPr>
      <w:r>
        <w:rPr>
          <w:rFonts w:ascii="Arial" w:hAnsi="Arial" w:cs="Arial"/>
          <w:bCs/>
          <w:sz w:val="24"/>
        </w:rPr>
        <w:t>（4）基金托管人由于按照基金管理人符合基金合同、本托管协议约定的有效指令执行而造成的损失等；</w:t>
      </w:r>
    </w:p>
    <w:p w14:paraId="1483F4DD">
      <w:pPr>
        <w:spacing w:line="360" w:lineRule="auto"/>
        <w:ind w:firstLine="480" w:firstLineChars="200"/>
        <w:rPr>
          <w:rFonts w:ascii="Arial" w:hAnsi="Arial" w:cs="Arial"/>
          <w:sz w:val="24"/>
        </w:rPr>
      </w:pPr>
      <w:r>
        <w:rPr>
          <w:rFonts w:ascii="Arial" w:hAnsi="Arial" w:cs="Arial"/>
          <w:sz w:val="24"/>
        </w:rPr>
        <w:t>（5）基金托管人对由于基金管理人及第三方（包括但不限于交易所、登记公司、证券公司等）发送的数据错误而造成的损失等；</w:t>
      </w:r>
    </w:p>
    <w:p w14:paraId="650E7646">
      <w:pPr>
        <w:spacing w:line="360" w:lineRule="auto"/>
        <w:ind w:firstLine="480" w:firstLineChars="200"/>
        <w:rPr>
          <w:rFonts w:ascii="Arial" w:hAnsi="Arial" w:cs="Arial"/>
          <w:sz w:val="24"/>
        </w:rPr>
      </w:pPr>
      <w:r>
        <w:rPr>
          <w:rFonts w:ascii="Arial" w:hAnsi="Arial" w:cs="Arial"/>
          <w:sz w:val="24"/>
        </w:rPr>
        <w:t>（6）不可抗力。</w:t>
      </w:r>
    </w:p>
    <w:p w14:paraId="3362C09B">
      <w:pPr>
        <w:spacing w:line="360" w:lineRule="auto"/>
        <w:ind w:firstLine="480" w:firstLineChars="200"/>
        <w:rPr>
          <w:rFonts w:ascii="Arial" w:hAnsi="Arial" w:cs="Arial"/>
          <w:sz w:val="24"/>
        </w:rPr>
      </w:pPr>
      <w:r>
        <w:rPr>
          <w:rFonts w:ascii="Arial" w:hAnsi="Arial" w:cs="Arial"/>
          <w:sz w:val="24"/>
        </w:rPr>
        <w:t>（四）一方当事人违约，另一方当事人在职责范围内有义务及时采取必要的措施，尽力防止损失的扩大。</w:t>
      </w:r>
      <w:r>
        <w:rPr>
          <w:rFonts w:ascii="Arial" w:hAnsi="Arial" w:cs="Arial"/>
          <w:bCs/>
          <w:sz w:val="24"/>
        </w:rPr>
        <w:t>没有采取适当措施致使损失进一步扩大的，不得就扩大的损失要求赔偿。非违约方因防止损失扩大而支出的合理费用由违约方承担。</w:t>
      </w:r>
    </w:p>
    <w:p w14:paraId="4553F02F">
      <w:pPr>
        <w:spacing w:line="360" w:lineRule="auto"/>
        <w:ind w:firstLine="480" w:firstLineChars="200"/>
        <w:rPr>
          <w:rFonts w:ascii="Arial" w:hAnsi="Arial" w:cs="Arial"/>
          <w:sz w:val="24"/>
        </w:rPr>
      </w:pPr>
      <w:r>
        <w:rPr>
          <w:rFonts w:ascii="Arial" w:hAnsi="Arial" w:cs="Arial"/>
          <w:sz w:val="24"/>
        </w:rPr>
        <w:t>（五）违约行为虽已发生，但本托管协议能够继续履行的，在最大限度地保护基金份额持有人利益的前提下，基金管理人和基金托管人应当继续履行本协议。</w:t>
      </w:r>
    </w:p>
    <w:p w14:paraId="24C67BDC">
      <w:pPr>
        <w:spacing w:line="360" w:lineRule="auto"/>
        <w:ind w:firstLine="480" w:firstLineChars="200"/>
        <w:rPr>
          <w:rFonts w:ascii="Arial" w:hAnsi="Arial" w:cs="Arial"/>
          <w:sz w:val="24"/>
        </w:rPr>
      </w:pPr>
      <w:r>
        <w:rPr>
          <w:rFonts w:ascii="Arial" w:hAnsi="Arial" w:cs="Arial"/>
          <w:sz w:val="24"/>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7CE88993">
      <w:pPr>
        <w:pStyle w:val="2"/>
        <w:tabs>
          <w:tab w:val="clear" w:pos="432"/>
        </w:tabs>
        <w:spacing w:before="0" w:after="0" w:line="360" w:lineRule="auto"/>
        <w:ind w:left="420"/>
        <w:rPr>
          <w:rFonts w:ascii="Arial" w:hAnsi="Arial" w:cs="Arial"/>
          <w:bCs w:val="0"/>
          <w:kern w:val="0"/>
          <w:szCs w:val="30"/>
          <w:lang w:val="en-US"/>
        </w:rPr>
      </w:pPr>
      <w:r>
        <w:rPr>
          <w:rFonts w:ascii="Arial" w:hAnsi="Arial" w:cs="Arial"/>
          <w:sz w:val="24"/>
          <w:szCs w:val="24"/>
        </w:rPr>
        <w:br w:type="page"/>
      </w:r>
      <w:bookmarkStart w:id="124" w:name="_Toc466378893"/>
      <w:bookmarkStart w:id="125" w:name="_Toc466464104"/>
      <w:r>
        <w:rPr>
          <w:rFonts w:ascii="Arial" w:hAnsi="Arial" w:cs="Arial"/>
          <w:bCs w:val="0"/>
          <w:kern w:val="0"/>
          <w:szCs w:val="30"/>
          <w:lang w:val="en-US"/>
        </w:rPr>
        <w:t>第十八部分 争议解决方式</w:t>
      </w:r>
      <w:bookmarkEnd w:id="124"/>
      <w:bookmarkEnd w:id="125"/>
    </w:p>
    <w:p w14:paraId="468D9FA6">
      <w:pPr>
        <w:spacing w:line="360" w:lineRule="auto"/>
        <w:ind w:firstLine="482" w:firstLineChars="200"/>
        <w:rPr>
          <w:rFonts w:ascii="Arial" w:hAnsi="Arial" w:cs="Arial"/>
          <w:b/>
          <w:bCs/>
          <w:i/>
          <w:iCs/>
          <w:sz w:val="24"/>
        </w:rPr>
      </w:pPr>
      <w:r>
        <w:rPr>
          <w:rFonts w:ascii="Arial" w:hAnsi="Arial" w:cs="Arial"/>
          <w:b/>
          <w:bCs/>
          <w:i/>
          <w:iCs/>
          <w:sz w:val="24"/>
        </w:rPr>
        <w:t>因本协议产生或与之相关的争议，双方当事人应通过协商、调解解决，协商、调解不能解决的，任何一方均有权将争议提交</w:t>
      </w:r>
      <w:r>
        <w:rPr>
          <w:rFonts w:hint="eastAsia" w:ascii="Arial" w:hAnsi="Arial" w:cs="Arial"/>
          <w:b/>
          <w:bCs/>
          <w:i/>
          <w:iCs/>
          <w:sz w:val="24"/>
        </w:rPr>
        <w:t>中国国际经济贸易仲裁委员会，按照其届时有效的仲裁规则进行仲裁。仲裁地点为北京市。</w:t>
      </w:r>
      <w:r>
        <w:rPr>
          <w:rFonts w:ascii="Arial" w:hAnsi="Arial" w:cs="Arial"/>
          <w:b/>
          <w:bCs/>
          <w:i/>
          <w:iCs/>
          <w:sz w:val="24"/>
        </w:rPr>
        <w:t>仲裁裁决是终局性的并对各方当事人具有约束力</w:t>
      </w:r>
      <w:r>
        <w:rPr>
          <w:rFonts w:hint="eastAsia" w:ascii="Arial" w:hAnsi="Arial" w:cs="Arial"/>
          <w:b/>
          <w:bCs/>
          <w:i/>
          <w:iCs/>
          <w:sz w:val="24"/>
        </w:rPr>
        <w:t>。除非仲裁裁决另有规定，</w:t>
      </w:r>
      <w:r>
        <w:rPr>
          <w:rFonts w:ascii="Arial" w:hAnsi="Arial" w:cs="Arial"/>
          <w:b/>
          <w:bCs/>
          <w:i/>
          <w:iCs/>
          <w:sz w:val="24"/>
        </w:rPr>
        <w:t>仲裁费由败诉方承担。</w:t>
      </w:r>
    </w:p>
    <w:p w14:paraId="6245316D">
      <w:pPr>
        <w:spacing w:line="360" w:lineRule="auto"/>
        <w:ind w:firstLine="482" w:firstLineChars="200"/>
        <w:rPr>
          <w:rFonts w:ascii="Arial" w:hAnsi="Arial" w:cs="Arial"/>
          <w:b/>
          <w:bCs/>
          <w:i/>
          <w:iCs/>
          <w:sz w:val="24"/>
        </w:rPr>
      </w:pPr>
      <w:r>
        <w:rPr>
          <w:rFonts w:ascii="Arial" w:hAnsi="Arial" w:cs="Arial"/>
          <w:b/>
          <w:bCs/>
          <w:i/>
          <w:iCs/>
          <w:sz w:val="24"/>
        </w:rPr>
        <w:t>争议处理期间，双方当事人应恪守各自的职责，继续忠实、勤勉、尽责地履行基金合同和托管协议规定的义务，维护基金份额持有人的合法权益。</w:t>
      </w:r>
    </w:p>
    <w:p w14:paraId="27A52CD5">
      <w:pPr>
        <w:spacing w:line="360" w:lineRule="auto"/>
        <w:ind w:firstLine="482" w:firstLineChars="200"/>
        <w:rPr>
          <w:rFonts w:ascii="Arial" w:hAnsi="Arial" w:cs="Arial"/>
          <w:b/>
          <w:bCs/>
          <w:i/>
          <w:iCs/>
          <w:sz w:val="24"/>
          <w:szCs w:val="20"/>
        </w:rPr>
      </w:pPr>
      <w:r>
        <w:rPr>
          <w:rFonts w:ascii="Arial" w:hAnsi="Arial" w:cs="Arial"/>
          <w:b/>
          <w:bCs/>
          <w:i/>
          <w:iCs/>
          <w:sz w:val="24"/>
          <w:szCs w:val="20"/>
        </w:rPr>
        <w:t>本协议受中国</w:t>
      </w:r>
      <w:r>
        <w:rPr>
          <w:rFonts w:hint="eastAsia" w:ascii="Arial" w:hAnsi="Arial" w:cs="Arial"/>
          <w:b/>
          <w:bCs/>
          <w:i/>
          <w:iCs/>
          <w:sz w:val="24"/>
          <w:szCs w:val="20"/>
        </w:rPr>
        <w:t>（为本协议之目的，不含台湾、香港、澳门地区）</w:t>
      </w:r>
      <w:r>
        <w:rPr>
          <w:rFonts w:ascii="Arial" w:hAnsi="Arial" w:cs="Arial"/>
          <w:b/>
          <w:bCs/>
          <w:i/>
          <w:iCs/>
          <w:sz w:val="24"/>
          <w:szCs w:val="20"/>
        </w:rPr>
        <w:t>法律管辖</w:t>
      </w:r>
      <w:r>
        <w:rPr>
          <w:rFonts w:hint="eastAsia" w:ascii="Arial" w:hAnsi="Arial" w:cs="Arial"/>
          <w:b/>
          <w:bCs/>
          <w:i/>
          <w:iCs/>
          <w:sz w:val="24"/>
          <w:szCs w:val="20"/>
        </w:rPr>
        <w:t>并从其解释</w:t>
      </w:r>
      <w:r>
        <w:rPr>
          <w:rFonts w:ascii="Arial" w:hAnsi="Arial" w:cs="Arial"/>
          <w:b/>
          <w:bCs/>
          <w:i/>
          <w:iCs/>
          <w:sz w:val="24"/>
          <w:szCs w:val="20"/>
        </w:rPr>
        <w:t>。</w:t>
      </w:r>
    </w:p>
    <w:p w14:paraId="173B22F6">
      <w:pPr>
        <w:pStyle w:val="2"/>
        <w:tabs>
          <w:tab w:val="clear" w:pos="432"/>
        </w:tabs>
        <w:spacing w:before="0" w:after="0" w:line="360" w:lineRule="auto"/>
        <w:ind w:left="420"/>
        <w:rPr>
          <w:rFonts w:ascii="Arial" w:hAnsi="Arial" w:cs="Arial"/>
          <w:bCs w:val="0"/>
          <w:kern w:val="0"/>
          <w:sz w:val="24"/>
          <w:szCs w:val="24"/>
          <w:lang w:val="en-US"/>
        </w:rPr>
      </w:pPr>
      <w:r>
        <w:rPr>
          <w:rFonts w:ascii="Arial" w:hAnsi="Arial" w:cs="Arial"/>
          <w:sz w:val="24"/>
          <w:szCs w:val="24"/>
        </w:rPr>
        <w:br w:type="page"/>
      </w:r>
      <w:bookmarkStart w:id="126" w:name="_Toc466378894"/>
      <w:bookmarkStart w:id="127" w:name="_Toc466464105"/>
      <w:r>
        <w:rPr>
          <w:rFonts w:ascii="Arial" w:hAnsi="Arial" w:cs="Arial"/>
          <w:bCs w:val="0"/>
          <w:kern w:val="0"/>
          <w:sz w:val="24"/>
          <w:szCs w:val="24"/>
          <w:lang w:val="en-US"/>
        </w:rPr>
        <w:t>第十九部分 基金托管协议的效力</w:t>
      </w:r>
      <w:bookmarkEnd w:id="126"/>
      <w:bookmarkEnd w:id="127"/>
    </w:p>
    <w:p w14:paraId="7714CA2A">
      <w:pPr>
        <w:spacing w:line="360" w:lineRule="auto"/>
        <w:ind w:firstLine="480" w:firstLineChars="200"/>
        <w:rPr>
          <w:rFonts w:ascii="Arial" w:hAnsi="Arial" w:cs="Arial"/>
          <w:sz w:val="24"/>
        </w:rPr>
      </w:pPr>
      <w:r>
        <w:rPr>
          <w:rFonts w:ascii="Arial" w:hAnsi="Arial" w:cs="Arial"/>
          <w:sz w:val="24"/>
        </w:rPr>
        <w:t>双方对托管协议的效力约定如下：</w:t>
      </w:r>
    </w:p>
    <w:p w14:paraId="3D67F92E">
      <w:pPr>
        <w:spacing w:line="360" w:lineRule="auto"/>
        <w:ind w:firstLine="480" w:firstLineChars="200"/>
        <w:rPr>
          <w:rFonts w:ascii="Arial" w:hAnsi="Arial" w:cs="Arial"/>
          <w:sz w:val="24"/>
        </w:rPr>
      </w:pPr>
      <w:r>
        <w:rPr>
          <w:rFonts w:ascii="Arial" w:hAnsi="Arial" w:cs="Arial"/>
          <w:sz w:val="24"/>
        </w:rPr>
        <w:t>（一）基金管理人在向中国证监会申请发售基金份额时提交的托管协议草案，应经托管协议当事人双方盖章</w:t>
      </w:r>
      <w:r>
        <w:rPr>
          <w:rFonts w:hint="eastAsia" w:ascii="Arial" w:hAnsi="Arial" w:cs="Arial"/>
          <w:sz w:val="24"/>
        </w:rPr>
        <w:t>（公章或合同专用章）</w:t>
      </w:r>
      <w:r>
        <w:rPr>
          <w:rFonts w:ascii="Arial" w:hAnsi="Arial" w:cs="Arial"/>
          <w:sz w:val="24"/>
        </w:rPr>
        <w:t>以及双方法定代表人或授权代表</w:t>
      </w:r>
      <w:r>
        <w:rPr>
          <w:rFonts w:hint="eastAsia" w:ascii="Arial" w:hAnsi="Arial" w:cs="Arial"/>
          <w:sz w:val="24"/>
        </w:rPr>
        <w:t>签字或</w:t>
      </w:r>
      <w:r>
        <w:rPr>
          <w:rFonts w:ascii="Arial" w:hAnsi="Arial" w:cs="Arial"/>
          <w:sz w:val="24"/>
        </w:rPr>
        <w:t>签章，协议当事人双方根据中国证监会的意见修改托管协议草案。托管协议以中国证监会注册的文本为正式文本。</w:t>
      </w:r>
    </w:p>
    <w:p w14:paraId="3F7AAA56">
      <w:pPr>
        <w:spacing w:line="360" w:lineRule="auto"/>
        <w:ind w:firstLine="480" w:firstLineChars="200"/>
        <w:jc w:val="left"/>
        <w:rPr>
          <w:rFonts w:ascii="Arial" w:hAnsi="Arial" w:cs="Arial"/>
          <w:sz w:val="24"/>
        </w:rPr>
      </w:pPr>
      <w:r>
        <w:rPr>
          <w:rFonts w:ascii="Arial" w:hAnsi="Arial" w:cs="Arial"/>
          <w:sz w:val="24"/>
        </w:rPr>
        <w:t>（二）托管协议自《基金合同》成立之日起成立，自《基金合同》生效之日起生效。托管协议的有效期自其生效之日起至基金财产清算结果报中国证监会备案并公告之日止。</w:t>
      </w:r>
    </w:p>
    <w:p w14:paraId="05DD9790">
      <w:pPr>
        <w:spacing w:line="360" w:lineRule="auto"/>
        <w:ind w:firstLine="480" w:firstLineChars="200"/>
        <w:jc w:val="left"/>
        <w:rPr>
          <w:rFonts w:ascii="Arial" w:hAnsi="Arial" w:cs="Arial"/>
          <w:sz w:val="24"/>
        </w:rPr>
      </w:pPr>
      <w:r>
        <w:rPr>
          <w:rFonts w:ascii="Arial" w:hAnsi="Arial" w:cs="Arial"/>
          <w:sz w:val="24"/>
        </w:rPr>
        <w:t>（三）托管协议自生效之日起对托管协议当事人具有同等的法律约束力。</w:t>
      </w:r>
    </w:p>
    <w:p w14:paraId="4068D10C">
      <w:pPr>
        <w:spacing w:line="360" w:lineRule="auto"/>
        <w:ind w:firstLine="480" w:firstLineChars="200"/>
        <w:rPr>
          <w:rFonts w:ascii="Arial" w:hAnsi="Arial" w:cs="Arial"/>
          <w:sz w:val="24"/>
        </w:rPr>
      </w:pPr>
      <w:r>
        <w:rPr>
          <w:rFonts w:ascii="Arial" w:hAnsi="Arial" w:cs="Arial"/>
          <w:sz w:val="24"/>
        </w:rPr>
        <w:t>（四）本协议一式</w:t>
      </w:r>
      <w:r>
        <w:rPr>
          <w:rFonts w:hint="eastAsia" w:ascii="Arial" w:hAnsi="Arial" w:cs="Arial"/>
          <w:sz w:val="24"/>
        </w:rPr>
        <w:t>三</w:t>
      </w:r>
      <w:r>
        <w:rPr>
          <w:rFonts w:ascii="Arial" w:hAnsi="Arial" w:cs="Arial"/>
          <w:sz w:val="24"/>
        </w:rPr>
        <w:t>份，基金管理人持有</w:t>
      </w:r>
      <w:r>
        <w:rPr>
          <w:rFonts w:hint="eastAsia" w:ascii="Arial" w:hAnsi="Arial" w:cs="Arial"/>
          <w:sz w:val="24"/>
        </w:rPr>
        <w:t>一</w:t>
      </w:r>
      <w:r>
        <w:rPr>
          <w:rFonts w:ascii="Arial" w:hAnsi="Arial" w:cs="Arial"/>
          <w:sz w:val="24"/>
        </w:rPr>
        <w:t>份，基金托管人持有</w:t>
      </w:r>
      <w:r>
        <w:rPr>
          <w:rFonts w:hint="eastAsia" w:ascii="Arial" w:hAnsi="Arial" w:cs="Arial"/>
          <w:sz w:val="24"/>
        </w:rPr>
        <w:t>一</w:t>
      </w:r>
      <w:r>
        <w:rPr>
          <w:rFonts w:ascii="Arial" w:hAnsi="Arial" w:cs="Arial"/>
          <w:sz w:val="24"/>
        </w:rPr>
        <w:t>份，报监管机构</w:t>
      </w:r>
      <w:r>
        <w:rPr>
          <w:rFonts w:hint="eastAsia" w:ascii="Arial" w:hAnsi="Arial" w:cs="Arial"/>
          <w:sz w:val="24"/>
        </w:rPr>
        <w:t>一</w:t>
      </w:r>
      <w:r>
        <w:rPr>
          <w:rFonts w:ascii="Arial" w:hAnsi="Arial" w:cs="Arial"/>
          <w:sz w:val="24"/>
        </w:rPr>
        <w:t>份，每份具有同等的法律效力。</w:t>
      </w:r>
    </w:p>
    <w:p w14:paraId="28501CD9">
      <w:pPr>
        <w:pStyle w:val="2"/>
        <w:tabs>
          <w:tab w:val="clear" w:pos="432"/>
        </w:tabs>
        <w:spacing w:before="0" w:after="0" w:line="360" w:lineRule="auto"/>
        <w:ind w:left="420"/>
        <w:rPr>
          <w:rFonts w:ascii="Arial" w:hAnsi="Arial" w:cs="Arial"/>
          <w:bCs w:val="0"/>
          <w:kern w:val="0"/>
          <w:sz w:val="24"/>
          <w:szCs w:val="24"/>
          <w:lang w:val="en-US"/>
        </w:rPr>
      </w:pPr>
      <w:r>
        <w:rPr>
          <w:rFonts w:ascii="Arial" w:hAnsi="Arial" w:cs="Arial"/>
          <w:sz w:val="24"/>
          <w:szCs w:val="24"/>
        </w:rPr>
        <w:br w:type="page"/>
      </w:r>
      <w:bookmarkStart w:id="128" w:name="_Toc466378895"/>
      <w:bookmarkStart w:id="129" w:name="_Toc466464106"/>
      <w:r>
        <w:rPr>
          <w:rFonts w:ascii="Arial" w:hAnsi="Arial" w:cs="Arial"/>
          <w:bCs w:val="0"/>
          <w:kern w:val="0"/>
          <w:sz w:val="24"/>
          <w:szCs w:val="24"/>
          <w:lang w:val="en-US"/>
        </w:rPr>
        <w:t>第二十部分 其他事项</w:t>
      </w:r>
      <w:bookmarkEnd w:id="128"/>
      <w:bookmarkEnd w:id="129"/>
    </w:p>
    <w:p w14:paraId="291C4B85">
      <w:pPr>
        <w:spacing w:line="360" w:lineRule="auto"/>
        <w:ind w:firstLine="480" w:firstLineChars="200"/>
        <w:rPr>
          <w:rFonts w:ascii="Arial" w:hAnsi="Arial" w:cs="Arial"/>
          <w:sz w:val="24"/>
        </w:rPr>
      </w:pPr>
      <w:r>
        <w:rPr>
          <w:rFonts w:ascii="Arial" w:hAnsi="Arial" w:cs="Arial"/>
          <w:sz w:val="24"/>
        </w:rPr>
        <w:t>如发生有权司法机关依法冻结基金份额持有人的基金份额时，基金管理人应予以配合，承担司法协助义务。</w:t>
      </w:r>
    </w:p>
    <w:p w14:paraId="70A58EAF">
      <w:pPr>
        <w:spacing w:line="360" w:lineRule="auto"/>
        <w:ind w:firstLine="480" w:firstLineChars="200"/>
        <w:rPr>
          <w:rFonts w:ascii="Arial" w:hAnsi="Arial" w:cs="Arial"/>
          <w:sz w:val="24"/>
        </w:rPr>
      </w:pPr>
      <w:r>
        <w:rPr>
          <w:rFonts w:ascii="Arial" w:hAnsi="Arial" w:cs="Arial"/>
          <w:sz w:val="24"/>
        </w:rPr>
        <w:t>除本协议有明确定义外，本协议的用语定义适用《基金合同》的约定。本协议未尽事宜，当事人依据《基金合同》、有关法律法规等规定协商办理。</w:t>
      </w:r>
    </w:p>
    <w:p w14:paraId="17077C7E">
      <w:pPr>
        <w:pStyle w:val="2"/>
        <w:tabs>
          <w:tab w:val="clear" w:pos="432"/>
        </w:tabs>
        <w:spacing w:before="0" w:after="0" w:line="360" w:lineRule="auto"/>
        <w:ind w:left="420"/>
        <w:rPr>
          <w:rFonts w:ascii="Arial" w:hAnsi="Arial" w:cs="Arial"/>
          <w:bCs w:val="0"/>
          <w:kern w:val="0"/>
          <w:sz w:val="24"/>
          <w:szCs w:val="24"/>
          <w:lang w:val="en-US"/>
        </w:rPr>
      </w:pPr>
      <w:r>
        <w:rPr>
          <w:rFonts w:ascii="Arial" w:hAnsi="Arial" w:cs="Arial"/>
          <w:sz w:val="24"/>
          <w:szCs w:val="24"/>
        </w:rPr>
        <w:br w:type="page"/>
      </w:r>
      <w:bookmarkStart w:id="130" w:name="_Toc466378896"/>
      <w:bookmarkStart w:id="131" w:name="_Toc466464107"/>
      <w:r>
        <w:rPr>
          <w:rFonts w:ascii="Arial" w:hAnsi="Arial" w:cs="Arial"/>
          <w:bCs w:val="0"/>
          <w:kern w:val="0"/>
          <w:sz w:val="24"/>
          <w:szCs w:val="24"/>
          <w:lang w:val="en-US"/>
        </w:rPr>
        <w:t>第二十一部分 基金托管协议的签订</w:t>
      </w:r>
      <w:bookmarkEnd w:id="130"/>
      <w:bookmarkEnd w:id="131"/>
    </w:p>
    <w:p w14:paraId="23BB6771">
      <w:pPr>
        <w:spacing w:line="360" w:lineRule="auto"/>
        <w:ind w:firstLine="480" w:firstLineChars="200"/>
        <w:rPr>
          <w:rFonts w:ascii="Arial" w:hAnsi="Arial" w:cs="Arial"/>
          <w:sz w:val="24"/>
        </w:rPr>
      </w:pPr>
      <w:r>
        <w:rPr>
          <w:rFonts w:ascii="Arial" w:hAnsi="Arial" w:cs="Arial"/>
          <w:sz w:val="24"/>
        </w:rPr>
        <w:t>本协议双方法定代表人或授权代表</w:t>
      </w:r>
      <w:r>
        <w:rPr>
          <w:rFonts w:hint="eastAsia" w:ascii="Arial" w:hAnsi="Arial" w:cs="Arial"/>
          <w:sz w:val="24"/>
        </w:rPr>
        <w:t>签字或</w:t>
      </w:r>
      <w:r>
        <w:rPr>
          <w:rFonts w:ascii="Arial" w:hAnsi="Arial" w:cs="Arial"/>
          <w:sz w:val="24"/>
        </w:rPr>
        <w:t>签章、签订地、签订日。</w:t>
      </w:r>
    </w:p>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彩虹粗仿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4C38B">
    <w:pPr>
      <w:pStyle w:val="17"/>
      <w:jc w:val="center"/>
    </w:pPr>
  </w:p>
  <w:p w14:paraId="69AD43D4">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2ECCD">
    <w:pPr>
      <w:pStyle w:val="17"/>
      <w:jc w:val="center"/>
    </w:pPr>
  </w:p>
  <w:p w14:paraId="191DDC73">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9B859">
    <w:pPr>
      <w:pStyle w:val="18"/>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D218E">
    <w:pPr>
      <w:pStyle w:val="18"/>
      <w:pBdr>
        <w:bottom w:val="none" w:color="auto" w:sz="0" w:space="0"/>
      </w:pBdr>
      <w:ind w:firstLine="90" w:firstLineChars="5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164B80"/>
    <w:multiLevelType w:val="multilevel"/>
    <w:tmpl w:val="65164B80"/>
    <w:lvl w:ilvl="0" w:tentative="0">
      <w:start w:val="1"/>
      <w:numFmt w:val="decimal"/>
      <w:lvlText w:val="%1"/>
      <w:lvlJc w:val="left"/>
      <w:pPr>
        <w:tabs>
          <w:tab w:val="left" w:pos="432"/>
        </w:tabs>
        <w:ind w:left="432" w:hanging="432"/>
      </w:pPr>
    </w:lvl>
    <w:lvl w:ilvl="1" w:tentative="0">
      <w:start w:val="1"/>
      <w:numFmt w:val="decimal"/>
      <w:pStyle w:val="3"/>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4A5D"/>
    <w:rsid w:val="00001529"/>
    <w:rsid w:val="00005127"/>
    <w:rsid w:val="00005296"/>
    <w:rsid w:val="000112FE"/>
    <w:rsid w:val="0001239B"/>
    <w:rsid w:val="00013476"/>
    <w:rsid w:val="000144F3"/>
    <w:rsid w:val="00016325"/>
    <w:rsid w:val="00017696"/>
    <w:rsid w:val="0001797E"/>
    <w:rsid w:val="000253B8"/>
    <w:rsid w:val="0002636A"/>
    <w:rsid w:val="000273D1"/>
    <w:rsid w:val="0003156B"/>
    <w:rsid w:val="00035044"/>
    <w:rsid w:val="00035939"/>
    <w:rsid w:val="00036389"/>
    <w:rsid w:val="00036F73"/>
    <w:rsid w:val="00041191"/>
    <w:rsid w:val="0004331C"/>
    <w:rsid w:val="000433A5"/>
    <w:rsid w:val="00045954"/>
    <w:rsid w:val="00051DB2"/>
    <w:rsid w:val="0005204C"/>
    <w:rsid w:val="00053BF9"/>
    <w:rsid w:val="000672DC"/>
    <w:rsid w:val="00072951"/>
    <w:rsid w:val="000766A8"/>
    <w:rsid w:val="00080253"/>
    <w:rsid w:val="0008322C"/>
    <w:rsid w:val="00084A4D"/>
    <w:rsid w:val="00087340"/>
    <w:rsid w:val="000944C6"/>
    <w:rsid w:val="00097DAF"/>
    <w:rsid w:val="000A1209"/>
    <w:rsid w:val="000A2437"/>
    <w:rsid w:val="000A3CF5"/>
    <w:rsid w:val="000A4075"/>
    <w:rsid w:val="000A425D"/>
    <w:rsid w:val="000A4B2A"/>
    <w:rsid w:val="000A75D6"/>
    <w:rsid w:val="000B5071"/>
    <w:rsid w:val="000C214A"/>
    <w:rsid w:val="000C3DA7"/>
    <w:rsid w:val="000C4715"/>
    <w:rsid w:val="000C5E6B"/>
    <w:rsid w:val="000D6B2D"/>
    <w:rsid w:val="000E015D"/>
    <w:rsid w:val="000E18ED"/>
    <w:rsid w:val="000E2D98"/>
    <w:rsid w:val="000E5C1A"/>
    <w:rsid w:val="000E7012"/>
    <w:rsid w:val="000E74EF"/>
    <w:rsid w:val="000F05F3"/>
    <w:rsid w:val="000F2424"/>
    <w:rsid w:val="000F2FC2"/>
    <w:rsid w:val="001057B1"/>
    <w:rsid w:val="00111BF5"/>
    <w:rsid w:val="00117F15"/>
    <w:rsid w:val="0012580B"/>
    <w:rsid w:val="00127DE4"/>
    <w:rsid w:val="00127F8C"/>
    <w:rsid w:val="00130D33"/>
    <w:rsid w:val="0013178C"/>
    <w:rsid w:val="00132C27"/>
    <w:rsid w:val="001344E7"/>
    <w:rsid w:val="00135F19"/>
    <w:rsid w:val="00144399"/>
    <w:rsid w:val="001475C6"/>
    <w:rsid w:val="00147B94"/>
    <w:rsid w:val="001505E7"/>
    <w:rsid w:val="00151AA1"/>
    <w:rsid w:val="00154712"/>
    <w:rsid w:val="00157725"/>
    <w:rsid w:val="0016339F"/>
    <w:rsid w:val="00164DD6"/>
    <w:rsid w:val="00165F8E"/>
    <w:rsid w:val="001707CD"/>
    <w:rsid w:val="00174A34"/>
    <w:rsid w:val="00175BE4"/>
    <w:rsid w:val="00180A37"/>
    <w:rsid w:val="00182657"/>
    <w:rsid w:val="001851E8"/>
    <w:rsid w:val="001852BE"/>
    <w:rsid w:val="00185A2E"/>
    <w:rsid w:val="00186B2C"/>
    <w:rsid w:val="001A2741"/>
    <w:rsid w:val="001A6D60"/>
    <w:rsid w:val="001A7C34"/>
    <w:rsid w:val="001B0B1D"/>
    <w:rsid w:val="001B18AE"/>
    <w:rsid w:val="001B211D"/>
    <w:rsid w:val="001B3DE0"/>
    <w:rsid w:val="001B4139"/>
    <w:rsid w:val="001B5811"/>
    <w:rsid w:val="001B5A5F"/>
    <w:rsid w:val="001C1B88"/>
    <w:rsid w:val="001C7C1E"/>
    <w:rsid w:val="001D5A85"/>
    <w:rsid w:val="001E50A0"/>
    <w:rsid w:val="001F0EA5"/>
    <w:rsid w:val="001F4132"/>
    <w:rsid w:val="001F430C"/>
    <w:rsid w:val="001F4B93"/>
    <w:rsid w:val="001F5252"/>
    <w:rsid w:val="001F712B"/>
    <w:rsid w:val="001F7B9F"/>
    <w:rsid w:val="00201007"/>
    <w:rsid w:val="0020279D"/>
    <w:rsid w:val="00205CDB"/>
    <w:rsid w:val="00205E63"/>
    <w:rsid w:val="002061AF"/>
    <w:rsid w:val="00210B7B"/>
    <w:rsid w:val="00215E31"/>
    <w:rsid w:val="002162C5"/>
    <w:rsid w:val="00216A49"/>
    <w:rsid w:val="0022038D"/>
    <w:rsid w:val="002228A3"/>
    <w:rsid w:val="00232B3F"/>
    <w:rsid w:val="002334A2"/>
    <w:rsid w:val="00233EEB"/>
    <w:rsid w:val="00235947"/>
    <w:rsid w:val="00235C99"/>
    <w:rsid w:val="00243668"/>
    <w:rsid w:val="0024417A"/>
    <w:rsid w:val="00245834"/>
    <w:rsid w:val="002464A0"/>
    <w:rsid w:val="00246F31"/>
    <w:rsid w:val="00247877"/>
    <w:rsid w:val="00253800"/>
    <w:rsid w:val="002547CC"/>
    <w:rsid w:val="00260423"/>
    <w:rsid w:val="00262570"/>
    <w:rsid w:val="002653CF"/>
    <w:rsid w:val="00266DB5"/>
    <w:rsid w:val="002727E5"/>
    <w:rsid w:val="00272B01"/>
    <w:rsid w:val="00274A31"/>
    <w:rsid w:val="002755DD"/>
    <w:rsid w:val="00280296"/>
    <w:rsid w:val="00285DD6"/>
    <w:rsid w:val="00287B2C"/>
    <w:rsid w:val="00294D26"/>
    <w:rsid w:val="0029539C"/>
    <w:rsid w:val="002A0F4A"/>
    <w:rsid w:val="002A1F21"/>
    <w:rsid w:val="002A4F74"/>
    <w:rsid w:val="002B2C3F"/>
    <w:rsid w:val="002B5AD2"/>
    <w:rsid w:val="002B605E"/>
    <w:rsid w:val="002C393E"/>
    <w:rsid w:val="002D5C5D"/>
    <w:rsid w:val="002E1263"/>
    <w:rsid w:val="002E1D54"/>
    <w:rsid w:val="002F3106"/>
    <w:rsid w:val="002F5E98"/>
    <w:rsid w:val="0030584A"/>
    <w:rsid w:val="003105B8"/>
    <w:rsid w:val="00311D81"/>
    <w:rsid w:val="0031284B"/>
    <w:rsid w:val="003135B7"/>
    <w:rsid w:val="00325388"/>
    <w:rsid w:val="003260F3"/>
    <w:rsid w:val="00326E36"/>
    <w:rsid w:val="00333F4A"/>
    <w:rsid w:val="0033400D"/>
    <w:rsid w:val="0033545C"/>
    <w:rsid w:val="00345367"/>
    <w:rsid w:val="00346C19"/>
    <w:rsid w:val="00352D10"/>
    <w:rsid w:val="00353E40"/>
    <w:rsid w:val="0035498F"/>
    <w:rsid w:val="00361E6A"/>
    <w:rsid w:val="0036394A"/>
    <w:rsid w:val="00364512"/>
    <w:rsid w:val="0036714C"/>
    <w:rsid w:val="003674BF"/>
    <w:rsid w:val="00372913"/>
    <w:rsid w:val="00376026"/>
    <w:rsid w:val="00382F41"/>
    <w:rsid w:val="00384DEA"/>
    <w:rsid w:val="00392C82"/>
    <w:rsid w:val="00394955"/>
    <w:rsid w:val="00396C35"/>
    <w:rsid w:val="00396CF7"/>
    <w:rsid w:val="003A1524"/>
    <w:rsid w:val="003A7BFF"/>
    <w:rsid w:val="003B1F05"/>
    <w:rsid w:val="003B6BE9"/>
    <w:rsid w:val="003C0D96"/>
    <w:rsid w:val="003C34C5"/>
    <w:rsid w:val="003C5233"/>
    <w:rsid w:val="003C6121"/>
    <w:rsid w:val="003C7982"/>
    <w:rsid w:val="003C7A92"/>
    <w:rsid w:val="003D167D"/>
    <w:rsid w:val="003D31CD"/>
    <w:rsid w:val="003D566B"/>
    <w:rsid w:val="003E10C6"/>
    <w:rsid w:val="003E3F24"/>
    <w:rsid w:val="003E6C5B"/>
    <w:rsid w:val="003F012E"/>
    <w:rsid w:val="003F0630"/>
    <w:rsid w:val="003F5CF7"/>
    <w:rsid w:val="00401020"/>
    <w:rsid w:val="00402BE5"/>
    <w:rsid w:val="00406204"/>
    <w:rsid w:val="004143C7"/>
    <w:rsid w:val="004215CE"/>
    <w:rsid w:val="00421BF6"/>
    <w:rsid w:val="0042234D"/>
    <w:rsid w:val="00423C34"/>
    <w:rsid w:val="00424BFC"/>
    <w:rsid w:val="004367EB"/>
    <w:rsid w:val="0044242B"/>
    <w:rsid w:val="00442BFA"/>
    <w:rsid w:val="00443D9F"/>
    <w:rsid w:val="0044672A"/>
    <w:rsid w:val="004717F0"/>
    <w:rsid w:val="0047374B"/>
    <w:rsid w:val="004759CF"/>
    <w:rsid w:val="00485397"/>
    <w:rsid w:val="004857A4"/>
    <w:rsid w:val="00494642"/>
    <w:rsid w:val="004961DF"/>
    <w:rsid w:val="004A2356"/>
    <w:rsid w:val="004A47B8"/>
    <w:rsid w:val="004A4B2D"/>
    <w:rsid w:val="004A6ADC"/>
    <w:rsid w:val="004B1CA5"/>
    <w:rsid w:val="004B3F65"/>
    <w:rsid w:val="004B5819"/>
    <w:rsid w:val="004B61E6"/>
    <w:rsid w:val="004D296D"/>
    <w:rsid w:val="004D2B69"/>
    <w:rsid w:val="004D3C47"/>
    <w:rsid w:val="004D43B5"/>
    <w:rsid w:val="004D640A"/>
    <w:rsid w:val="004D64D2"/>
    <w:rsid w:val="004E191A"/>
    <w:rsid w:val="004E3F12"/>
    <w:rsid w:val="004E400F"/>
    <w:rsid w:val="004E4CEC"/>
    <w:rsid w:val="004E5BFB"/>
    <w:rsid w:val="004E7E36"/>
    <w:rsid w:val="004F5E84"/>
    <w:rsid w:val="004F60F6"/>
    <w:rsid w:val="004F6C60"/>
    <w:rsid w:val="004F7666"/>
    <w:rsid w:val="00503F4B"/>
    <w:rsid w:val="00504A6F"/>
    <w:rsid w:val="00523653"/>
    <w:rsid w:val="00527213"/>
    <w:rsid w:val="0052781E"/>
    <w:rsid w:val="00530844"/>
    <w:rsid w:val="00531429"/>
    <w:rsid w:val="00534943"/>
    <w:rsid w:val="00534E92"/>
    <w:rsid w:val="00534FD5"/>
    <w:rsid w:val="005400B3"/>
    <w:rsid w:val="00540E60"/>
    <w:rsid w:val="00541D17"/>
    <w:rsid w:val="00543FE8"/>
    <w:rsid w:val="00544D3C"/>
    <w:rsid w:val="00544D89"/>
    <w:rsid w:val="00553A19"/>
    <w:rsid w:val="00557F1D"/>
    <w:rsid w:val="00557FDB"/>
    <w:rsid w:val="00562529"/>
    <w:rsid w:val="00563B14"/>
    <w:rsid w:val="00571743"/>
    <w:rsid w:val="00573F91"/>
    <w:rsid w:val="00581A04"/>
    <w:rsid w:val="00583148"/>
    <w:rsid w:val="0058395C"/>
    <w:rsid w:val="00584004"/>
    <w:rsid w:val="005859D7"/>
    <w:rsid w:val="00585B89"/>
    <w:rsid w:val="00585F46"/>
    <w:rsid w:val="0058749D"/>
    <w:rsid w:val="00587F84"/>
    <w:rsid w:val="005921A1"/>
    <w:rsid w:val="00595B6C"/>
    <w:rsid w:val="0059711F"/>
    <w:rsid w:val="00597723"/>
    <w:rsid w:val="005A3345"/>
    <w:rsid w:val="005A3E0F"/>
    <w:rsid w:val="005A4028"/>
    <w:rsid w:val="005A4EE8"/>
    <w:rsid w:val="005A7156"/>
    <w:rsid w:val="005A7750"/>
    <w:rsid w:val="005B3F1D"/>
    <w:rsid w:val="005B641E"/>
    <w:rsid w:val="005B6871"/>
    <w:rsid w:val="005B6D7A"/>
    <w:rsid w:val="005B7D41"/>
    <w:rsid w:val="005C015B"/>
    <w:rsid w:val="005C6415"/>
    <w:rsid w:val="005D25C4"/>
    <w:rsid w:val="005D2F6E"/>
    <w:rsid w:val="005D40FF"/>
    <w:rsid w:val="005D4B41"/>
    <w:rsid w:val="005D4DC7"/>
    <w:rsid w:val="005D534D"/>
    <w:rsid w:val="005D5833"/>
    <w:rsid w:val="005E0667"/>
    <w:rsid w:val="005E2400"/>
    <w:rsid w:val="005E29CC"/>
    <w:rsid w:val="005E443F"/>
    <w:rsid w:val="005E7F2E"/>
    <w:rsid w:val="005F05D1"/>
    <w:rsid w:val="005F0658"/>
    <w:rsid w:val="005F1A5F"/>
    <w:rsid w:val="005F6E67"/>
    <w:rsid w:val="006033DA"/>
    <w:rsid w:val="00603819"/>
    <w:rsid w:val="00605462"/>
    <w:rsid w:val="00606FB3"/>
    <w:rsid w:val="00610AB6"/>
    <w:rsid w:val="006117FE"/>
    <w:rsid w:val="00614D09"/>
    <w:rsid w:val="00620345"/>
    <w:rsid w:val="00621487"/>
    <w:rsid w:val="00624FE6"/>
    <w:rsid w:val="00626BE3"/>
    <w:rsid w:val="00627444"/>
    <w:rsid w:val="00627EF3"/>
    <w:rsid w:val="0063027A"/>
    <w:rsid w:val="00631F27"/>
    <w:rsid w:val="006328E3"/>
    <w:rsid w:val="00636D1B"/>
    <w:rsid w:val="006425D1"/>
    <w:rsid w:val="006501C4"/>
    <w:rsid w:val="0065390F"/>
    <w:rsid w:val="00654A18"/>
    <w:rsid w:val="00655EC3"/>
    <w:rsid w:val="006579C9"/>
    <w:rsid w:val="0066063A"/>
    <w:rsid w:val="00662F19"/>
    <w:rsid w:val="00663720"/>
    <w:rsid w:val="0066416A"/>
    <w:rsid w:val="00666D76"/>
    <w:rsid w:val="006720B3"/>
    <w:rsid w:val="0067465F"/>
    <w:rsid w:val="0067726D"/>
    <w:rsid w:val="00684D03"/>
    <w:rsid w:val="00686728"/>
    <w:rsid w:val="006916D7"/>
    <w:rsid w:val="006941F1"/>
    <w:rsid w:val="00697DF9"/>
    <w:rsid w:val="006A1A5B"/>
    <w:rsid w:val="006A7DD2"/>
    <w:rsid w:val="006B008C"/>
    <w:rsid w:val="006B599F"/>
    <w:rsid w:val="006B6D1A"/>
    <w:rsid w:val="006C572A"/>
    <w:rsid w:val="006D1CF1"/>
    <w:rsid w:val="006D4C7D"/>
    <w:rsid w:val="006D4EB8"/>
    <w:rsid w:val="006D774F"/>
    <w:rsid w:val="006E0F7E"/>
    <w:rsid w:val="006E11C9"/>
    <w:rsid w:val="006E1CDB"/>
    <w:rsid w:val="006E4671"/>
    <w:rsid w:val="006E4947"/>
    <w:rsid w:val="006E6FC7"/>
    <w:rsid w:val="006F202A"/>
    <w:rsid w:val="006F2171"/>
    <w:rsid w:val="006F3024"/>
    <w:rsid w:val="006F4945"/>
    <w:rsid w:val="006F6BF7"/>
    <w:rsid w:val="00700139"/>
    <w:rsid w:val="00702244"/>
    <w:rsid w:val="007032BC"/>
    <w:rsid w:val="007047B3"/>
    <w:rsid w:val="0070613A"/>
    <w:rsid w:val="00720E29"/>
    <w:rsid w:val="00721D49"/>
    <w:rsid w:val="0072293F"/>
    <w:rsid w:val="00723F72"/>
    <w:rsid w:val="00723F99"/>
    <w:rsid w:val="007411E8"/>
    <w:rsid w:val="0074175F"/>
    <w:rsid w:val="00743B85"/>
    <w:rsid w:val="00746BCA"/>
    <w:rsid w:val="00746BFE"/>
    <w:rsid w:val="00747483"/>
    <w:rsid w:val="007538CD"/>
    <w:rsid w:val="00754A5D"/>
    <w:rsid w:val="0075510C"/>
    <w:rsid w:val="00755B54"/>
    <w:rsid w:val="0076076F"/>
    <w:rsid w:val="00762955"/>
    <w:rsid w:val="00763CBC"/>
    <w:rsid w:val="00770E70"/>
    <w:rsid w:val="00770FF7"/>
    <w:rsid w:val="00773B8E"/>
    <w:rsid w:val="007766A5"/>
    <w:rsid w:val="00777E95"/>
    <w:rsid w:val="00784117"/>
    <w:rsid w:val="00784AE8"/>
    <w:rsid w:val="007868AE"/>
    <w:rsid w:val="007872F3"/>
    <w:rsid w:val="00791C1B"/>
    <w:rsid w:val="00794E44"/>
    <w:rsid w:val="00797B5A"/>
    <w:rsid w:val="007A2511"/>
    <w:rsid w:val="007A59FF"/>
    <w:rsid w:val="007B1F1C"/>
    <w:rsid w:val="007B35B0"/>
    <w:rsid w:val="007B3A25"/>
    <w:rsid w:val="007C1E52"/>
    <w:rsid w:val="007C3DB1"/>
    <w:rsid w:val="007C50E7"/>
    <w:rsid w:val="007D0E21"/>
    <w:rsid w:val="007E43C6"/>
    <w:rsid w:val="007E6660"/>
    <w:rsid w:val="007F0CC0"/>
    <w:rsid w:val="007F13B6"/>
    <w:rsid w:val="007F3421"/>
    <w:rsid w:val="007F3517"/>
    <w:rsid w:val="007F3CC5"/>
    <w:rsid w:val="007F4233"/>
    <w:rsid w:val="007F51D1"/>
    <w:rsid w:val="007F566B"/>
    <w:rsid w:val="008002A7"/>
    <w:rsid w:val="008048B0"/>
    <w:rsid w:val="00804AFB"/>
    <w:rsid w:val="008050E6"/>
    <w:rsid w:val="00805A46"/>
    <w:rsid w:val="00805AF0"/>
    <w:rsid w:val="008068C9"/>
    <w:rsid w:val="00814629"/>
    <w:rsid w:val="00814922"/>
    <w:rsid w:val="00814D4C"/>
    <w:rsid w:val="008159CB"/>
    <w:rsid w:val="008218C0"/>
    <w:rsid w:val="008233B2"/>
    <w:rsid w:val="0083423D"/>
    <w:rsid w:val="00837E6A"/>
    <w:rsid w:val="00840204"/>
    <w:rsid w:val="00844787"/>
    <w:rsid w:val="00845F28"/>
    <w:rsid w:val="00847C2D"/>
    <w:rsid w:val="00851436"/>
    <w:rsid w:val="008526BA"/>
    <w:rsid w:val="00855366"/>
    <w:rsid w:val="008559D3"/>
    <w:rsid w:val="00855C61"/>
    <w:rsid w:val="00855F3C"/>
    <w:rsid w:val="00856C64"/>
    <w:rsid w:val="008577AB"/>
    <w:rsid w:val="00857A4D"/>
    <w:rsid w:val="008605AC"/>
    <w:rsid w:val="008624D1"/>
    <w:rsid w:val="00862755"/>
    <w:rsid w:val="00864AAE"/>
    <w:rsid w:val="00865EF0"/>
    <w:rsid w:val="00866998"/>
    <w:rsid w:val="00866BF0"/>
    <w:rsid w:val="00866F45"/>
    <w:rsid w:val="00867B73"/>
    <w:rsid w:val="00867C5F"/>
    <w:rsid w:val="00871200"/>
    <w:rsid w:val="00871711"/>
    <w:rsid w:val="00873054"/>
    <w:rsid w:val="00885944"/>
    <w:rsid w:val="00885C72"/>
    <w:rsid w:val="0089089F"/>
    <w:rsid w:val="0089253F"/>
    <w:rsid w:val="008939BF"/>
    <w:rsid w:val="00895C11"/>
    <w:rsid w:val="00896E91"/>
    <w:rsid w:val="00897769"/>
    <w:rsid w:val="00897E79"/>
    <w:rsid w:val="008A3152"/>
    <w:rsid w:val="008A636B"/>
    <w:rsid w:val="008A64C3"/>
    <w:rsid w:val="008A7027"/>
    <w:rsid w:val="008B1A19"/>
    <w:rsid w:val="008B1CBB"/>
    <w:rsid w:val="008B52F2"/>
    <w:rsid w:val="008B5F06"/>
    <w:rsid w:val="008D518B"/>
    <w:rsid w:val="008D6569"/>
    <w:rsid w:val="008D6F13"/>
    <w:rsid w:val="008E164D"/>
    <w:rsid w:val="008E56DB"/>
    <w:rsid w:val="008E63FF"/>
    <w:rsid w:val="008F5143"/>
    <w:rsid w:val="008F7A34"/>
    <w:rsid w:val="009013FE"/>
    <w:rsid w:val="00910AE4"/>
    <w:rsid w:val="009121F2"/>
    <w:rsid w:val="00914978"/>
    <w:rsid w:val="009172DA"/>
    <w:rsid w:val="00922169"/>
    <w:rsid w:val="009237A1"/>
    <w:rsid w:val="00931850"/>
    <w:rsid w:val="0093190B"/>
    <w:rsid w:val="009323C7"/>
    <w:rsid w:val="00932F22"/>
    <w:rsid w:val="009340A6"/>
    <w:rsid w:val="009424E4"/>
    <w:rsid w:val="009565C4"/>
    <w:rsid w:val="009606A8"/>
    <w:rsid w:val="00961177"/>
    <w:rsid w:val="00962681"/>
    <w:rsid w:val="00965F94"/>
    <w:rsid w:val="00966A5D"/>
    <w:rsid w:val="00967167"/>
    <w:rsid w:val="00971356"/>
    <w:rsid w:val="00975DF6"/>
    <w:rsid w:val="00977AF5"/>
    <w:rsid w:val="00983B86"/>
    <w:rsid w:val="0098653E"/>
    <w:rsid w:val="00991578"/>
    <w:rsid w:val="009A0416"/>
    <w:rsid w:val="009A1169"/>
    <w:rsid w:val="009A1958"/>
    <w:rsid w:val="009A3BAF"/>
    <w:rsid w:val="009A4390"/>
    <w:rsid w:val="009A6F4B"/>
    <w:rsid w:val="009A728F"/>
    <w:rsid w:val="009B0CB6"/>
    <w:rsid w:val="009B22A8"/>
    <w:rsid w:val="009B4359"/>
    <w:rsid w:val="009B5CAB"/>
    <w:rsid w:val="009B64D6"/>
    <w:rsid w:val="009C6113"/>
    <w:rsid w:val="009C6161"/>
    <w:rsid w:val="009C6E52"/>
    <w:rsid w:val="009D026A"/>
    <w:rsid w:val="009D0BC1"/>
    <w:rsid w:val="009D362E"/>
    <w:rsid w:val="009D3CB4"/>
    <w:rsid w:val="009D404E"/>
    <w:rsid w:val="009D5ABA"/>
    <w:rsid w:val="009D772B"/>
    <w:rsid w:val="009E10D0"/>
    <w:rsid w:val="009F55F0"/>
    <w:rsid w:val="00A001DA"/>
    <w:rsid w:val="00A011E5"/>
    <w:rsid w:val="00A02B18"/>
    <w:rsid w:val="00A03F93"/>
    <w:rsid w:val="00A04351"/>
    <w:rsid w:val="00A04BD7"/>
    <w:rsid w:val="00A0592F"/>
    <w:rsid w:val="00A06B9A"/>
    <w:rsid w:val="00A10936"/>
    <w:rsid w:val="00A1194E"/>
    <w:rsid w:val="00A13F4F"/>
    <w:rsid w:val="00A1502E"/>
    <w:rsid w:val="00A15786"/>
    <w:rsid w:val="00A206A2"/>
    <w:rsid w:val="00A232E3"/>
    <w:rsid w:val="00A23D30"/>
    <w:rsid w:val="00A267A0"/>
    <w:rsid w:val="00A27D9B"/>
    <w:rsid w:val="00A3730D"/>
    <w:rsid w:val="00A41A40"/>
    <w:rsid w:val="00A45C5C"/>
    <w:rsid w:val="00A47D93"/>
    <w:rsid w:val="00A528AF"/>
    <w:rsid w:val="00A53D40"/>
    <w:rsid w:val="00A553E5"/>
    <w:rsid w:val="00A55E5A"/>
    <w:rsid w:val="00A565E7"/>
    <w:rsid w:val="00A60B70"/>
    <w:rsid w:val="00A630DE"/>
    <w:rsid w:val="00A65ED2"/>
    <w:rsid w:val="00A702A4"/>
    <w:rsid w:val="00A7521B"/>
    <w:rsid w:val="00A75C0A"/>
    <w:rsid w:val="00A77823"/>
    <w:rsid w:val="00A836B9"/>
    <w:rsid w:val="00A84010"/>
    <w:rsid w:val="00A86C7F"/>
    <w:rsid w:val="00A87982"/>
    <w:rsid w:val="00A87B08"/>
    <w:rsid w:val="00A90327"/>
    <w:rsid w:val="00A953D6"/>
    <w:rsid w:val="00A97BFD"/>
    <w:rsid w:val="00AA0D4D"/>
    <w:rsid w:val="00AA189B"/>
    <w:rsid w:val="00AA5545"/>
    <w:rsid w:val="00AA5918"/>
    <w:rsid w:val="00AA5FC9"/>
    <w:rsid w:val="00AB5978"/>
    <w:rsid w:val="00AC395F"/>
    <w:rsid w:val="00AC3A16"/>
    <w:rsid w:val="00AC534D"/>
    <w:rsid w:val="00AC58D2"/>
    <w:rsid w:val="00AC76D1"/>
    <w:rsid w:val="00AE0694"/>
    <w:rsid w:val="00AE1CEE"/>
    <w:rsid w:val="00AE3CB1"/>
    <w:rsid w:val="00AE4EAD"/>
    <w:rsid w:val="00AE7924"/>
    <w:rsid w:val="00AF09E4"/>
    <w:rsid w:val="00AF14BF"/>
    <w:rsid w:val="00B00218"/>
    <w:rsid w:val="00B00AAD"/>
    <w:rsid w:val="00B015A5"/>
    <w:rsid w:val="00B02698"/>
    <w:rsid w:val="00B05FBB"/>
    <w:rsid w:val="00B1116A"/>
    <w:rsid w:val="00B12D2D"/>
    <w:rsid w:val="00B12E38"/>
    <w:rsid w:val="00B148E6"/>
    <w:rsid w:val="00B1776C"/>
    <w:rsid w:val="00B17A6E"/>
    <w:rsid w:val="00B21822"/>
    <w:rsid w:val="00B21A3A"/>
    <w:rsid w:val="00B21C5E"/>
    <w:rsid w:val="00B2226E"/>
    <w:rsid w:val="00B25FD0"/>
    <w:rsid w:val="00B31CC3"/>
    <w:rsid w:val="00B324A0"/>
    <w:rsid w:val="00B37A7D"/>
    <w:rsid w:val="00B46F60"/>
    <w:rsid w:val="00B474AA"/>
    <w:rsid w:val="00B47E2F"/>
    <w:rsid w:val="00B5045E"/>
    <w:rsid w:val="00B54147"/>
    <w:rsid w:val="00B641C6"/>
    <w:rsid w:val="00B65D13"/>
    <w:rsid w:val="00B673D1"/>
    <w:rsid w:val="00B7062D"/>
    <w:rsid w:val="00B76806"/>
    <w:rsid w:val="00B80716"/>
    <w:rsid w:val="00B832B4"/>
    <w:rsid w:val="00B83D8A"/>
    <w:rsid w:val="00B870D3"/>
    <w:rsid w:val="00B87444"/>
    <w:rsid w:val="00B93516"/>
    <w:rsid w:val="00B9386E"/>
    <w:rsid w:val="00B93954"/>
    <w:rsid w:val="00B93C06"/>
    <w:rsid w:val="00B93FB1"/>
    <w:rsid w:val="00B975F8"/>
    <w:rsid w:val="00BA0D49"/>
    <w:rsid w:val="00BA1383"/>
    <w:rsid w:val="00BA1489"/>
    <w:rsid w:val="00BA17C3"/>
    <w:rsid w:val="00BA5924"/>
    <w:rsid w:val="00BC411D"/>
    <w:rsid w:val="00BC5405"/>
    <w:rsid w:val="00BC7D30"/>
    <w:rsid w:val="00BD0819"/>
    <w:rsid w:val="00BD3223"/>
    <w:rsid w:val="00BE03CF"/>
    <w:rsid w:val="00BE161E"/>
    <w:rsid w:val="00BE3C44"/>
    <w:rsid w:val="00BE6F41"/>
    <w:rsid w:val="00BF5D2C"/>
    <w:rsid w:val="00BF6466"/>
    <w:rsid w:val="00BF673A"/>
    <w:rsid w:val="00C00150"/>
    <w:rsid w:val="00C03527"/>
    <w:rsid w:val="00C0734F"/>
    <w:rsid w:val="00C105E5"/>
    <w:rsid w:val="00C105FA"/>
    <w:rsid w:val="00C111F6"/>
    <w:rsid w:val="00C1124D"/>
    <w:rsid w:val="00C136CF"/>
    <w:rsid w:val="00C1459C"/>
    <w:rsid w:val="00C14D2D"/>
    <w:rsid w:val="00C17F6A"/>
    <w:rsid w:val="00C2084B"/>
    <w:rsid w:val="00C24FFF"/>
    <w:rsid w:val="00C27471"/>
    <w:rsid w:val="00C36DC5"/>
    <w:rsid w:val="00C47FB2"/>
    <w:rsid w:val="00C52E99"/>
    <w:rsid w:val="00C53D29"/>
    <w:rsid w:val="00C54600"/>
    <w:rsid w:val="00C55A68"/>
    <w:rsid w:val="00C56E3B"/>
    <w:rsid w:val="00C575B5"/>
    <w:rsid w:val="00C627DA"/>
    <w:rsid w:val="00C62B68"/>
    <w:rsid w:val="00C71294"/>
    <w:rsid w:val="00C74475"/>
    <w:rsid w:val="00C75B32"/>
    <w:rsid w:val="00C76D79"/>
    <w:rsid w:val="00C77373"/>
    <w:rsid w:val="00C803A2"/>
    <w:rsid w:val="00C857AE"/>
    <w:rsid w:val="00C91D27"/>
    <w:rsid w:val="00C92099"/>
    <w:rsid w:val="00C94395"/>
    <w:rsid w:val="00C954DD"/>
    <w:rsid w:val="00CA2E40"/>
    <w:rsid w:val="00CA5A8A"/>
    <w:rsid w:val="00CA6082"/>
    <w:rsid w:val="00CA6288"/>
    <w:rsid w:val="00CB1F54"/>
    <w:rsid w:val="00CB38D6"/>
    <w:rsid w:val="00CB558E"/>
    <w:rsid w:val="00CB782D"/>
    <w:rsid w:val="00CC0DB2"/>
    <w:rsid w:val="00CC1714"/>
    <w:rsid w:val="00CC1D16"/>
    <w:rsid w:val="00CC36EA"/>
    <w:rsid w:val="00CC7D81"/>
    <w:rsid w:val="00CD1641"/>
    <w:rsid w:val="00CD20C5"/>
    <w:rsid w:val="00CD2B35"/>
    <w:rsid w:val="00CD2EA1"/>
    <w:rsid w:val="00CD3770"/>
    <w:rsid w:val="00CD7EA0"/>
    <w:rsid w:val="00CE005F"/>
    <w:rsid w:val="00CE019B"/>
    <w:rsid w:val="00CE0667"/>
    <w:rsid w:val="00CE2747"/>
    <w:rsid w:val="00CE6743"/>
    <w:rsid w:val="00CF421A"/>
    <w:rsid w:val="00CF4787"/>
    <w:rsid w:val="00D00A0B"/>
    <w:rsid w:val="00D019FC"/>
    <w:rsid w:val="00D03C49"/>
    <w:rsid w:val="00D20A8C"/>
    <w:rsid w:val="00D20BD3"/>
    <w:rsid w:val="00D22675"/>
    <w:rsid w:val="00D25B34"/>
    <w:rsid w:val="00D30592"/>
    <w:rsid w:val="00D32053"/>
    <w:rsid w:val="00D3386E"/>
    <w:rsid w:val="00D34837"/>
    <w:rsid w:val="00D34F18"/>
    <w:rsid w:val="00D413D3"/>
    <w:rsid w:val="00D42949"/>
    <w:rsid w:val="00D436EF"/>
    <w:rsid w:val="00D45CBC"/>
    <w:rsid w:val="00D473AA"/>
    <w:rsid w:val="00D47C92"/>
    <w:rsid w:val="00D50D92"/>
    <w:rsid w:val="00D52560"/>
    <w:rsid w:val="00D530B4"/>
    <w:rsid w:val="00D557CB"/>
    <w:rsid w:val="00D5748C"/>
    <w:rsid w:val="00D60805"/>
    <w:rsid w:val="00D61F9D"/>
    <w:rsid w:val="00D6215C"/>
    <w:rsid w:val="00D6317E"/>
    <w:rsid w:val="00D724B1"/>
    <w:rsid w:val="00D72F6D"/>
    <w:rsid w:val="00D74A87"/>
    <w:rsid w:val="00D74C0F"/>
    <w:rsid w:val="00D76875"/>
    <w:rsid w:val="00D8015D"/>
    <w:rsid w:val="00D8059A"/>
    <w:rsid w:val="00D811DE"/>
    <w:rsid w:val="00D81F12"/>
    <w:rsid w:val="00D837EF"/>
    <w:rsid w:val="00D910EC"/>
    <w:rsid w:val="00D92F34"/>
    <w:rsid w:val="00D960BA"/>
    <w:rsid w:val="00D97A67"/>
    <w:rsid w:val="00DA34D8"/>
    <w:rsid w:val="00DA650C"/>
    <w:rsid w:val="00DA7C69"/>
    <w:rsid w:val="00DB1FD9"/>
    <w:rsid w:val="00DB4544"/>
    <w:rsid w:val="00DB7318"/>
    <w:rsid w:val="00DC5B9F"/>
    <w:rsid w:val="00DD1490"/>
    <w:rsid w:val="00DD74C4"/>
    <w:rsid w:val="00DF2B45"/>
    <w:rsid w:val="00DF58FA"/>
    <w:rsid w:val="00E016A9"/>
    <w:rsid w:val="00E069E0"/>
    <w:rsid w:val="00E07674"/>
    <w:rsid w:val="00E0781C"/>
    <w:rsid w:val="00E10C4A"/>
    <w:rsid w:val="00E12C7D"/>
    <w:rsid w:val="00E1492D"/>
    <w:rsid w:val="00E2007B"/>
    <w:rsid w:val="00E20548"/>
    <w:rsid w:val="00E25F0E"/>
    <w:rsid w:val="00E25F24"/>
    <w:rsid w:val="00E353CC"/>
    <w:rsid w:val="00E35AB6"/>
    <w:rsid w:val="00E41192"/>
    <w:rsid w:val="00E424D9"/>
    <w:rsid w:val="00E46182"/>
    <w:rsid w:val="00E505DA"/>
    <w:rsid w:val="00E54792"/>
    <w:rsid w:val="00E557D3"/>
    <w:rsid w:val="00E55C39"/>
    <w:rsid w:val="00E56B3A"/>
    <w:rsid w:val="00E57C60"/>
    <w:rsid w:val="00E6360B"/>
    <w:rsid w:val="00E709E0"/>
    <w:rsid w:val="00E829F0"/>
    <w:rsid w:val="00E83945"/>
    <w:rsid w:val="00E8665F"/>
    <w:rsid w:val="00E9590C"/>
    <w:rsid w:val="00E97C1F"/>
    <w:rsid w:val="00EA2E45"/>
    <w:rsid w:val="00EA2FB8"/>
    <w:rsid w:val="00EB12D3"/>
    <w:rsid w:val="00EB2190"/>
    <w:rsid w:val="00EB3FAA"/>
    <w:rsid w:val="00EB4668"/>
    <w:rsid w:val="00EB51E3"/>
    <w:rsid w:val="00EC1DA3"/>
    <w:rsid w:val="00EC4731"/>
    <w:rsid w:val="00EC51A2"/>
    <w:rsid w:val="00EC5C29"/>
    <w:rsid w:val="00EC7010"/>
    <w:rsid w:val="00EC7BE1"/>
    <w:rsid w:val="00ED0705"/>
    <w:rsid w:val="00ED0E3E"/>
    <w:rsid w:val="00ED4CF1"/>
    <w:rsid w:val="00ED6C5F"/>
    <w:rsid w:val="00EE0D98"/>
    <w:rsid w:val="00EE1B07"/>
    <w:rsid w:val="00EE3085"/>
    <w:rsid w:val="00EE3CE6"/>
    <w:rsid w:val="00EF0CE4"/>
    <w:rsid w:val="00EF27B4"/>
    <w:rsid w:val="00EF5A91"/>
    <w:rsid w:val="00EF72FD"/>
    <w:rsid w:val="00F0074E"/>
    <w:rsid w:val="00F02140"/>
    <w:rsid w:val="00F319F7"/>
    <w:rsid w:val="00F31BA6"/>
    <w:rsid w:val="00F33E49"/>
    <w:rsid w:val="00F378E9"/>
    <w:rsid w:val="00F414C0"/>
    <w:rsid w:val="00F41C5E"/>
    <w:rsid w:val="00F41DAE"/>
    <w:rsid w:val="00F424BC"/>
    <w:rsid w:val="00F42855"/>
    <w:rsid w:val="00F52C98"/>
    <w:rsid w:val="00F54ADC"/>
    <w:rsid w:val="00F577DE"/>
    <w:rsid w:val="00F63575"/>
    <w:rsid w:val="00F64A13"/>
    <w:rsid w:val="00F66AD2"/>
    <w:rsid w:val="00F74FE0"/>
    <w:rsid w:val="00F82172"/>
    <w:rsid w:val="00F82754"/>
    <w:rsid w:val="00F93BAD"/>
    <w:rsid w:val="00F93F71"/>
    <w:rsid w:val="00F94BB4"/>
    <w:rsid w:val="00F9537C"/>
    <w:rsid w:val="00F95855"/>
    <w:rsid w:val="00F97B7A"/>
    <w:rsid w:val="00FA13CA"/>
    <w:rsid w:val="00FA421B"/>
    <w:rsid w:val="00FA4DCC"/>
    <w:rsid w:val="00FA79D3"/>
    <w:rsid w:val="00FB1D65"/>
    <w:rsid w:val="00FB44F9"/>
    <w:rsid w:val="00FB564F"/>
    <w:rsid w:val="00FB5EE3"/>
    <w:rsid w:val="00FC1048"/>
    <w:rsid w:val="00FC1563"/>
    <w:rsid w:val="00FC262F"/>
    <w:rsid w:val="00FC2E56"/>
    <w:rsid w:val="00FC3F92"/>
    <w:rsid w:val="00FC6BCE"/>
    <w:rsid w:val="00FD043B"/>
    <w:rsid w:val="00FD14B2"/>
    <w:rsid w:val="00FD18B2"/>
    <w:rsid w:val="00FD389C"/>
    <w:rsid w:val="00FD3B9E"/>
    <w:rsid w:val="00FD6AD7"/>
    <w:rsid w:val="00FD7C49"/>
    <w:rsid w:val="00FE0C9C"/>
    <w:rsid w:val="00FE2295"/>
    <w:rsid w:val="00FE2B9A"/>
    <w:rsid w:val="00FE3A48"/>
    <w:rsid w:val="00FE53C8"/>
    <w:rsid w:val="00FE6539"/>
    <w:rsid w:val="00FF1CBB"/>
    <w:rsid w:val="00FF44E2"/>
    <w:rsid w:val="00FF4FCE"/>
    <w:rsid w:val="00FF5262"/>
    <w:rsid w:val="08704E97"/>
    <w:rsid w:val="13517343"/>
    <w:rsid w:val="14257EF9"/>
    <w:rsid w:val="18DF125A"/>
    <w:rsid w:val="198E19B0"/>
    <w:rsid w:val="1DA704AC"/>
    <w:rsid w:val="35821C4D"/>
    <w:rsid w:val="3ECC7429"/>
    <w:rsid w:val="44C857D8"/>
    <w:rsid w:val="4D802136"/>
    <w:rsid w:val="578E0A93"/>
    <w:rsid w:val="59471726"/>
    <w:rsid w:val="5EA35042"/>
    <w:rsid w:val="68131EC4"/>
    <w:rsid w:val="6D412118"/>
    <w:rsid w:val="7241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qFormat="1" w:uiPriority="99"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qFormat="1" w:uiPriority="99"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tabs>
        <w:tab w:val="left" w:pos="432"/>
      </w:tabs>
      <w:spacing w:before="340" w:after="330" w:line="576" w:lineRule="auto"/>
      <w:jc w:val="center"/>
      <w:outlineLvl w:val="0"/>
    </w:pPr>
    <w:rPr>
      <w:b/>
      <w:bCs/>
      <w:kern w:val="44"/>
      <w:sz w:val="30"/>
      <w:szCs w:val="44"/>
      <w:lang w:val="zh-CN"/>
    </w:rPr>
  </w:style>
  <w:style w:type="paragraph" w:styleId="3">
    <w:name w:val="heading 2"/>
    <w:basedOn w:val="1"/>
    <w:next w:val="1"/>
    <w:link w:val="36"/>
    <w:qFormat/>
    <w:uiPriority w:val="0"/>
    <w:pPr>
      <w:keepNext/>
      <w:keepLines/>
      <w:numPr>
        <w:ilvl w:val="1"/>
        <w:numId w:val="1"/>
      </w:numPr>
      <w:tabs>
        <w:tab w:val="left" w:pos="432"/>
      </w:tabs>
      <w:spacing w:before="260" w:after="260" w:line="415" w:lineRule="auto"/>
      <w:outlineLvl w:val="1"/>
    </w:pPr>
    <w:rPr>
      <w:rFonts w:ascii="Arial" w:hAnsi="Arial" w:eastAsia="黑体"/>
      <w:b/>
      <w:bCs/>
      <w:kern w:val="0"/>
      <w:sz w:val="32"/>
      <w:szCs w:val="32"/>
      <w:lang w:val="zh-CN"/>
    </w:rPr>
  </w:style>
  <w:style w:type="paragraph" w:styleId="4">
    <w:name w:val="heading 3"/>
    <w:basedOn w:val="1"/>
    <w:next w:val="1"/>
    <w:link w:val="37"/>
    <w:qFormat/>
    <w:uiPriority w:val="0"/>
    <w:pPr>
      <w:keepNext/>
      <w:keepLines/>
      <w:numPr>
        <w:ilvl w:val="2"/>
        <w:numId w:val="1"/>
      </w:numPr>
      <w:tabs>
        <w:tab w:val="left" w:pos="432"/>
      </w:tabs>
      <w:spacing w:before="260" w:after="260" w:line="415" w:lineRule="auto"/>
      <w:outlineLvl w:val="2"/>
    </w:pPr>
    <w:rPr>
      <w:b/>
      <w:bCs/>
      <w:kern w:val="0"/>
      <w:sz w:val="32"/>
      <w:szCs w:val="32"/>
      <w:lang w:val="zh-CN"/>
    </w:rPr>
  </w:style>
  <w:style w:type="paragraph" w:styleId="5">
    <w:name w:val="heading 4"/>
    <w:basedOn w:val="1"/>
    <w:next w:val="1"/>
    <w:link w:val="38"/>
    <w:qFormat/>
    <w:uiPriority w:val="0"/>
    <w:pPr>
      <w:keepNext/>
      <w:keepLines/>
      <w:numPr>
        <w:ilvl w:val="3"/>
        <w:numId w:val="1"/>
      </w:numPr>
      <w:tabs>
        <w:tab w:val="left" w:pos="432"/>
      </w:tabs>
      <w:autoSpaceDE w:val="0"/>
      <w:autoSpaceDN w:val="0"/>
      <w:adjustRightInd w:val="0"/>
      <w:spacing w:before="280" w:after="290" w:line="374" w:lineRule="auto"/>
      <w:outlineLvl w:val="3"/>
    </w:pPr>
    <w:rPr>
      <w:rFonts w:ascii="Arial" w:hAnsi="Arial" w:eastAsia="黑体"/>
      <w:b/>
      <w:kern w:val="0"/>
      <w:sz w:val="28"/>
      <w:szCs w:val="20"/>
      <w:lang w:val="zh-CN"/>
    </w:rPr>
  </w:style>
  <w:style w:type="paragraph" w:styleId="6">
    <w:name w:val="heading 5"/>
    <w:basedOn w:val="1"/>
    <w:next w:val="1"/>
    <w:link w:val="39"/>
    <w:qFormat/>
    <w:uiPriority w:val="0"/>
    <w:pPr>
      <w:keepNext/>
      <w:keepLines/>
      <w:numPr>
        <w:ilvl w:val="4"/>
        <w:numId w:val="1"/>
      </w:numPr>
      <w:tabs>
        <w:tab w:val="left" w:pos="432"/>
      </w:tabs>
      <w:autoSpaceDE w:val="0"/>
      <w:autoSpaceDN w:val="0"/>
      <w:adjustRightInd w:val="0"/>
      <w:spacing w:before="280" w:after="290" w:line="374" w:lineRule="auto"/>
      <w:outlineLvl w:val="4"/>
    </w:pPr>
    <w:rPr>
      <w:rFonts w:ascii="宋体"/>
      <w:b/>
      <w:kern w:val="0"/>
      <w:sz w:val="28"/>
      <w:szCs w:val="20"/>
      <w:lang w:val="zh-CN"/>
    </w:rPr>
  </w:style>
  <w:style w:type="paragraph" w:styleId="7">
    <w:name w:val="heading 6"/>
    <w:basedOn w:val="1"/>
    <w:next w:val="1"/>
    <w:link w:val="40"/>
    <w:qFormat/>
    <w:uiPriority w:val="0"/>
    <w:pPr>
      <w:keepNext/>
      <w:keepLines/>
      <w:numPr>
        <w:ilvl w:val="5"/>
        <w:numId w:val="1"/>
      </w:numPr>
      <w:tabs>
        <w:tab w:val="left" w:pos="432"/>
      </w:tabs>
      <w:autoSpaceDE w:val="0"/>
      <w:autoSpaceDN w:val="0"/>
      <w:adjustRightInd w:val="0"/>
      <w:spacing w:before="240" w:after="64" w:line="319" w:lineRule="auto"/>
      <w:outlineLvl w:val="5"/>
    </w:pPr>
    <w:rPr>
      <w:rFonts w:ascii="Arial" w:hAnsi="Arial" w:eastAsia="黑体"/>
      <w:b/>
      <w:kern w:val="0"/>
      <w:sz w:val="24"/>
      <w:szCs w:val="20"/>
      <w:lang w:val="zh-CN"/>
    </w:rPr>
  </w:style>
  <w:style w:type="paragraph" w:styleId="8">
    <w:name w:val="heading 7"/>
    <w:basedOn w:val="1"/>
    <w:next w:val="1"/>
    <w:link w:val="41"/>
    <w:qFormat/>
    <w:uiPriority w:val="0"/>
    <w:pPr>
      <w:keepNext/>
      <w:keepLines/>
      <w:numPr>
        <w:ilvl w:val="6"/>
        <w:numId w:val="1"/>
      </w:numPr>
      <w:tabs>
        <w:tab w:val="left" w:pos="432"/>
      </w:tabs>
      <w:autoSpaceDE w:val="0"/>
      <w:autoSpaceDN w:val="0"/>
      <w:adjustRightInd w:val="0"/>
      <w:spacing w:before="240" w:after="64" w:line="319" w:lineRule="auto"/>
      <w:outlineLvl w:val="6"/>
    </w:pPr>
    <w:rPr>
      <w:rFonts w:ascii="宋体"/>
      <w:b/>
      <w:kern w:val="0"/>
      <w:sz w:val="24"/>
      <w:szCs w:val="20"/>
      <w:lang w:val="zh-CN"/>
    </w:rPr>
  </w:style>
  <w:style w:type="paragraph" w:styleId="9">
    <w:name w:val="heading 8"/>
    <w:basedOn w:val="1"/>
    <w:next w:val="1"/>
    <w:link w:val="42"/>
    <w:qFormat/>
    <w:uiPriority w:val="0"/>
    <w:pPr>
      <w:keepNext/>
      <w:keepLines/>
      <w:numPr>
        <w:ilvl w:val="7"/>
        <w:numId w:val="1"/>
      </w:numPr>
      <w:tabs>
        <w:tab w:val="left" w:pos="432"/>
      </w:tabs>
      <w:autoSpaceDE w:val="0"/>
      <w:autoSpaceDN w:val="0"/>
      <w:adjustRightInd w:val="0"/>
      <w:spacing w:before="240" w:after="64" w:line="319" w:lineRule="auto"/>
      <w:outlineLvl w:val="7"/>
    </w:pPr>
    <w:rPr>
      <w:rFonts w:ascii="Arial" w:hAnsi="Arial" w:eastAsia="黑体"/>
      <w:kern w:val="0"/>
      <w:sz w:val="24"/>
      <w:szCs w:val="20"/>
      <w:lang w:val="zh-CN"/>
    </w:rPr>
  </w:style>
  <w:style w:type="paragraph" w:styleId="10">
    <w:name w:val="heading 9"/>
    <w:basedOn w:val="1"/>
    <w:next w:val="1"/>
    <w:link w:val="43"/>
    <w:qFormat/>
    <w:uiPriority w:val="0"/>
    <w:pPr>
      <w:keepNext/>
      <w:keepLines/>
      <w:numPr>
        <w:ilvl w:val="8"/>
        <w:numId w:val="1"/>
      </w:numPr>
      <w:tabs>
        <w:tab w:val="left" w:pos="432"/>
      </w:tabs>
      <w:autoSpaceDE w:val="0"/>
      <w:autoSpaceDN w:val="0"/>
      <w:adjustRightInd w:val="0"/>
      <w:spacing w:before="240" w:after="64" w:line="319" w:lineRule="auto"/>
      <w:outlineLvl w:val="8"/>
    </w:pPr>
    <w:rPr>
      <w:rFonts w:ascii="Arial" w:hAnsi="Arial" w:eastAsia="黑体"/>
      <w:kern w:val="0"/>
      <w:sz w:val="20"/>
      <w:szCs w:val="20"/>
      <w:lang w:val="zh-CN"/>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Document Map"/>
    <w:basedOn w:val="1"/>
    <w:link w:val="47"/>
    <w:semiHidden/>
    <w:unhideWhenUsed/>
    <w:qFormat/>
    <w:uiPriority w:val="99"/>
    <w:rPr>
      <w:rFonts w:ascii="宋体"/>
      <w:kern w:val="0"/>
      <w:sz w:val="18"/>
      <w:szCs w:val="18"/>
      <w:lang w:val="zh-CN"/>
    </w:rPr>
  </w:style>
  <w:style w:type="paragraph" w:styleId="13">
    <w:name w:val="annotation text"/>
    <w:basedOn w:val="1"/>
    <w:link w:val="50"/>
    <w:unhideWhenUsed/>
    <w:qFormat/>
    <w:uiPriority w:val="0"/>
    <w:pPr>
      <w:jc w:val="left"/>
    </w:pPr>
    <w:rPr>
      <w:lang w:val="zh-CN"/>
    </w:rPr>
  </w:style>
  <w:style w:type="paragraph" w:styleId="14">
    <w:name w:val="Body Text Indent"/>
    <w:basedOn w:val="1"/>
    <w:link w:val="46"/>
    <w:semiHidden/>
    <w:unhideWhenUsed/>
    <w:qFormat/>
    <w:uiPriority w:val="99"/>
    <w:pPr>
      <w:spacing w:after="120"/>
      <w:ind w:left="420" w:leftChars="200"/>
    </w:pPr>
    <w:rPr>
      <w:kern w:val="0"/>
      <w:sz w:val="20"/>
      <w:lang w:val="zh-CN"/>
    </w:rPr>
  </w:style>
  <w:style w:type="paragraph" w:styleId="15">
    <w:name w:val="Body Text Indent 2"/>
    <w:basedOn w:val="1"/>
    <w:link w:val="44"/>
    <w:qFormat/>
    <w:uiPriority w:val="0"/>
    <w:pPr>
      <w:spacing w:line="360" w:lineRule="auto"/>
      <w:ind w:firstLine="560" w:firstLineChars="200"/>
    </w:pPr>
    <w:rPr>
      <w:rFonts w:eastAsia="仿宋_GB2312"/>
      <w:kern w:val="0"/>
      <w:sz w:val="28"/>
      <w:lang w:val="zh-CN"/>
    </w:rPr>
  </w:style>
  <w:style w:type="paragraph" w:styleId="16">
    <w:name w:val="Balloon Text"/>
    <w:basedOn w:val="1"/>
    <w:link w:val="49"/>
    <w:semiHidden/>
    <w:unhideWhenUsed/>
    <w:qFormat/>
    <w:uiPriority w:val="0"/>
    <w:rPr>
      <w:sz w:val="18"/>
      <w:szCs w:val="18"/>
      <w:lang w:val="zh-CN"/>
    </w:rPr>
  </w:style>
  <w:style w:type="paragraph" w:styleId="17">
    <w:name w:val="footer"/>
    <w:basedOn w:val="1"/>
    <w:link w:val="34"/>
    <w:unhideWhenUsed/>
    <w:qFormat/>
    <w:uiPriority w:val="99"/>
    <w:pPr>
      <w:tabs>
        <w:tab w:val="center" w:pos="4153"/>
        <w:tab w:val="right" w:pos="8306"/>
      </w:tabs>
      <w:snapToGrid w:val="0"/>
      <w:jc w:val="left"/>
    </w:pPr>
    <w:rPr>
      <w:kern w:val="0"/>
      <w:sz w:val="18"/>
      <w:szCs w:val="18"/>
      <w:lang w:val="zh-CN"/>
    </w:rPr>
  </w:style>
  <w:style w:type="paragraph" w:styleId="18">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lang w:val="zh-CN"/>
    </w:rPr>
  </w:style>
  <w:style w:type="paragraph" w:styleId="19">
    <w:name w:val="toc 1"/>
    <w:basedOn w:val="1"/>
    <w:next w:val="1"/>
    <w:unhideWhenUsed/>
    <w:qFormat/>
    <w:uiPriority w:val="39"/>
  </w:style>
  <w:style w:type="paragraph" w:styleId="20">
    <w:name w:val="toc 2"/>
    <w:basedOn w:val="1"/>
    <w:next w:val="1"/>
    <w:unhideWhenUsed/>
    <w:qFormat/>
    <w:uiPriority w:val="39"/>
    <w:pPr>
      <w:tabs>
        <w:tab w:val="left" w:pos="1050"/>
        <w:tab w:val="right" w:leader="dot" w:pos="8494"/>
      </w:tabs>
      <w:ind w:left="420" w:leftChars="200"/>
    </w:pPr>
  </w:style>
  <w:style w:type="paragraph" w:styleId="21">
    <w:name w:val="Normal (Web)"/>
    <w:basedOn w:val="1"/>
    <w:qFormat/>
    <w:uiPriority w:val="99"/>
    <w:pPr>
      <w:widowControl/>
      <w:spacing w:before="100" w:beforeAutospacing="1" w:after="100" w:afterAutospacing="1"/>
      <w:jc w:val="left"/>
    </w:pPr>
    <w:rPr>
      <w:rFonts w:hint="eastAsia" w:ascii="Arial Unicode MS" w:hAnsi="Arial Unicode MS" w:eastAsia="Arial Unicode MS" w:cs="Arial Unicode MS"/>
      <w:color w:val="000000"/>
      <w:kern w:val="0"/>
      <w:sz w:val="24"/>
    </w:rPr>
  </w:style>
  <w:style w:type="paragraph" w:styleId="22">
    <w:name w:val="annotation subject"/>
    <w:basedOn w:val="13"/>
    <w:next w:val="13"/>
    <w:link w:val="51"/>
    <w:semiHidden/>
    <w:unhideWhenUsed/>
    <w:qFormat/>
    <w:uiPriority w:val="0"/>
    <w:rPr>
      <w:b/>
      <w:bCs/>
    </w:rPr>
  </w:style>
  <w:style w:type="character" w:styleId="25">
    <w:name w:val="page number"/>
    <w:basedOn w:val="24"/>
    <w:qFormat/>
    <w:uiPriority w:val="0"/>
  </w:style>
  <w:style w:type="character" w:styleId="26">
    <w:name w:val="Emphasis"/>
    <w:qFormat/>
    <w:uiPriority w:val="20"/>
    <w:rPr>
      <w:color w:val="CC0000"/>
    </w:rPr>
  </w:style>
  <w:style w:type="character" w:styleId="27">
    <w:name w:val="Hyperlink"/>
    <w:unhideWhenUsed/>
    <w:qFormat/>
    <w:uiPriority w:val="99"/>
    <w:rPr>
      <w:color w:val="0000FF"/>
      <w:u w:val="single"/>
    </w:rPr>
  </w:style>
  <w:style w:type="character" w:styleId="28">
    <w:name w:val="annotation reference"/>
    <w:unhideWhenUsed/>
    <w:qFormat/>
    <w:uiPriority w:val="0"/>
    <w:rPr>
      <w:sz w:val="21"/>
      <w:szCs w:val="21"/>
    </w:rPr>
  </w:style>
  <w:style w:type="paragraph" w:customStyle="1" w:styleId="29">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1">
    <w:name w:val="列出段落1"/>
    <w:basedOn w:val="1"/>
    <w:qFormat/>
    <w:uiPriority w:val="34"/>
    <w:pPr>
      <w:ind w:firstLine="420" w:firstLineChars="200"/>
    </w:pPr>
  </w:style>
  <w:style w:type="paragraph" w:customStyle="1" w:styleId="3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页眉 Char"/>
    <w:link w:val="18"/>
    <w:qFormat/>
    <w:uiPriority w:val="99"/>
    <w:rPr>
      <w:sz w:val="18"/>
      <w:szCs w:val="18"/>
    </w:rPr>
  </w:style>
  <w:style w:type="character" w:customStyle="1" w:styleId="34">
    <w:name w:val="页脚 Char"/>
    <w:link w:val="17"/>
    <w:qFormat/>
    <w:uiPriority w:val="99"/>
    <w:rPr>
      <w:sz w:val="18"/>
      <w:szCs w:val="18"/>
    </w:rPr>
  </w:style>
  <w:style w:type="character" w:customStyle="1" w:styleId="35">
    <w:name w:val="标题 1 Char"/>
    <w:link w:val="2"/>
    <w:qFormat/>
    <w:uiPriority w:val="0"/>
    <w:rPr>
      <w:b/>
      <w:bCs/>
      <w:kern w:val="44"/>
      <w:sz w:val="30"/>
      <w:szCs w:val="44"/>
      <w:lang w:val="zh-CN" w:eastAsia="zh-CN"/>
    </w:rPr>
  </w:style>
  <w:style w:type="character" w:customStyle="1" w:styleId="36">
    <w:name w:val="标题 2 Char"/>
    <w:link w:val="3"/>
    <w:qFormat/>
    <w:uiPriority w:val="0"/>
    <w:rPr>
      <w:rFonts w:ascii="Arial" w:hAnsi="Arial" w:eastAsia="黑体" w:cs="Times New Roman"/>
      <w:b/>
      <w:bCs/>
      <w:sz w:val="32"/>
      <w:szCs w:val="32"/>
    </w:rPr>
  </w:style>
  <w:style w:type="character" w:customStyle="1" w:styleId="37">
    <w:name w:val="标题 3 Char"/>
    <w:link w:val="4"/>
    <w:qFormat/>
    <w:uiPriority w:val="0"/>
    <w:rPr>
      <w:rFonts w:ascii="Times New Roman" w:hAnsi="Times New Roman" w:eastAsia="宋体" w:cs="Times New Roman"/>
      <w:b/>
      <w:bCs/>
      <w:sz w:val="32"/>
      <w:szCs w:val="32"/>
    </w:rPr>
  </w:style>
  <w:style w:type="character" w:customStyle="1" w:styleId="38">
    <w:name w:val="标题 4 Char"/>
    <w:link w:val="5"/>
    <w:qFormat/>
    <w:uiPriority w:val="0"/>
    <w:rPr>
      <w:rFonts w:ascii="Arial" w:hAnsi="Arial" w:eastAsia="黑体" w:cs="Times New Roman"/>
      <w:b/>
      <w:kern w:val="0"/>
      <w:sz w:val="28"/>
      <w:szCs w:val="20"/>
    </w:rPr>
  </w:style>
  <w:style w:type="character" w:customStyle="1" w:styleId="39">
    <w:name w:val="标题 5 Char"/>
    <w:link w:val="6"/>
    <w:qFormat/>
    <w:uiPriority w:val="0"/>
    <w:rPr>
      <w:rFonts w:ascii="宋体" w:hAnsi="Times New Roman" w:eastAsia="宋体" w:cs="Times New Roman"/>
      <w:b/>
      <w:kern w:val="0"/>
      <w:sz w:val="28"/>
      <w:szCs w:val="20"/>
    </w:rPr>
  </w:style>
  <w:style w:type="character" w:customStyle="1" w:styleId="40">
    <w:name w:val="标题 6 Char"/>
    <w:link w:val="7"/>
    <w:qFormat/>
    <w:uiPriority w:val="0"/>
    <w:rPr>
      <w:rFonts w:ascii="Arial" w:hAnsi="Arial" w:eastAsia="黑体" w:cs="Times New Roman"/>
      <w:b/>
      <w:kern w:val="0"/>
      <w:sz w:val="24"/>
      <w:szCs w:val="20"/>
    </w:rPr>
  </w:style>
  <w:style w:type="character" w:customStyle="1" w:styleId="41">
    <w:name w:val="标题 7 Char"/>
    <w:link w:val="8"/>
    <w:qFormat/>
    <w:uiPriority w:val="0"/>
    <w:rPr>
      <w:rFonts w:ascii="宋体" w:hAnsi="Times New Roman" w:eastAsia="宋体" w:cs="Times New Roman"/>
      <w:b/>
      <w:kern w:val="0"/>
      <w:sz w:val="24"/>
      <w:szCs w:val="20"/>
    </w:rPr>
  </w:style>
  <w:style w:type="character" w:customStyle="1" w:styleId="42">
    <w:name w:val="标题 8 Char"/>
    <w:link w:val="9"/>
    <w:qFormat/>
    <w:uiPriority w:val="0"/>
    <w:rPr>
      <w:rFonts w:ascii="Arial" w:hAnsi="Arial" w:eastAsia="黑体" w:cs="Times New Roman"/>
      <w:kern w:val="0"/>
      <w:sz w:val="24"/>
      <w:szCs w:val="20"/>
    </w:rPr>
  </w:style>
  <w:style w:type="character" w:customStyle="1" w:styleId="43">
    <w:name w:val="标题 9 Char"/>
    <w:link w:val="10"/>
    <w:qFormat/>
    <w:uiPriority w:val="0"/>
    <w:rPr>
      <w:rFonts w:ascii="Arial" w:hAnsi="Arial" w:eastAsia="黑体" w:cs="Times New Roman"/>
      <w:kern w:val="0"/>
      <w:szCs w:val="20"/>
    </w:rPr>
  </w:style>
  <w:style w:type="character" w:customStyle="1" w:styleId="44">
    <w:name w:val="正文文本缩进 2 Char"/>
    <w:link w:val="15"/>
    <w:qFormat/>
    <w:uiPriority w:val="0"/>
    <w:rPr>
      <w:rFonts w:ascii="Times New Roman" w:hAnsi="Times New Roman" w:eastAsia="仿宋_GB2312" w:cs="Times New Roman"/>
      <w:sz w:val="28"/>
      <w:szCs w:val="24"/>
    </w:rPr>
  </w:style>
  <w:style w:type="character" w:customStyle="1" w:styleId="45">
    <w:name w:val="read"/>
    <w:basedOn w:val="24"/>
    <w:qFormat/>
    <w:uiPriority w:val="0"/>
  </w:style>
  <w:style w:type="character" w:customStyle="1" w:styleId="46">
    <w:name w:val="正文文本缩进 Char"/>
    <w:link w:val="14"/>
    <w:semiHidden/>
    <w:qFormat/>
    <w:uiPriority w:val="99"/>
    <w:rPr>
      <w:rFonts w:ascii="Times New Roman" w:hAnsi="Times New Roman" w:eastAsia="宋体" w:cs="Times New Roman"/>
      <w:szCs w:val="24"/>
    </w:rPr>
  </w:style>
  <w:style w:type="character" w:customStyle="1" w:styleId="47">
    <w:name w:val="文档结构图 Char"/>
    <w:link w:val="12"/>
    <w:semiHidden/>
    <w:qFormat/>
    <w:uiPriority w:val="99"/>
    <w:rPr>
      <w:rFonts w:ascii="宋体" w:hAnsi="Times New Roman" w:eastAsia="宋体" w:cs="Times New Roman"/>
      <w:sz w:val="18"/>
      <w:szCs w:val="18"/>
    </w:rPr>
  </w:style>
  <w:style w:type="character" w:customStyle="1" w:styleId="48">
    <w:name w:val="apple-converted-space"/>
    <w:basedOn w:val="24"/>
    <w:qFormat/>
    <w:uiPriority w:val="0"/>
  </w:style>
  <w:style w:type="character" w:customStyle="1" w:styleId="49">
    <w:name w:val="批注框文本 Char"/>
    <w:link w:val="16"/>
    <w:semiHidden/>
    <w:qFormat/>
    <w:uiPriority w:val="0"/>
    <w:rPr>
      <w:kern w:val="2"/>
      <w:sz w:val="18"/>
      <w:szCs w:val="18"/>
    </w:rPr>
  </w:style>
  <w:style w:type="character" w:customStyle="1" w:styleId="50">
    <w:name w:val="批注文字 Char"/>
    <w:link w:val="13"/>
    <w:qFormat/>
    <w:uiPriority w:val="0"/>
    <w:rPr>
      <w:kern w:val="2"/>
      <w:sz w:val="21"/>
      <w:szCs w:val="24"/>
    </w:rPr>
  </w:style>
  <w:style w:type="character" w:customStyle="1" w:styleId="51">
    <w:name w:val="批注主题 Char"/>
    <w:link w:val="22"/>
    <w:semiHidden/>
    <w:qFormat/>
    <w:uiPriority w:val="0"/>
    <w:rPr>
      <w:b/>
      <w:bCs/>
      <w:kern w:val="2"/>
      <w:sz w:val="21"/>
      <w:szCs w:val="24"/>
    </w:rPr>
  </w:style>
  <w:style w:type="paragraph" w:customStyle="1" w:styleId="52">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53">
    <w:name w:val="默认段落字体 Para Char"/>
    <w:basedOn w:val="1"/>
    <w:qFormat/>
    <w:uiPriority w:val="0"/>
    <w:pPr>
      <w:tabs>
        <w:tab w:val="left" w:pos="360"/>
      </w:tabs>
      <w:spacing w:before="312" w:after="312" w:line="360" w:lineRule="auto"/>
    </w:pPr>
    <w:rPr>
      <w:szCs w:val="20"/>
    </w:rPr>
  </w:style>
  <w:style w:type="paragraph" w:customStyle="1" w:styleId="54">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55">
    <w:name w:val="修订4"/>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305F1-6CDB-48BB-A4F6-2D3C24DD6061}">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58</Pages>
  <Words>36401</Words>
  <Characters>2776</Characters>
  <Lines>23</Lines>
  <Paragraphs>78</Paragraphs>
  <TotalTime>7</TotalTime>
  <ScaleCrop>false</ScaleCrop>
  <LinksUpToDate>false</LinksUpToDate>
  <CharactersWithSpaces>39099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2021-01-20T06:05:00Z</dcterms:created>
  <dc:creator>孙冬明</dc:creator>
  <cp:lastModifiedBy>licx382</cp:lastModifiedBy>
  <cp:lastPrinted>2021-06-01T09:11:00Z</cp:lastPrinted>
  <dcterms:modified xsi:type="dcterms:W3CDTF">2026-09-10T05:42:11Z</dcterms:modified>
  <dc:title>XX托管协议</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63A6A0E08308447589EC348054D2FA41</vt:lpwstr>
  </property>
</Properties>
</file>