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49F62F">
      <w:pPr>
        <w:spacing w:line="360" w:lineRule="auto"/>
        <w:jc w:val="center"/>
        <w:rPr>
          <w:rFonts w:hint="eastAsia" w:asciiTheme="majorEastAsia" w:hAnsiTheme="majorEastAsia" w:eastAsiaTheme="majorEastAsia"/>
          <w:b/>
          <w:sz w:val="28"/>
          <w:szCs w:val="28"/>
        </w:rPr>
      </w:pPr>
      <w:r>
        <w:rPr>
          <w:rFonts w:hint="eastAsia" w:asciiTheme="majorEastAsia" w:hAnsiTheme="majorEastAsia" w:eastAsiaTheme="majorEastAsia"/>
          <w:b/>
          <w:sz w:val="28"/>
          <w:szCs w:val="28"/>
        </w:rPr>
        <w:t>博时基金管理有限公司关于博时广利纯债3个月定期开放债券型发起式证券投资基金基金份额持有人大会表决结果暨决议生效的公告</w:t>
      </w:r>
    </w:p>
    <w:p w14:paraId="22D8C11F">
      <w:pPr>
        <w:spacing w:line="420" w:lineRule="exact"/>
        <w:ind w:firstLine="420" w:firstLineChars="200"/>
        <w:rPr>
          <w:rFonts w:hint="eastAsia" w:cs="华文仿宋" w:asciiTheme="minorEastAsia" w:hAnsiTheme="minorEastAsia"/>
          <w:kern w:val="0"/>
          <w:szCs w:val="21"/>
        </w:rPr>
      </w:pPr>
    </w:p>
    <w:p w14:paraId="5099BB52">
      <w:pPr>
        <w:spacing w:line="420" w:lineRule="exact"/>
        <w:ind w:firstLine="420" w:firstLineChars="200"/>
        <w:rPr>
          <w:rFonts w:hint="eastAsia" w:cs="Times New Roman" w:asciiTheme="majorEastAsia" w:hAnsiTheme="majorEastAsia" w:eastAsiaTheme="majorEastAsia"/>
          <w:szCs w:val="21"/>
        </w:rPr>
      </w:pPr>
      <w:r>
        <w:rPr>
          <w:rFonts w:hint="eastAsia" w:cs="华文仿宋" w:asciiTheme="minorEastAsia" w:hAnsiTheme="minorEastAsia"/>
          <w:kern w:val="0"/>
          <w:szCs w:val="21"/>
        </w:rPr>
        <w:t>根据《中华人民共和国证券投资基金法》、《公开募集证券投资基金运作管理办法》和《博时广利纯债3个月定期开放债券型发起式证券投资基金基金合同》（以下简称“《基金合同》”）的有关规定，</w:t>
      </w:r>
      <w:r>
        <w:rPr>
          <w:rFonts w:hint="eastAsia" w:cs="Times New Roman" w:asciiTheme="majorEastAsia" w:hAnsiTheme="majorEastAsia" w:eastAsiaTheme="majorEastAsia"/>
          <w:szCs w:val="21"/>
        </w:rPr>
        <w:t>现将博时基金管理有限公司（以下简称“基金管理人”）旗下博时广利纯债3个月定期开放债券型发起式证券投资基金（以下简称“本基金”）基金份额持有人大会的决议及相关事项公告如下：</w:t>
      </w:r>
    </w:p>
    <w:p w14:paraId="149C5586">
      <w:pPr>
        <w:spacing w:line="420" w:lineRule="exact"/>
        <w:ind w:firstLine="420" w:firstLineChars="200"/>
        <w:rPr>
          <w:rFonts w:hint="eastAsia" w:cs="Times New Roman" w:asciiTheme="majorEastAsia" w:hAnsiTheme="majorEastAsia" w:eastAsiaTheme="majorEastAsia"/>
          <w:szCs w:val="21"/>
        </w:rPr>
      </w:pPr>
    </w:p>
    <w:p w14:paraId="3EEF71B2">
      <w:pPr>
        <w:spacing w:line="420" w:lineRule="exact"/>
        <w:ind w:firstLine="42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一、本次基金份额持有人大会会议情况</w:t>
      </w:r>
    </w:p>
    <w:p w14:paraId="563C7DE1">
      <w:pPr>
        <w:spacing w:line="420" w:lineRule="exact"/>
        <w:ind w:firstLine="42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本基金以通讯方式召开了基金份额持有人大会，会议审议了《</w:t>
      </w:r>
      <w:r>
        <w:rPr>
          <w:rStyle w:val="13"/>
          <w:rFonts w:hint="eastAsia" w:ascii="宋体" w:hAnsi="宋体" w:eastAsia="宋体" w:cs="Arial"/>
        </w:rPr>
        <w:t>关于终止</w:t>
      </w:r>
      <w:r>
        <w:rPr>
          <w:rStyle w:val="13"/>
          <w:rFonts w:hint="eastAsia" w:ascii="宋体" w:hAnsi="宋体" w:eastAsia="宋体" w:cs="Arial"/>
          <w:szCs w:val="24"/>
        </w:rPr>
        <w:t>博时广利纯债3个月定期开放债券型发起式证券投资基金基金</w:t>
      </w:r>
      <w:r>
        <w:rPr>
          <w:rStyle w:val="13"/>
          <w:rFonts w:hint="eastAsia" w:ascii="宋体" w:hAnsi="宋体" w:eastAsia="宋体" w:cs="Arial"/>
        </w:rPr>
        <w:t>合同有关事项的议案</w:t>
      </w:r>
      <w:r>
        <w:rPr>
          <w:rFonts w:hint="eastAsia" w:cs="Times New Roman" w:asciiTheme="majorEastAsia" w:hAnsiTheme="majorEastAsia" w:eastAsiaTheme="majorEastAsia"/>
          <w:szCs w:val="21"/>
        </w:rPr>
        <w:t>》（以下简称“本次会议议案”），并由参加大会的基金份额持有人对本次会议议案进行表决。大会投票表决时间从</w:t>
      </w:r>
      <w:r>
        <w:rPr>
          <w:rStyle w:val="13"/>
          <w:rFonts w:hint="eastAsia" w:ascii="宋体" w:hAnsi="宋体" w:eastAsia="宋体" w:cs="Arial"/>
        </w:rPr>
        <w:t>2026年4月22日起，至2026年5月22日17：00止（送达时间以本基金管理人收到表决票时间为准）</w:t>
      </w:r>
      <w:r>
        <w:rPr>
          <w:rFonts w:hint="eastAsia" w:cs="Times New Roman" w:asciiTheme="majorEastAsia" w:hAnsiTheme="majorEastAsia" w:eastAsiaTheme="majorEastAsia"/>
          <w:szCs w:val="21"/>
        </w:rPr>
        <w:t>。本次基金份额持有人大会中，截至本次持有人大会权益登记日2026年4月22日，本基金总份额为1,042,022.26份；参与表决的基金份额持有人及代理人所代表的基金份额为 977,315.20份，占权益登记日基金总份额的93.79%。其中同意票所代表的基金份额为977,315.20份，占参与表决的基金份额持有人及代理人所代表的基金份额总数的100.00%；反对票所代表的基金份额为0.00份，占参与表决的基金份额持有人及代理人所代表的基金份额总数的0.00%；弃权票所代表的基金份额为0.00份，占参与表决的基金份额持有人及代理人所代表的基金份额总数的0.00%。</w:t>
      </w:r>
    </w:p>
    <w:p w14:paraId="78F35675">
      <w:pPr>
        <w:spacing w:line="420" w:lineRule="exact"/>
        <w:ind w:firstLine="42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参与表决的基金份额持有人及其代理人所代表的977,315.20份有效的基金份额（超过权益登记日基金总份额的50%）对本次会议议案进行了审议，其中同意票所代表的基金份额为977,315.20份，占参</w:t>
      </w:r>
      <w:r>
        <w:rPr>
          <w:rFonts w:hint="eastAsia" w:ascii="宋体" w:hAnsi="宋体" w:eastAsia="宋体"/>
          <w:szCs w:val="21"/>
        </w:rPr>
        <w:t>与</w:t>
      </w:r>
      <w:r>
        <w:rPr>
          <w:rFonts w:ascii="宋体" w:hAnsi="宋体" w:eastAsia="宋体"/>
          <w:szCs w:val="21"/>
        </w:rPr>
        <w:t>表决</w:t>
      </w:r>
      <w:r>
        <w:rPr>
          <w:rFonts w:hint="eastAsia" w:ascii="宋体" w:hAnsi="宋体" w:eastAsia="宋体"/>
          <w:szCs w:val="21"/>
        </w:rPr>
        <w:t>的基金份额持有人及代理人所代表的基金份额总数的100.00</w:t>
      </w:r>
      <w:r>
        <w:rPr>
          <w:rFonts w:ascii="宋体" w:hAnsi="宋体" w:eastAsia="宋体"/>
          <w:szCs w:val="21"/>
        </w:rPr>
        <w:t>%</w:t>
      </w:r>
      <w:r>
        <w:rPr>
          <w:rFonts w:hint="eastAsia" w:cs="Times New Roman" w:asciiTheme="majorEastAsia" w:hAnsiTheme="majorEastAsia" w:eastAsiaTheme="majorEastAsia"/>
          <w:szCs w:val="21"/>
        </w:rPr>
        <w:t>，同意本次会议议案的基金份额符合《中华人民共和国证券投资基金法》、《公开募集证券投资基金运作管理办法》和《基金合同》的有关规定，本次会议议案有效通过。</w:t>
      </w:r>
    </w:p>
    <w:p w14:paraId="226BD2FB">
      <w:pPr>
        <w:spacing w:line="420" w:lineRule="exact"/>
        <w:ind w:firstLine="42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此次基金份额持有人大会的计票于</w:t>
      </w:r>
      <w:r>
        <w:rPr>
          <w:rStyle w:val="13"/>
          <w:rFonts w:hint="eastAsia" w:ascii="宋体" w:hAnsi="宋体" w:eastAsia="宋体" w:cs="Arial"/>
        </w:rPr>
        <w:t>2026年5月25日</w:t>
      </w:r>
      <w:r>
        <w:rPr>
          <w:rFonts w:hint="eastAsia" w:cs="Times New Roman" w:asciiTheme="majorEastAsia" w:hAnsiTheme="majorEastAsia" w:eastAsiaTheme="majorEastAsia"/>
          <w:szCs w:val="21"/>
        </w:rPr>
        <w:t>在本基金的基金托管人广州农村商业银行股份有限公司授权代表的监督下进行，并由北京市长安公证处公证员对计票过程及结果进行了公证。本次基金份额持有人大会的费用由基金管理人承担。</w:t>
      </w:r>
    </w:p>
    <w:p w14:paraId="0C53E6F9">
      <w:pPr>
        <w:spacing w:line="420" w:lineRule="exact"/>
        <w:ind w:firstLine="420"/>
        <w:rPr>
          <w:rFonts w:hint="eastAsia" w:cs="Times New Roman" w:asciiTheme="majorEastAsia" w:hAnsiTheme="majorEastAsia" w:eastAsiaTheme="majorEastAsia"/>
          <w:szCs w:val="21"/>
        </w:rPr>
      </w:pPr>
    </w:p>
    <w:p w14:paraId="6E696E72">
      <w:pPr>
        <w:spacing w:line="420" w:lineRule="exact"/>
        <w:ind w:firstLine="42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二、本次基金份额持有人大会决议的生效</w:t>
      </w:r>
    </w:p>
    <w:p w14:paraId="16D213AB">
      <w:pPr>
        <w:spacing w:line="420" w:lineRule="exact"/>
        <w:ind w:firstLine="42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根据《公开募集证券投资基金运作管理办法》的规定，基金份额持有人大会决定的事项自表决通过之日起生效。本次基金份额持有人大会于</w:t>
      </w:r>
      <w:r>
        <w:rPr>
          <w:rStyle w:val="13"/>
          <w:rFonts w:hint="eastAsia" w:ascii="宋体" w:hAnsi="宋体" w:eastAsia="宋体" w:cs="Arial"/>
        </w:rPr>
        <w:t>2026年5月25日</w:t>
      </w:r>
      <w:r>
        <w:rPr>
          <w:rFonts w:hint="eastAsia" w:cs="Times New Roman" w:asciiTheme="majorEastAsia" w:hAnsiTheme="majorEastAsia" w:eastAsiaTheme="majorEastAsia"/>
          <w:szCs w:val="21"/>
        </w:rPr>
        <w:t>表决通过了</w:t>
      </w:r>
      <w:r>
        <w:rPr>
          <w:rFonts w:hint="eastAsia" w:ascii="宋体" w:hAnsi="宋体" w:eastAsia="宋体" w:cs="Arial"/>
        </w:rPr>
        <w:t>本次会议议案</w:t>
      </w:r>
      <w:r>
        <w:rPr>
          <w:rFonts w:hint="eastAsia" w:cs="Times New Roman" w:asciiTheme="majorEastAsia" w:hAnsiTheme="majorEastAsia" w:eastAsiaTheme="majorEastAsia"/>
          <w:szCs w:val="21"/>
        </w:rPr>
        <w:t>，本次基金份额持有人大会决议自该日起生效。基金管理人将自该日起五日内将本次基金份额持有人大会的决议报中国证券监督管理委员会备案。</w:t>
      </w:r>
    </w:p>
    <w:p w14:paraId="004DCA07">
      <w:pPr>
        <w:spacing w:line="420" w:lineRule="exact"/>
        <w:ind w:firstLine="420"/>
        <w:rPr>
          <w:rFonts w:hint="eastAsia" w:cs="Times New Roman" w:asciiTheme="majorEastAsia" w:hAnsiTheme="majorEastAsia" w:eastAsiaTheme="majorEastAsia"/>
          <w:szCs w:val="21"/>
        </w:rPr>
      </w:pPr>
    </w:p>
    <w:p w14:paraId="76DA9604">
      <w:pPr>
        <w:spacing w:line="420" w:lineRule="exact"/>
        <w:ind w:firstLine="420"/>
      </w:pPr>
      <w:r>
        <w:rPr>
          <w:rFonts w:hint="eastAsia" w:cs="Times New Roman" w:asciiTheme="majorEastAsia" w:hAnsiTheme="majorEastAsia" w:eastAsiaTheme="majorEastAsia"/>
          <w:b/>
          <w:bCs/>
          <w:szCs w:val="21"/>
        </w:rPr>
        <w:t>三、本次基金份额持有人大会决议相关事项的实施情况</w:t>
      </w:r>
    </w:p>
    <w:p w14:paraId="28A912AE">
      <w:pPr>
        <w:spacing w:line="420" w:lineRule="exact"/>
        <w:ind w:firstLine="422" w:firstLineChars="20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（一）赎回选择期安排</w:t>
      </w:r>
    </w:p>
    <w:p w14:paraId="56A6BDDF">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在本基金份额持有人大会决议生效后，在赎回选择期内，基金份额持有人同意豁免本基金《基金合同》中约定的封闭期与开放期、基金投资组合比例限制等相关规定。</w:t>
      </w:r>
    </w:p>
    <w:p w14:paraId="13559420">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本次基金份额持有人大会决议生效后，本基金安排2个工作日的赎回选择期。2026年5月26日至2026年5月27日为本基金的赎回选择期，该期间本基金份额持有人可以选择赎回或转换转出其持有的基金份额，但</w:t>
      </w:r>
      <w:bookmarkStart w:id="0" w:name="OLE_LINK15"/>
      <w:r>
        <w:rPr>
          <w:rFonts w:hint="eastAsia" w:cs="Times New Roman" w:asciiTheme="majorEastAsia" w:hAnsiTheme="majorEastAsia" w:eastAsiaTheme="majorEastAsia"/>
          <w:szCs w:val="21"/>
        </w:rPr>
        <w:t>不可以办理申购</w:t>
      </w:r>
      <w:bookmarkEnd w:id="0"/>
      <w:r>
        <w:rPr>
          <w:rFonts w:hint="eastAsia" w:cs="Times New Roman" w:asciiTheme="majorEastAsia" w:hAnsiTheme="majorEastAsia" w:eastAsiaTheme="majorEastAsia"/>
          <w:szCs w:val="21"/>
        </w:rPr>
        <w:t>或转换转入业务。</w:t>
      </w:r>
    </w:p>
    <w:p w14:paraId="69A281A7">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1、赎回业务的办理时间</w:t>
      </w:r>
    </w:p>
    <w:p w14:paraId="60844A18">
      <w:pPr>
        <w:spacing w:line="420" w:lineRule="exact"/>
        <w:ind w:firstLine="420" w:firstLineChars="200"/>
        <w:rPr>
          <w:rFonts w:hint="eastAsia" w:cs="Times New Roman" w:asciiTheme="majorEastAsia" w:hAnsiTheme="majorEastAsia" w:eastAsiaTheme="majorEastAsia"/>
          <w:szCs w:val="21"/>
        </w:rPr>
      </w:pPr>
      <w:bookmarkStart w:id="1" w:name="OLE_LINK17"/>
      <w:r>
        <w:rPr>
          <w:rFonts w:hint="eastAsia" w:cs="Times New Roman" w:asciiTheme="majorEastAsia" w:hAnsiTheme="majorEastAsia" w:eastAsiaTheme="majorEastAsia"/>
          <w:szCs w:val="21"/>
        </w:rPr>
        <w:t>投资人可在赎回选择期期间办理基金份额的赎回，</w:t>
      </w:r>
      <w:bookmarkEnd w:id="1"/>
      <w:r>
        <w:rPr>
          <w:rFonts w:hint="eastAsia" w:cs="Times New Roman" w:asciiTheme="majorEastAsia" w:hAnsiTheme="majorEastAsia" w:eastAsiaTheme="majorEastAsia"/>
          <w:szCs w:val="21"/>
        </w:rPr>
        <w:t>具体办理时间为上海证券交易所、深圳证券交易所的正常交易日的交易时间，但基金管理人根据法律法规、中国证监会的要求或基金合同的规定公告暂停赎回时除外。</w:t>
      </w:r>
    </w:p>
    <w:p w14:paraId="00C5419E">
      <w:pPr>
        <w:numPr>
          <w:ilvl w:val="0"/>
          <w:numId w:val="1"/>
        </w:num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赎回的原则</w:t>
      </w:r>
    </w:p>
    <w:p w14:paraId="29B8ADC0">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（1）“未知价”原则，即赎回价格以申请当日收市后计算的基金份额净值为基准进行计算；</w:t>
      </w:r>
    </w:p>
    <w:p w14:paraId="48A8C455">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（2）“份额赎回”原则，即赎回以份额申请；</w:t>
      </w:r>
    </w:p>
    <w:p w14:paraId="2897EE84">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（3）当日的赎回申请可以在基金管理人规定的时间以内撤销；</w:t>
      </w:r>
    </w:p>
    <w:p w14:paraId="57033D69">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（4）赎回遵循“先进先出”原则，即按照投资人认购、申购的先后次序进行顺序赎回；</w:t>
      </w:r>
    </w:p>
    <w:p w14:paraId="71C29C74">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（5）办理赎回业务时，应当遵循基金份额持有人利益优先原则。</w:t>
      </w:r>
    </w:p>
    <w:p w14:paraId="73E7DC5B">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基金管理人可在法律法规允许的情况下，对上述原则进行调整。基金管理人必须在新规则开始实施前依照《公开募集证券投资基金信息披露管理办法》（以下简称“《信息披露办法》”）的有关规定进行公告。</w:t>
      </w:r>
    </w:p>
    <w:p w14:paraId="54E94DB0">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3、赎回的程序</w:t>
      </w:r>
    </w:p>
    <w:p w14:paraId="48F3AB12">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（1）赎回的申请方式</w:t>
      </w:r>
    </w:p>
    <w:p w14:paraId="2B9B83F6">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投资人必须根据销售机构规定的程序，在赎回选择期的具体业务办理时间内提出赎回的申请。</w:t>
      </w:r>
    </w:p>
    <w:p w14:paraId="1C81546E">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（2）赎回的款项支付</w:t>
      </w:r>
    </w:p>
    <w:p w14:paraId="6B03E040">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遇交易所或交易市场数据传输延迟、通讯系统故障、银行数据交换系统故障或其他非基金管理人及基金托管人所能控制的因素影响业务处理流程，则赎回款项划付时间相应顺延。</w:t>
      </w:r>
    </w:p>
    <w:p w14:paraId="7E1FED84">
      <w:pPr>
        <w:numPr>
          <w:ilvl w:val="0"/>
          <w:numId w:val="2"/>
        </w:num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赎回申请的确认</w:t>
      </w:r>
    </w:p>
    <w:p w14:paraId="4D76CC82">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基金管理人应以交易时间结束前受理有效赎回申请的当天作为赎回申请日（T日），在正常情况下，本基金登记机构在T+1日内对该交易的有效性进行确认。T日提交的有效申请，投资人应在T+2日后(包括该日)及时到销售网点柜台或以销售机构规定的其他方式查询申请的确认情况。</w:t>
      </w:r>
    </w:p>
    <w:p w14:paraId="2B02DD89">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基金销售机构对赎回申请的受理并不代表申请一定成功，而仅代表销售机构确实接收到赎回申请。赎回申请的确认以登记机构的确认结果为准。基金管理人可以在法律法规和基金合同允许的范围内，对上述业务办理时间进行调整，并在调整实施前依照《信息披露办法》的有关规定在规定媒介上公告。</w:t>
      </w:r>
    </w:p>
    <w:p w14:paraId="3717BA67">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4、赎回的数额限制</w:t>
      </w:r>
    </w:p>
    <w:p w14:paraId="0F8B2A81">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（1）基金份额持有人每个基金交易账户的最低基金份额余额为1份，若某笔赎回导致单个基金交易账户的基金份额余额少于1份时，余额部分基金份额必须一同赎回； </w:t>
      </w:r>
    </w:p>
    <w:p w14:paraId="44B1A4BB">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2）投资人通过销售机构赎回基金份额时，本基金单笔基金份额赎回申请不得低于1份，若投资者单个交易账户持有的基金份额余额不足1份，将不受此限制，但投资者在提交赎回申请时须将基金份额全部赎回。各销售机构在符合上述规定的前提下，可根据自己的情况调整单笔赎回申请限制，具体以销售机构公布的为准，投资人需遵循销售机构的相关规定；</w:t>
      </w:r>
    </w:p>
    <w:p w14:paraId="7FBD6656">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（3）基金管理人可在法律法规允许的情况下，调整上述规定赎回份额的数量限制。基金管理人必须在调整实施前依照《信息披露办法》的有关规定进行公告。 </w:t>
      </w:r>
    </w:p>
    <w:p w14:paraId="3488D56D">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5、赎回费用</w:t>
      </w:r>
    </w:p>
    <w:p w14:paraId="6B9F6327">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在本次赎回选择期期间，申请赎回或转换转出的基金份额不收取赎回费。</w:t>
      </w:r>
    </w:p>
    <w:p w14:paraId="6A635FF5">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6、基金销售机构</w:t>
      </w:r>
    </w:p>
    <w:p w14:paraId="5E5094F0">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（1）直销机构</w:t>
      </w:r>
    </w:p>
    <w:p w14:paraId="799D672E">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博时基金管理有限公司直销机构（含直销中心及直销网上交易）。</w:t>
      </w:r>
    </w:p>
    <w:p w14:paraId="1ABE717E">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投资者如需办理直销网上交易，可登录本公司网站 www.bosera.com 参阅《博时基金管理有限公司开放式基金业务规则》、《博时基金管理有限公司网上交易业务规则》等办理相关赎回、转换转出等业务。</w:t>
      </w:r>
    </w:p>
    <w:p w14:paraId="1DA93596">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（2）其他销售机构</w:t>
      </w:r>
    </w:p>
    <w:p w14:paraId="09227A04">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具体名单详见基金管理人网站公示。</w:t>
      </w:r>
    </w:p>
    <w:p w14:paraId="40EBC58D">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7、基金净值信息的披露安排</w:t>
      </w:r>
    </w:p>
    <w:p w14:paraId="654B3EC7">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基金管理人将在赎回选择期</w:t>
      </w:r>
      <w:r>
        <w:rPr>
          <w:rFonts w:cs="Times New Roman" w:asciiTheme="majorEastAsia" w:hAnsiTheme="majorEastAsia" w:eastAsiaTheme="majorEastAsia"/>
          <w:szCs w:val="21"/>
        </w:rPr>
        <w:t>当</w:t>
      </w:r>
      <w:r>
        <w:rPr>
          <w:rFonts w:hint="eastAsia" w:cs="Times New Roman" w:asciiTheme="majorEastAsia" w:hAnsiTheme="majorEastAsia" w:eastAsiaTheme="majorEastAsia"/>
          <w:szCs w:val="21"/>
        </w:rPr>
        <w:t>日披露赎回选择期开始前一个工作日的基金份额净值和基金份额累计净值。在本基金的赎回选择期开放赎回业务的期间，基金管理人将在不晚于赎回选择期的次日通过规定网站、基金销售机构网站或者营业网点披露开放日的基金份额净值和基金份额累计净值，敬请投资人留意。</w:t>
      </w:r>
    </w:p>
    <w:p w14:paraId="6A9ABB24">
      <w:pPr>
        <w:spacing w:line="420" w:lineRule="exact"/>
        <w:ind w:firstLine="422" w:firstLineChars="20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二）本基金的最后运作日为2026年5月27日，自赎回选择期届满的下一日即2026年5月28日起，本基金即进入清算程序，基金管理人不再接收投资人提出的申购、赎回、基金转换等业务申请。本基金进入清算程序后，停止收取基金管理费、基金托管费。</w:t>
      </w:r>
    </w:p>
    <w:p w14:paraId="76009ECF">
      <w:pPr>
        <w:spacing w:line="420" w:lineRule="exact"/>
        <w:ind w:firstLine="422"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b/>
          <w:bCs/>
          <w:szCs w:val="21"/>
        </w:rPr>
        <w:t xml:space="preserve">（三）基金财产清算小组成员由基金管理人、基金托管人、具有从事证券、期货相关业务资格的注册会计师、律师以及中国证监会指定的人员组成。基金财产清算小组可以聘用必要的工作人员。 </w:t>
      </w:r>
    </w:p>
    <w:p w14:paraId="31FC45B2">
      <w:pPr>
        <w:spacing w:line="420" w:lineRule="exact"/>
        <w:ind w:firstLine="422" w:firstLineChars="20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（四）基金财产清算程序</w:t>
      </w:r>
    </w:p>
    <w:p w14:paraId="5BE726A8">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1、《基金合同》终止情形出现时，由基金财产清算小组统一接管基金； </w:t>
      </w:r>
    </w:p>
    <w:p w14:paraId="12A1EC89">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2、对基金财产和债权债务进行清理和确认； </w:t>
      </w:r>
    </w:p>
    <w:p w14:paraId="7E6F23E2">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3、对基金财产进行估值和变现； </w:t>
      </w:r>
    </w:p>
    <w:p w14:paraId="11600B08">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4、制作清算报告； </w:t>
      </w:r>
    </w:p>
    <w:p w14:paraId="2D13A4C0">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5、聘请会计师事务所对清算报告进行外部审计，聘请律师事务所对清算报告出具法律意见书； </w:t>
      </w:r>
    </w:p>
    <w:p w14:paraId="0CBA19A1">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6、将清算报告报中国证监会备案并公告； </w:t>
      </w:r>
    </w:p>
    <w:p w14:paraId="7BBA00BC">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7、对基金剩余财产进行分配。</w:t>
      </w:r>
    </w:p>
    <w:p w14:paraId="10FCCED6">
      <w:pPr>
        <w:spacing w:line="420" w:lineRule="exact"/>
        <w:ind w:firstLine="422" w:firstLineChars="20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 xml:space="preserve">（五）基金财产清算的期限为6个月，但因本基金所持证券的流动性受到限制而不能及时变现的，清算期限可相应顺延。 </w:t>
      </w:r>
    </w:p>
    <w:p w14:paraId="3AB5BB52">
      <w:pPr>
        <w:spacing w:line="420" w:lineRule="exact"/>
        <w:ind w:firstLine="422" w:firstLineChars="20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（六）清算费用</w:t>
      </w:r>
    </w:p>
    <w:p w14:paraId="44DF1170">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清算费用是指基金财产清算小组在进行基金清算过程中发生的所有合理费用，清算费用由基金财产清算小组优先从基金剩余财产中支付。 </w:t>
      </w:r>
    </w:p>
    <w:p w14:paraId="5CCB05C0">
      <w:pPr>
        <w:spacing w:line="420" w:lineRule="exact"/>
        <w:ind w:firstLine="422" w:firstLineChars="20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（七）基金财产清算剩余资产的分配</w:t>
      </w:r>
    </w:p>
    <w:p w14:paraId="5D9FA4F6">
      <w:pPr>
        <w:spacing w:line="420" w:lineRule="exact"/>
        <w:ind w:firstLine="420"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 xml:space="preserve">依据基金财产清算的分配方案，将基金财产清算后的全部剩余资产扣除基金财产清算费用、交纳所欠税款并清偿基金债务后，按基金份额持有人持有的基金份额比例进行分配。 </w:t>
      </w:r>
    </w:p>
    <w:p w14:paraId="279563D1">
      <w:pPr>
        <w:spacing w:line="420" w:lineRule="exact"/>
        <w:ind w:firstLine="422" w:firstLineChars="200"/>
        <w:rPr>
          <w:rFonts w:hint="eastAsia" w:cs="Times New Roman" w:asciiTheme="majorEastAsia" w:hAnsiTheme="majorEastAsia" w:eastAsiaTheme="majorEastAsia"/>
          <w:szCs w:val="21"/>
        </w:rPr>
      </w:pPr>
      <w:r>
        <w:rPr>
          <w:rFonts w:hint="eastAsia" w:cs="Times New Roman" w:asciiTheme="majorEastAsia" w:hAnsiTheme="majorEastAsia" w:eastAsiaTheme="majorEastAsia"/>
          <w:b/>
          <w:bCs/>
          <w:szCs w:val="21"/>
        </w:rPr>
        <w:t>（八）基金财产清算完毕，清算结果报中国证监会备案并予以公告后，《基金合同》终止。</w:t>
      </w:r>
    </w:p>
    <w:p w14:paraId="1BB3EC66">
      <w:pPr>
        <w:spacing w:line="420" w:lineRule="exact"/>
        <w:ind w:firstLine="420"/>
        <w:rPr>
          <w:rFonts w:hint="eastAsia" w:cs="Times New Roman" w:asciiTheme="majorEastAsia" w:hAnsiTheme="majorEastAsia" w:eastAsiaTheme="majorEastAsia"/>
          <w:szCs w:val="21"/>
        </w:rPr>
      </w:pPr>
    </w:p>
    <w:p w14:paraId="1F47843C">
      <w:pPr>
        <w:spacing w:line="420" w:lineRule="exact"/>
        <w:ind w:firstLine="420"/>
        <w:rPr>
          <w:rFonts w:hint="eastAsia" w:cs="Times New Roman" w:asciiTheme="majorEastAsia" w:hAnsiTheme="majorEastAsia" w:eastAsiaTheme="majorEastAsia"/>
          <w:b/>
          <w:bCs/>
          <w:szCs w:val="21"/>
        </w:rPr>
      </w:pPr>
      <w:r>
        <w:rPr>
          <w:rFonts w:hint="eastAsia" w:cs="Times New Roman" w:asciiTheme="majorEastAsia" w:hAnsiTheme="majorEastAsia" w:eastAsiaTheme="majorEastAsia"/>
          <w:b/>
          <w:bCs/>
          <w:szCs w:val="21"/>
        </w:rPr>
        <w:t>四、备查文件</w:t>
      </w:r>
    </w:p>
    <w:p w14:paraId="06A81C68">
      <w:pPr>
        <w:spacing w:line="420" w:lineRule="exact"/>
        <w:ind w:firstLine="420"/>
        <w:rPr>
          <w:rFonts w:hint="eastAsia" w:cs="Times New Roman" w:asciiTheme="majorEastAsia" w:hAnsiTheme="majorEastAsia" w:eastAsiaTheme="majorEastAsia"/>
          <w:szCs w:val="21"/>
        </w:rPr>
      </w:pPr>
      <w:r>
        <w:rPr>
          <w:rFonts w:cs="Times New Roman" w:asciiTheme="majorEastAsia" w:hAnsiTheme="majorEastAsia" w:eastAsiaTheme="majorEastAsia"/>
          <w:szCs w:val="21"/>
        </w:rPr>
        <w:t>1</w:t>
      </w:r>
      <w:r>
        <w:rPr>
          <w:rFonts w:hint="eastAsia" w:cs="Times New Roman" w:asciiTheme="majorEastAsia" w:hAnsiTheme="majorEastAsia" w:eastAsiaTheme="majorEastAsia"/>
          <w:szCs w:val="21"/>
        </w:rPr>
        <w:t>、《博时基金管</w:t>
      </w:r>
      <w:bookmarkStart w:id="3" w:name="_GoBack"/>
      <w:bookmarkEnd w:id="3"/>
      <w:r>
        <w:rPr>
          <w:rFonts w:hint="eastAsia" w:cs="Times New Roman" w:asciiTheme="majorEastAsia" w:hAnsiTheme="majorEastAsia" w:eastAsiaTheme="majorEastAsia"/>
          <w:szCs w:val="21"/>
        </w:rPr>
        <w:t>理有限公司关于以通讯方式召开博时广利纯债3个月定期开放债券型发起式证券投资基金基金份额持有人大会的公告》</w:t>
      </w:r>
    </w:p>
    <w:p w14:paraId="0740FEE9">
      <w:pPr>
        <w:spacing w:line="420" w:lineRule="exact"/>
        <w:ind w:firstLine="420"/>
        <w:rPr>
          <w:rFonts w:hint="eastAsia" w:cs="Times New Roman" w:asciiTheme="majorEastAsia" w:hAnsiTheme="majorEastAsia" w:eastAsiaTheme="majorEastAsia"/>
          <w:szCs w:val="21"/>
        </w:rPr>
      </w:pPr>
      <w:r>
        <w:rPr>
          <w:rFonts w:cs="Times New Roman" w:asciiTheme="majorEastAsia" w:hAnsiTheme="majorEastAsia" w:eastAsiaTheme="majorEastAsia"/>
          <w:szCs w:val="21"/>
        </w:rPr>
        <w:t>2</w:t>
      </w:r>
      <w:r>
        <w:rPr>
          <w:rFonts w:hint="eastAsia" w:cs="Times New Roman" w:asciiTheme="majorEastAsia" w:hAnsiTheme="majorEastAsia" w:eastAsiaTheme="majorEastAsia"/>
          <w:szCs w:val="21"/>
        </w:rPr>
        <w:t>、《博时基金管理有限公司关于以通讯方式召开博时广利纯债3个月定期开放债券型发起式证券投资基金基金份额持有人大会的第一次提示性公告》</w:t>
      </w:r>
    </w:p>
    <w:p w14:paraId="4D9B390E">
      <w:pPr>
        <w:spacing w:line="420" w:lineRule="exact"/>
        <w:ind w:firstLine="420"/>
        <w:rPr>
          <w:rFonts w:hint="eastAsia" w:cs="Times New Roman" w:asciiTheme="majorEastAsia" w:hAnsiTheme="majorEastAsia" w:eastAsiaTheme="majorEastAsia"/>
          <w:szCs w:val="21"/>
        </w:rPr>
      </w:pPr>
      <w:r>
        <w:rPr>
          <w:rFonts w:cs="Times New Roman" w:asciiTheme="majorEastAsia" w:hAnsiTheme="majorEastAsia" w:eastAsiaTheme="majorEastAsia"/>
          <w:szCs w:val="21"/>
        </w:rPr>
        <w:t>3</w:t>
      </w:r>
      <w:r>
        <w:rPr>
          <w:rFonts w:hint="eastAsia" w:cs="Times New Roman" w:asciiTheme="majorEastAsia" w:hAnsiTheme="majorEastAsia" w:eastAsiaTheme="majorEastAsia"/>
          <w:szCs w:val="21"/>
        </w:rPr>
        <w:t>、《</w:t>
      </w:r>
      <w:bookmarkStart w:id="2" w:name="OLE_LINK4"/>
      <w:r>
        <w:rPr>
          <w:rFonts w:hint="eastAsia" w:cs="Times New Roman" w:asciiTheme="majorEastAsia" w:hAnsiTheme="majorEastAsia" w:eastAsiaTheme="majorEastAsia"/>
          <w:szCs w:val="21"/>
        </w:rPr>
        <w:t>博时基金管理有限公司关于以通讯方式召开博时广利纯债3个月定期开放债券型发起式证券投资基金基金份额持有人大会的第二次提示性公告</w:t>
      </w:r>
      <w:bookmarkEnd w:id="2"/>
      <w:r>
        <w:rPr>
          <w:rFonts w:hint="eastAsia" w:cs="Times New Roman" w:asciiTheme="majorEastAsia" w:hAnsiTheme="majorEastAsia" w:eastAsiaTheme="majorEastAsia"/>
          <w:szCs w:val="21"/>
        </w:rPr>
        <w:t>》</w:t>
      </w:r>
    </w:p>
    <w:p w14:paraId="4331E83B">
      <w:pPr>
        <w:spacing w:line="420" w:lineRule="exact"/>
        <w:ind w:firstLine="42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4、北京市长安公证处出具的公证书</w:t>
      </w:r>
    </w:p>
    <w:p w14:paraId="79EB7C96">
      <w:pPr>
        <w:spacing w:line="420" w:lineRule="exact"/>
        <w:ind w:firstLine="42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5、上海源泰律师事务所出具的法律意见</w:t>
      </w:r>
    </w:p>
    <w:p w14:paraId="607FEBAE">
      <w:pPr>
        <w:spacing w:line="420" w:lineRule="exact"/>
        <w:ind w:firstLine="420"/>
        <w:rPr>
          <w:rFonts w:hint="eastAsia" w:cs="Times New Roman" w:asciiTheme="majorEastAsia" w:hAnsiTheme="majorEastAsia" w:eastAsiaTheme="majorEastAsia"/>
          <w:szCs w:val="21"/>
        </w:rPr>
      </w:pPr>
    </w:p>
    <w:p w14:paraId="55979AFA">
      <w:pPr>
        <w:spacing w:line="420" w:lineRule="exact"/>
        <w:ind w:firstLine="420"/>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特此公告。</w:t>
      </w:r>
    </w:p>
    <w:p w14:paraId="71FF5917">
      <w:pPr>
        <w:spacing w:line="420" w:lineRule="exact"/>
        <w:ind w:firstLine="420"/>
        <w:jc w:val="right"/>
        <w:rPr>
          <w:rFonts w:hint="eastAsia" w:cs="Times New Roman" w:asciiTheme="majorEastAsia" w:hAnsiTheme="majorEastAsia" w:eastAsiaTheme="majorEastAsia"/>
          <w:szCs w:val="21"/>
        </w:rPr>
      </w:pPr>
    </w:p>
    <w:p w14:paraId="75D8C873">
      <w:pPr>
        <w:spacing w:line="420" w:lineRule="exact"/>
        <w:ind w:firstLine="420"/>
        <w:jc w:val="right"/>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博时基金管理有限公司</w:t>
      </w:r>
    </w:p>
    <w:p w14:paraId="30068858">
      <w:pPr>
        <w:jc w:val="right"/>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t>2026年</w:t>
      </w:r>
      <w:r>
        <w:rPr>
          <w:rFonts w:hint="eastAsia" w:cs="Times New Roman" w:asciiTheme="majorEastAsia" w:hAnsiTheme="majorEastAsia" w:eastAsiaTheme="majorEastAsia"/>
          <w:szCs w:val="21"/>
          <w:lang w:val="en-US" w:eastAsia="zh-CN"/>
        </w:rPr>
        <w:t>5</w:t>
      </w:r>
      <w:r>
        <w:rPr>
          <w:rFonts w:hint="eastAsia" w:cs="Times New Roman" w:asciiTheme="majorEastAsia" w:hAnsiTheme="majorEastAsia" w:eastAsiaTheme="majorEastAsia"/>
          <w:szCs w:val="21"/>
        </w:rPr>
        <w:t>月</w:t>
      </w:r>
      <w:r>
        <w:rPr>
          <w:rFonts w:hint="eastAsia" w:cs="Times New Roman" w:asciiTheme="majorEastAsia" w:hAnsiTheme="majorEastAsia" w:eastAsiaTheme="majorEastAsia"/>
          <w:szCs w:val="21"/>
          <w:lang w:val="en-US" w:eastAsia="zh-CN"/>
        </w:rPr>
        <w:t>26</w:t>
      </w:r>
      <w:r>
        <w:rPr>
          <w:rFonts w:hint="eastAsia" w:cs="Times New Roman" w:asciiTheme="majorEastAsia" w:hAnsiTheme="majorEastAsia" w:eastAsiaTheme="majorEastAsia"/>
          <w:szCs w:val="21"/>
        </w:rPr>
        <w:t>日</w:t>
      </w:r>
    </w:p>
    <w:p w14:paraId="1451FFE7">
      <w:pPr>
        <w:rPr>
          <w:rFonts w:hint="eastAsia" w:cs="Times New Roman" w:asciiTheme="majorEastAsia" w:hAnsiTheme="majorEastAsia" w:eastAsiaTheme="majorEastAsia"/>
          <w:szCs w:val="21"/>
        </w:rPr>
      </w:pPr>
      <w:r>
        <w:rPr>
          <w:rFonts w:hint="eastAsia" w:cs="Times New Roman" w:asciiTheme="majorEastAsia" w:hAnsiTheme="majorEastAsia" w:eastAsiaTheme="majorEastAsia"/>
          <w:szCs w:val="21"/>
        </w:rPr>
        <w:br w:type="page"/>
      </w:r>
    </w:p>
    <w:p w14:paraId="25A4926A">
      <w:pPr>
        <w:pStyle w:val="3"/>
        <w:spacing w:before="89" w:line="228" w:lineRule="auto"/>
        <w:ind w:left="2658"/>
        <w:rPr>
          <w:sz w:val="43"/>
          <w:szCs w:val="43"/>
        </w:rPr>
      </w:pPr>
      <w:r>
        <w:rPr>
          <w:b/>
          <w:bCs/>
          <w:spacing w:val="-21"/>
          <w:sz w:val="43"/>
          <w:szCs w:val="43"/>
        </w:rPr>
        <w:t>公</w:t>
      </w:r>
      <w:r>
        <w:rPr>
          <w:spacing w:val="13"/>
          <w:sz w:val="43"/>
          <w:szCs w:val="43"/>
        </w:rPr>
        <w:t xml:space="preserve">    </w:t>
      </w:r>
      <w:r>
        <w:rPr>
          <w:b/>
          <w:bCs/>
          <w:spacing w:val="-21"/>
          <w:sz w:val="43"/>
          <w:szCs w:val="43"/>
        </w:rPr>
        <w:t>证</w:t>
      </w:r>
      <w:r>
        <w:rPr>
          <w:spacing w:val="19"/>
          <w:sz w:val="43"/>
          <w:szCs w:val="43"/>
        </w:rPr>
        <w:t xml:space="preserve">    </w:t>
      </w:r>
      <w:r>
        <w:rPr>
          <w:b/>
          <w:bCs/>
          <w:spacing w:val="-21"/>
          <w:sz w:val="43"/>
          <w:szCs w:val="43"/>
        </w:rPr>
        <w:t>书</w:t>
      </w:r>
    </w:p>
    <w:p w14:paraId="73C4D57A">
      <w:pPr>
        <w:spacing w:line="260" w:lineRule="auto"/>
        <w:rPr>
          <w:rFonts w:ascii="Arial"/>
          <w:sz w:val="21"/>
        </w:rPr>
      </w:pPr>
    </w:p>
    <w:p w14:paraId="35136443">
      <w:pPr>
        <w:spacing w:line="260" w:lineRule="auto"/>
        <w:rPr>
          <w:rFonts w:ascii="Arial"/>
          <w:sz w:val="21"/>
        </w:rPr>
      </w:pPr>
    </w:p>
    <w:p w14:paraId="258E94D2">
      <w:pPr>
        <w:pStyle w:val="3"/>
        <w:spacing w:before="100" w:line="371" w:lineRule="auto"/>
        <w:ind w:left="720" w:right="135" w:firstLine="2503"/>
      </w:pPr>
      <w:r>
        <w:rPr>
          <w:spacing w:val="3"/>
        </w:rPr>
        <w:t>（2026）京长安内经证字第</w:t>
      </w:r>
      <w:r>
        <w:rPr>
          <w:spacing w:val="-35"/>
        </w:rPr>
        <w:t xml:space="preserve"> </w:t>
      </w:r>
      <w:r>
        <w:rPr>
          <w:spacing w:val="3"/>
        </w:rPr>
        <w:t>14495</w:t>
      </w:r>
      <w:r>
        <w:rPr>
          <w:spacing w:val="-48"/>
        </w:rPr>
        <w:t xml:space="preserve"> </w:t>
      </w:r>
      <w:r>
        <w:rPr>
          <w:spacing w:val="3"/>
        </w:rPr>
        <w:t>号</w:t>
      </w:r>
      <w:r>
        <w:rPr>
          <w:spacing w:val="4"/>
        </w:rPr>
        <w:t>申请人：博时基金管理有限公司，统一社会信用代</w:t>
      </w:r>
      <w:r>
        <w:rPr>
          <w:spacing w:val="3"/>
        </w:rPr>
        <w:t>码：</w:t>
      </w:r>
    </w:p>
    <w:p w14:paraId="337194A4">
      <w:pPr>
        <w:pStyle w:val="3"/>
        <w:spacing w:line="372" w:lineRule="auto"/>
        <w:ind w:left="62" w:right="135" w:hanging="36"/>
      </w:pPr>
      <w:r>
        <w:rPr>
          <w:spacing w:val="7"/>
        </w:rPr>
        <w:t>91440300710922202N，住</w:t>
      </w:r>
      <w:r>
        <w:rPr>
          <w:spacing w:val="6"/>
        </w:rPr>
        <w:t>所：深圳市福田区莲花街道福新社</w:t>
      </w:r>
      <w:r>
        <w:rPr>
          <w:spacing w:val="-1"/>
        </w:rPr>
        <w:t>区益田路</w:t>
      </w:r>
      <w:r>
        <w:rPr>
          <w:spacing w:val="-48"/>
        </w:rPr>
        <w:t xml:space="preserve"> </w:t>
      </w:r>
      <w:r>
        <w:rPr>
          <w:spacing w:val="-1"/>
        </w:rPr>
        <w:t>5999</w:t>
      </w:r>
      <w:r>
        <w:rPr>
          <w:spacing w:val="-45"/>
        </w:rPr>
        <w:t xml:space="preserve"> </w:t>
      </w:r>
      <w:r>
        <w:rPr>
          <w:spacing w:val="-1"/>
        </w:rPr>
        <w:t>号基金大厦</w:t>
      </w:r>
      <w:r>
        <w:rPr>
          <w:spacing w:val="-58"/>
        </w:rPr>
        <w:t xml:space="preserve"> </w:t>
      </w:r>
      <w:r>
        <w:rPr>
          <w:spacing w:val="-1"/>
        </w:rPr>
        <w:t>21</w:t>
      </w:r>
      <w:r>
        <w:rPr>
          <w:spacing w:val="-54"/>
        </w:rPr>
        <w:t xml:space="preserve"> </w:t>
      </w:r>
      <w:r>
        <w:rPr>
          <w:spacing w:val="-1"/>
        </w:rPr>
        <w:t>层。</w:t>
      </w:r>
    </w:p>
    <w:p w14:paraId="276A7994">
      <w:pPr>
        <w:pStyle w:val="3"/>
        <w:spacing w:before="1" w:line="227" w:lineRule="auto"/>
        <w:ind w:left="688"/>
      </w:pPr>
      <w:r>
        <w:rPr>
          <w:spacing w:val="5"/>
        </w:rPr>
        <w:t>委托代理人：翟青</w:t>
      </w:r>
    </w:p>
    <w:p w14:paraId="3AF9A7C5">
      <w:pPr>
        <w:pStyle w:val="3"/>
        <w:spacing w:before="240" w:line="229" w:lineRule="auto"/>
        <w:ind w:left="682"/>
      </w:pPr>
      <w:r>
        <w:rPr>
          <w:spacing w:val="7"/>
        </w:rPr>
        <w:t>公证事项：现场监督公证</w:t>
      </w:r>
    </w:p>
    <w:p w14:paraId="7716ADB0">
      <w:pPr>
        <w:pStyle w:val="3"/>
        <w:spacing w:before="237" w:line="372" w:lineRule="auto"/>
        <w:ind w:left="31" w:firstLine="689"/>
      </w:pPr>
      <w:r>
        <w:rPr>
          <w:spacing w:val="-4"/>
        </w:rPr>
        <w:t>申请人博时基金管理有限公司（以下简称为“</w:t>
      </w:r>
      <w:r>
        <w:rPr>
          <w:spacing w:val="-74"/>
        </w:rPr>
        <w:t xml:space="preserve"> </w:t>
      </w:r>
      <w:r>
        <w:rPr>
          <w:spacing w:val="-4"/>
        </w:rPr>
        <w:t>申请人”）</w:t>
      </w:r>
      <w:r>
        <w:t>于</w:t>
      </w:r>
      <w:r>
        <w:rPr>
          <w:spacing w:val="-51"/>
        </w:rPr>
        <w:t xml:space="preserve"> </w:t>
      </w:r>
      <w:r>
        <w:t>2026</w:t>
      </w:r>
      <w:r>
        <w:rPr>
          <w:spacing w:val="-47"/>
        </w:rPr>
        <w:t xml:space="preserve"> </w:t>
      </w:r>
      <w:r>
        <w:t>年</w:t>
      </w:r>
      <w:r>
        <w:rPr>
          <w:spacing w:val="-65"/>
        </w:rPr>
        <w:t xml:space="preserve"> </w:t>
      </w:r>
      <w:r>
        <w:t>4</w:t>
      </w:r>
      <w:r>
        <w:rPr>
          <w:spacing w:val="-39"/>
        </w:rPr>
        <w:t xml:space="preserve"> </w:t>
      </w:r>
      <w:r>
        <w:t>月</w:t>
      </w:r>
      <w:r>
        <w:rPr>
          <w:spacing w:val="-38"/>
        </w:rPr>
        <w:t xml:space="preserve"> </w:t>
      </w:r>
      <w:r>
        <w:t>13 日委托翟青向我处提出申请，对博时广利</w:t>
      </w:r>
      <w:r>
        <w:rPr>
          <w:spacing w:val="7"/>
        </w:rPr>
        <w:t>纯债</w:t>
      </w:r>
      <w:r>
        <w:rPr>
          <w:spacing w:val="-53"/>
        </w:rPr>
        <w:t xml:space="preserve"> </w:t>
      </w:r>
      <w:r>
        <w:rPr>
          <w:spacing w:val="7"/>
        </w:rPr>
        <w:t>3</w:t>
      </w:r>
      <w:r>
        <w:rPr>
          <w:spacing w:val="-59"/>
        </w:rPr>
        <w:t xml:space="preserve"> </w:t>
      </w:r>
      <w:r>
        <w:rPr>
          <w:spacing w:val="7"/>
        </w:rPr>
        <w:t>个月定期开放债券型发起式证券投资基金基金份额持</w:t>
      </w:r>
      <w:r>
        <w:rPr>
          <w:spacing w:val="8"/>
        </w:rPr>
        <w:t>有人大会的计票过程和会议有关事宜进行现场监督。</w:t>
      </w:r>
    </w:p>
    <w:p w14:paraId="2F626DD4">
      <w:pPr>
        <w:pStyle w:val="3"/>
        <w:spacing w:before="3" w:line="371" w:lineRule="auto"/>
        <w:ind w:left="6" w:right="132" w:firstLine="714"/>
      </w:pPr>
      <w:r>
        <w:rPr>
          <w:spacing w:val="6"/>
        </w:rPr>
        <w:t>申请人向我处提交了营业执照、法定代表人身份证明、</w:t>
      </w:r>
      <w:r>
        <w:rPr>
          <w:spacing w:val="7"/>
        </w:rPr>
        <w:t>公证申请书、委托代理人身份证、《博时广利纯债</w:t>
      </w:r>
      <w:r>
        <w:rPr>
          <w:spacing w:val="-39"/>
        </w:rPr>
        <w:t xml:space="preserve"> </w:t>
      </w:r>
      <w:r>
        <w:rPr>
          <w:spacing w:val="7"/>
        </w:rPr>
        <w:t>3</w:t>
      </w:r>
      <w:r>
        <w:rPr>
          <w:spacing w:val="-45"/>
        </w:rPr>
        <w:t xml:space="preserve"> </w:t>
      </w:r>
      <w:r>
        <w:rPr>
          <w:spacing w:val="7"/>
        </w:rPr>
        <w:t>个月定</w:t>
      </w:r>
      <w:r>
        <w:rPr>
          <w:spacing w:val="19"/>
        </w:rPr>
        <w:t>期开放债券型发起式证券投资基金基金合同》（</w:t>
      </w:r>
      <w:r>
        <w:rPr>
          <w:spacing w:val="-67"/>
        </w:rPr>
        <w:t xml:space="preserve"> </w:t>
      </w:r>
      <w:r>
        <w:rPr>
          <w:spacing w:val="19"/>
        </w:rPr>
        <w:t>以下简称</w:t>
      </w:r>
      <w:r>
        <w:rPr>
          <w:spacing w:val="-23"/>
        </w:rPr>
        <w:t>“《基金合同》”）等证明材料。</w:t>
      </w:r>
    </w:p>
    <w:p w14:paraId="2A7CE4AB">
      <w:pPr>
        <w:pStyle w:val="3"/>
        <w:spacing w:before="10" w:line="371" w:lineRule="auto"/>
        <w:ind w:left="34" w:right="132" w:firstLine="641"/>
        <w:jc w:val="both"/>
      </w:pPr>
      <w:r>
        <w:rPr>
          <w:spacing w:val="6"/>
        </w:rPr>
        <w:t>经审查，申请人是博时广利纯债</w:t>
      </w:r>
      <w:r>
        <w:rPr>
          <w:spacing w:val="-44"/>
        </w:rPr>
        <w:t xml:space="preserve"> </w:t>
      </w:r>
      <w:r>
        <w:rPr>
          <w:spacing w:val="6"/>
        </w:rPr>
        <w:t>3</w:t>
      </w:r>
      <w:r>
        <w:rPr>
          <w:spacing w:val="-52"/>
        </w:rPr>
        <w:t xml:space="preserve"> </w:t>
      </w:r>
      <w:r>
        <w:rPr>
          <w:spacing w:val="6"/>
        </w:rPr>
        <w:t>个月定期开放债券型</w:t>
      </w:r>
      <w:r>
        <w:rPr>
          <w:spacing w:val="8"/>
        </w:rPr>
        <w:t>发起式证券投资基金的管理人，根据《中华人民共和国证券</w:t>
      </w:r>
      <w:r>
        <w:rPr>
          <w:spacing w:val="-25"/>
        </w:rPr>
        <w:t>投资基金法》（以下简称“《基金法》”）、《公开募集证券投资</w:t>
      </w:r>
      <w:r>
        <w:rPr>
          <w:spacing w:val="-6"/>
        </w:rPr>
        <w:t>基金运作管理办法》、《基金合同》等有关规定，</w:t>
      </w:r>
      <w:r>
        <w:rPr>
          <w:spacing w:val="-81"/>
        </w:rPr>
        <w:t xml:space="preserve"> </w:t>
      </w:r>
      <w:r>
        <w:rPr>
          <w:spacing w:val="-6"/>
        </w:rPr>
        <w:t>申请人与基</w:t>
      </w:r>
      <w:r>
        <w:rPr>
          <w:spacing w:val="8"/>
        </w:rPr>
        <w:t>金托管人广州农村商业银行股份有限公司协商一致，决定以通讯方式召开该基金的基金份额持有人大会，审议《关于终</w:t>
      </w:r>
    </w:p>
    <w:p w14:paraId="30DAC24A">
      <w:pPr>
        <w:spacing w:line="371" w:lineRule="auto"/>
        <w:sectPr>
          <w:pgSz w:w="11906" w:h="16839"/>
          <w:pgMar w:top="1389" w:right="1666" w:bottom="0" w:left="1785" w:header="0" w:footer="0" w:gutter="0"/>
          <w:cols w:space="720" w:num="1"/>
        </w:sectPr>
      </w:pPr>
    </w:p>
    <w:p w14:paraId="0225A45E">
      <w:pPr>
        <w:pStyle w:val="3"/>
        <w:spacing w:before="160" w:line="372" w:lineRule="auto"/>
        <w:ind w:left="34" w:right="88"/>
        <w:jc w:val="both"/>
      </w:pPr>
      <w:r>
        <w:rPr>
          <w:spacing w:val="7"/>
        </w:rPr>
        <w:t>止博时广利纯债</w:t>
      </w:r>
      <w:r>
        <w:rPr>
          <w:spacing w:val="-53"/>
        </w:rPr>
        <w:t xml:space="preserve"> </w:t>
      </w:r>
      <w:r>
        <w:rPr>
          <w:spacing w:val="7"/>
        </w:rPr>
        <w:t>3</w:t>
      </w:r>
      <w:r>
        <w:rPr>
          <w:spacing w:val="-60"/>
        </w:rPr>
        <w:t xml:space="preserve"> </w:t>
      </w:r>
      <w:r>
        <w:rPr>
          <w:spacing w:val="7"/>
        </w:rPr>
        <w:t>个月定期开放债券型发起式证券投资基金</w:t>
      </w:r>
      <w:r>
        <w:rPr>
          <w:spacing w:val="8"/>
        </w:rPr>
        <w:t>基金合同有关事项的议案》，并由基金份额持有人就该议案进行表决。我处受理了申请人的申请并指派本公证员具体承</w:t>
      </w:r>
      <w:r>
        <w:rPr>
          <w:spacing w:val="-7"/>
        </w:rPr>
        <w:t>办。</w:t>
      </w:r>
    </w:p>
    <w:p w14:paraId="628707CA">
      <w:pPr>
        <w:pStyle w:val="3"/>
        <w:spacing w:before="1" w:line="371" w:lineRule="auto"/>
        <w:ind w:left="40" w:right="87" w:firstLine="680"/>
        <w:jc w:val="both"/>
      </w:pPr>
      <w:r>
        <w:rPr>
          <w:spacing w:val="6"/>
        </w:rPr>
        <w:t>申请人经与有关部门协商，确定了召开该基金份额持有人大会的具体操作方案。按照该方案，</w:t>
      </w:r>
      <w:r>
        <w:rPr>
          <w:spacing w:val="-88"/>
        </w:rPr>
        <w:t xml:space="preserve"> </w:t>
      </w:r>
      <w:r>
        <w:rPr>
          <w:spacing w:val="6"/>
        </w:rPr>
        <w:t>申请人进</w:t>
      </w:r>
      <w:r>
        <w:rPr>
          <w:spacing w:val="5"/>
        </w:rPr>
        <w:t>行了包括但</w:t>
      </w:r>
      <w:r>
        <w:rPr>
          <w:spacing w:val="7"/>
        </w:rPr>
        <w:t>不限于如下内容的操作过程：</w:t>
      </w:r>
    </w:p>
    <w:p w14:paraId="02CE1DFC">
      <w:pPr>
        <w:pStyle w:val="3"/>
        <w:spacing w:before="4" w:line="371" w:lineRule="auto"/>
        <w:ind w:left="38" w:firstLine="650"/>
      </w:pPr>
      <w:r>
        <w:rPr>
          <w:spacing w:val="11"/>
        </w:rPr>
        <w:t>1、</w:t>
      </w:r>
      <w:r>
        <w:rPr>
          <w:spacing w:val="-75"/>
        </w:rPr>
        <w:t xml:space="preserve"> </w:t>
      </w:r>
      <w:r>
        <w:rPr>
          <w:spacing w:val="11"/>
        </w:rPr>
        <w:t>申请人就召开该基金份额持有人大会审议上述议案</w:t>
      </w:r>
      <w:r>
        <w:rPr>
          <w:spacing w:val="16"/>
        </w:rPr>
        <w:t>的事项于</w:t>
      </w:r>
      <w:r>
        <w:rPr>
          <w:spacing w:val="-25"/>
        </w:rPr>
        <w:t xml:space="preserve"> </w:t>
      </w:r>
      <w:r>
        <w:rPr>
          <w:spacing w:val="16"/>
        </w:rPr>
        <w:t>2026 年</w:t>
      </w:r>
      <w:r>
        <w:rPr>
          <w:spacing w:val="-37"/>
        </w:rPr>
        <w:t xml:space="preserve"> </w:t>
      </w:r>
      <w:r>
        <w:rPr>
          <w:spacing w:val="16"/>
        </w:rPr>
        <w:t>4 月</w:t>
      </w:r>
      <w:r>
        <w:rPr>
          <w:spacing w:val="-30"/>
        </w:rPr>
        <w:t xml:space="preserve"> </w:t>
      </w:r>
      <w:r>
        <w:rPr>
          <w:spacing w:val="16"/>
        </w:rPr>
        <w:t>21 日通过有关媒体及申请人网站</w:t>
      </w:r>
      <w:r>
        <w:t>（</w:t>
      </w:r>
      <w:r>
        <w:fldChar w:fldCharType="begin"/>
      </w:r>
      <w:r>
        <w:instrText xml:space="preserve"> HYPERLINK "https://www.bosera.com" </w:instrText>
      </w:r>
      <w:r>
        <w:fldChar w:fldCharType="separate"/>
      </w:r>
      <w:r>
        <w:t>www.bosera.com</w:t>
      </w:r>
      <w:r>
        <w:fldChar w:fldCharType="end"/>
      </w:r>
      <w:r>
        <w:t>）发布了正式公告，进行了有关信息披</w:t>
      </w:r>
      <w:r>
        <w:rPr>
          <w:spacing w:val="-1"/>
        </w:rPr>
        <w:t>露，</w:t>
      </w:r>
      <w:r>
        <w:rPr>
          <w:spacing w:val="4"/>
        </w:rPr>
        <w:t>并确定2026</w:t>
      </w:r>
      <w:r>
        <w:rPr>
          <w:spacing w:val="-44"/>
        </w:rPr>
        <w:t xml:space="preserve"> </w:t>
      </w:r>
      <w:r>
        <w:rPr>
          <w:spacing w:val="4"/>
        </w:rPr>
        <w:t>年</w:t>
      </w:r>
      <w:r>
        <w:rPr>
          <w:spacing w:val="-63"/>
        </w:rPr>
        <w:t xml:space="preserve"> </w:t>
      </w:r>
      <w:r>
        <w:rPr>
          <w:spacing w:val="4"/>
        </w:rPr>
        <w:t>4</w:t>
      </w:r>
      <w:r>
        <w:rPr>
          <w:spacing w:val="-38"/>
        </w:rPr>
        <w:t xml:space="preserve"> </w:t>
      </w:r>
      <w:r>
        <w:rPr>
          <w:spacing w:val="4"/>
        </w:rPr>
        <w:t>月</w:t>
      </w:r>
      <w:r>
        <w:rPr>
          <w:spacing w:val="-59"/>
        </w:rPr>
        <w:t xml:space="preserve"> </w:t>
      </w:r>
      <w:r>
        <w:rPr>
          <w:spacing w:val="4"/>
        </w:rPr>
        <w:t>22 日为本基金持有人大会权益登记日。</w:t>
      </w:r>
    </w:p>
    <w:p w14:paraId="7AAB1A55">
      <w:pPr>
        <w:pStyle w:val="3"/>
        <w:spacing w:before="3" w:line="371" w:lineRule="auto"/>
        <w:ind w:left="36" w:right="88" w:firstLine="633"/>
      </w:pPr>
      <w:r>
        <w:rPr>
          <w:spacing w:val="12"/>
        </w:rPr>
        <w:t>2、</w:t>
      </w:r>
      <w:r>
        <w:rPr>
          <w:spacing w:val="-75"/>
        </w:rPr>
        <w:t xml:space="preserve"> </w:t>
      </w:r>
      <w:r>
        <w:rPr>
          <w:spacing w:val="12"/>
        </w:rPr>
        <w:t>申请人就上述基金份额持有人大会的相关</w:t>
      </w:r>
      <w:r>
        <w:rPr>
          <w:spacing w:val="11"/>
        </w:rPr>
        <w:t>事项在媒</w:t>
      </w:r>
      <w:r>
        <w:rPr>
          <w:spacing w:val="-3"/>
        </w:rPr>
        <w:t>体分别于</w:t>
      </w:r>
      <w:r>
        <w:rPr>
          <w:spacing w:val="-56"/>
        </w:rPr>
        <w:t xml:space="preserve"> </w:t>
      </w:r>
      <w:r>
        <w:rPr>
          <w:spacing w:val="-3"/>
        </w:rPr>
        <w:t>2026</w:t>
      </w:r>
      <w:r>
        <w:rPr>
          <w:spacing w:val="-44"/>
        </w:rPr>
        <w:t xml:space="preserve"> </w:t>
      </w:r>
      <w:r>
        <w:rPr>
          <w:spacing w:val="-3"/>
        </w:rPr>
        <w:t>年</w:t>
      </w:r>
      <w:r>
        <w:rPr>
          <w:spacing w:val="-61"/>
        </w:rPr>
        <w:t xml:space="preserve"> </w:t>
      </w:r>
      <w:r>
        <w:rPr>
          <w:spacing w:val="-3"/>
        </w:rPr>
        <w:t>4</w:t>
      </w:r>
      <w:r>
        <w:rPr>
          <w:spacing w:val="-36"/>
        </w:rPr>
        <w:t xml:space="preserve"> </w:t>
      </w:r>
      <w:r>
        <w:rPr>
          <w:spacing w:val="-3"/>
        </w:rPr>
        <w:t>月</w:t>
      </w:r>
      <w:r>
        <w:rPr>
          <w:spacing w:val="-56"/>
        </w:rPr>
        <w:t xml:space="preserve"> </w:t>
      </w:r>
      <w:r>
        <w:rPr>
          <w:spacing w:val="-3"/>
        </w:rPr>
        <w:t>22 日、2026</w:t>
      </w:r>
      <w:r>
        <w:rPr>
          <w:spacing w:val="-42"/>
        </w:rPr>
        <w:t xml:space="preserve"> </w:t>
      </w:r>
      <w:r>
        <w:rPr>
          <w:spacing w:val="-3"/>
        </w:rPr>
        <w:t>年</w:t>
      </w:r>
      <w:r>
        <w:rPr>
          <w:spacing w:val="-61"/>
        </w:rPr>
        <w:t xml:space="preserve"> </w:t>
      </w:r>
      <w:r>
        <w:rPr>
          <w:spacing w:val="-4"/>
        </w:rPr>
        <w:t>4</w:t>
      </w:r>
      <w:r>
        <w:rPr>
          <w:spacing w:val="-36"/>
        </w:rPr>
        <w:t xml:space="preserve"> </w:t>
      </w:r>
      <w:r>
        <w:rPr>
          <w:spacing w:val="-4"/>
        </w:rPr>
        <w:t>月</w:t>
      </w:r>
      <w:r>
        <w:rPr>
          <w:spacing w:val="-56"/>
        </w:rPr>
        <w:t xml:space="preserve"> </w:t>
      </w:r>
      <w:r>
        <w:rPr>
          <w:spacing w:val="-4"/>
        </w:rPr>
        <w:t>23 日发布了提示</w:t>
      </w:r>
      <w:r>
        <w:rPr>
          <w:spacing w:val="1"/>
        </w:rPr>
        <w:t>性公告。</w:t>
      </w:r>
    </w:p>
    <w:p w14:paraId="5698A1CE">
      <w:pPr>
        <w:pStyle w:val="3"/>
        <w:spacing w:before="4" w:line="371" w:lineRule="auto"/>
        <w:ind w:left="36" w:right="90" w:firstLine="636"/>
      </w:pPr>
      <w:r>
        <w:rPr>
          <w:spacing w:val="-11"/>
        </w:rPr>
        <w:t>3、</w:t>
      </w:r>
      <w:r>
        <w:rPr>
          <w:spacing w:val="-74"/>
        </w:rPr>
        <w:t xml:space="preserve"> </w:t>
      </w:r>
      <w:r>
        <w:rPr>
          <w:spacing w:val="-11"/>
        </w:rPr>
        <w:t>申请人于</w:t>
      </w:r>
      <w:r>
        <w:rPr>
          <w:spacing w:val="-64"/>
        </w:rPr>
        <w:t xml:space="preserve"> </w:t>
      </w:r>
      <w:r>
        <w:rPr>
          <w:spacing w:val="-11"/>
        </w:rPr>
        <w:t>自</w:t>
      </w:r>
      <w:r>
        <w:rPr>
          <w:spacing w:val="-51"/>
        </w:rPr>
        <w:t xml:space="preserve"> </w:t>
      </w:r>
      <w:r>
        <w:rPr>
          <w:spacing w:val="-11"/>
        </w:rPr>
        <w:t>2026</w:t>
      </w:r>
      <w:r>
        <w:rPr>
          <w:spacing w:val="-40"/>
        </w:rPr>
        <w:t xml:space="preserve"> </w:t>
      </w:r>
      <w:r>
        <w:rPr>
          <w:spacing w:val="-11"/>
        </w:rPr>
        <w:t>年</w:t>
      </w:r>
      <w:r>
        <w:rPr>
          <w:spacing w:val="-56"/>
        </w:rPr>
        <w:t xml:space="preserve"> </w:t>
      </w:r>
      <w:r>
        <w:rPr>
          <w:spacing w:val="-11"/>
        </w:rPr>
        <w:t>4 月</w:t>
      </w:r>
      <w:r>
        <w:rPr>
          <w:spacing w:val="-51"/>
        </w:rPr>
        <w:t xml:space="preserve"> </w:t>
      </w:r>
      <w:r>
        <w:rPr>
          <w:spacing w:val="-11"/>
        </w:rPr>
        <w:t>22 日至</w:t>
      </w:r>
      <w:r>
        <w:rPr>
          <w:spacing w:val="-54"/>
        </w:rPr>
        <w:t xml:space="preserve"> </w:t>
      </w:r>
      <w:r>
        <w:rPr>
          <w:spacing w:val="-11"/>
        </w:rPr>
        <w:t>2026</w:t>
      </w:r>
      <w:r>
        <w:rPr>
          <w:spacing w:val="-37"/>
        </w:rPr>
        <w:t xml:space="preserve"> </w:t>
      </w:r>
      <w:r>
        <w:rPr>
          <w:spacing w:val="-11"/>
        </w:rPr>
        <w:t>年</w:t>
      </w:r>
      <w:r>
        <w:rPr>
          <w:spacing w:val="-51"/>
        </w:rPr>
        <w:t xml:space="preserve"> </w:t>
      </w:r>
      <w:r>
        <w:rPr>
          <w:spacing w:val="-11"/>
        </w:rPr>
        <w:t>5 月</w:t>
      </w:r>
      <w:r>
        <w:rPr>
          <w:spacing w:val="-51"/>
        </w:rPr>
        <w:t xml:space="preserve"> </w:t>
      </w:r>
      <w:r>
        <w:rPr>
          <w:spacing w:val="-11"/>
        </w:rPr>
        <w:t>22 日</w:t>
      </w:r>
      <w:r>
        <w:rPr>
          <w:spacing w:val="15"/>
        </w:rPr>
        <w:t>17</w:t>
      </w:r>
      <w:r>
        <w:rPr>
          <w:spacing w:val="-15"/>
        </w:rPr>
        <w:t xml:space="preserve"> </w:t>
      </w:r>
      <w:r>
        <w:rPr>
          <w:spacing w:val="15"/>
        </w:rPr>
        <w:t>时通过上述公告的方式向该基金的份额持有人征集了表</w:t>
      </w:r>
      <w:r>
        <w:rPr>
          <w:spacing w:val="-2"/>
        </w:rPr>
        <w:t>决票。</w:t>
      </w:r>
    </w:p>
    <w:p w14:paraId="086AC0AA">
      <w:pPr>
        <w:pStyle w:val="3"/>
        <w:spacing w:before="2" w:line="371" w:lineRule="auto"/>
        <w:ind w:left="75" w:right="88" w:firstLine="612"/>
      </w:pPr>
      <w:r>
        <w:rPr>
          <w:spacing w:val="8"/>
        </w:rPr>
        <w:t>我处对申请人收集、统计有关表决票的数据及结果进行</w:t>
      </w:r>
      <w:r>
        <w:rPr>
          <w:spacing w:val="3"/>
        </w:rPr>
        <w:t>了核实，其结果未见异常。</w:t>
      </w:r>
    </w:p>
    <w:p w14:paraId="02973D48">
      <w:pPr>
        <w:pStyle w:val="3"/>
        <w:spacing w:before="1" w:line="371" w:lineRule="auto"/>
        <w:ind w:left="40" w:right="90" w:firstLine="629"/>
        <w:jc w:val="both"/>
      </w:pPr>
      <w:r>
        <w:rPr>
          <w:spacing w:val="-5"/>
        </w:rPr>
        <w:t>2026</w:t>
      </w:r>
      <w:r>
        <w:rPr>
          <w:spacing w:val="-42"/>
        </w:rPr>
        <w:t xml:space="preserve"> </w:t>
      </w:r>
      <w:r>
        <w:rPr>
          <w:spacing w:val="-5"/>
        </w:rPr>
        <w:t>年</w:t>
      </w:r>
      <w:r>
        <w:rPr>
          <w:spacing w:val="-58"/>
        </w:rPr>
        <w:t xml:space="preserve"> </w:t>
      </w:r>
      <w:r>
        <w:rPr>
          <w:spacing w:val="-5"/>
        </w:rPr>
        <w:t>5</w:t>
      </w:r>
      <w:r>
        <w:rPr>
          <w:spacing w:val="-39"/>
        </w:rPr>
        <w:t xml:space="preserve"> </w:t>
      </w:r>
      <w:r>
        <w:rPr>
          <w:spacing w:val="-5"/>
        </w:rPr>
        <w:t>月</w:t>
      </w:r>
      <w:r>
        <w:rPr>
          <w:spacing w:val="-58"/>
        </w:rPr>
        <w:t xml:space="preserve"> </w:t>
      </w:r>
      <w:r>
        <w:rPr>
          <w:spacing w:val="-5"/>
        </w:rPr>
        <w:t>25 日上午</w:t>
      </w:r>
      <w:r>
        <w:rPr>
          <w:spacing w:val="-41"/>
        </w:rPr>
        <w:t xml:space="preserve"> </w:t>
      </w:r>
      <w:r>
        <w:rPr>
          <w:spacing w:val="-5"/>
        </w:rPr>
        <w:t>10</w:t>
      </w:r>
      <w:r>
        <w:rPr>
          <w:spacing w:val="-36"/>
        </w:rPr>
        <w:t xml:space="preserve"> </w:t>
      </w:r>
      <w:r>
        <w:rPr>
          <w:spacing w:val="-5"/>
        </w:rPr>
        <w:t>点，本公证员及公证员助理刘</w:t>
      </w:r>
      <w:r>
        <w:rPr>
          <w:spacing w:val="8"/>
        </w:rPr>
        <w:t>乃寅出席了该基金份额持有人大会通讯会议的计票会议。监</w:t>
      </w:r>
      <w:r>
        <w:rPr>
          <w:spacing w:val="9"/>
        </w:rPr>
        <w:t>督了申请人的授权代表翟青、付雪军对截止至</w:t>
      </w:r>
      <w:r>
        <w:rPr>
          <w:spacing w:val="-56"/>
        </w:rPr>
        <w:t xml:space="preserve"> </w:t>
      </w:r>
      <w:r>
        <w:rPr>
          <w:spacing w:val="9"/>
        </w:rPr>
        <w:t>202</w:t>
      </w:r>
      <w:r>
        <w:rPr>
          <w:spacing w:val="8"/>
        </w:rPr>
        <w:t>6</w:t>
      </w:r>
      <w:r>
        <w:rPr>
          <w:spacing w:val="-40"/>
        </w:rPr>
        <w:t xml:space="preserve"> </w:t>
      </w:r>
      <w:r>
        <w:rPr>
          <w:spacing w:val="8"/>
        </w:rPr>
        <w:t>年</w:t>
      </w:r>
      <w:r>
        <w:rPr>
          <w:spacing w:val="-48"/>
        </w:rPr>
        <w:t xml:space="preserve"> </w:t>
      </w:r>
      <w:r>
        <w:rPr>
          <w:spacing w:val="8"/>
        </w:rPr>
        <w:t>5</w:t>
      </w:r>
      <w:r>
        <w:rPr>
          <w:spacing w:val="-34"/>
        </w:rPr>
        <w:t xml:space="preserve"> </w:t>
      </w:r>
      <w:r>
        <w:rPr>
          <w:spacing w:val="8"/>
        </w:rPr>
        <w:t>月</w:t>
      </w:r>
    </w:p>
    <w:p w14:paraId="3BB34466">
      <w:pPr>
        <w:spacing w:line="371" w:lineRule="auto"/>
        <w:sectPr>
          <w:pgSz w:w="11906" w:h="16839"/>
          <w:pgMar w:top="1431" w:right="1711" w:bottom="0" w:left="1785" w:header="0" w:footer="0" w:gutter="0"/>
          <w:cols w:space="720" w:num="1"/>
        </w:sectPr>
      </w:pPr>
    </w:p>
    <w:p w14:paraId="40C3D66D">
      <w:pPr>
        <w:pStyle w:val="3"/>
        <w:spacing w:before="163" w:line="371" w:lineRule="auto"/>
        <w:ind w:left="37" w:right="16" w:hanging="8"/>
      </w:pPr>
      <w:r>
        <w:rPr>
          <w:spacing w:val="5"/>
        </w:rPr>
        <w:t>22 日</w:t>
      </w:r>
      <w:r>
        <w:rPr>
          <w:spacing w:val="-36"/>
        </w:rPr>
        <w:t xml:space="preserve"> </w:t>
      </w:r>
      <w:r>
        <w:rPr>
          <w:spacing w:val="5"/>
        </w:rPr>
        <w:t>17</w:t>
      </w:r>
      <w:r>
        <w:rPr>
          <w:spacing w:val="-29"/>
        </w:rPr>
        <w:t xml:space="preserve"> </w:t>
      </w:r>
      <w:r>
        <w:rPr>
          <w:spacing w:val="5"/>
        </w:rPr>
        <w:t>时的表决票进行汇总并计票，基金托管人的</w:t>
      </w:r>
      <w:r>
        <w:rPr>
          <w:spacing w:val="4"/>
        </w:rPr>
        <w:t>授权代</w:t>
      </w:r>
      <w:r>
        <w:rPr>
          <w:spacing w:val="8"/>
        </w:rPr>
        <w:t>表李轩凡一并出席了计票会议并对计票过程进行了监督。</w:t>
      </w:r>
    </w:p>
    <w:p w14:paraId="3CA67B27">
      <w:pPr>
        <w:pStyle w:val="3"/>
        <w:spacing w:before="6" w:line="371" w:lineRule="auto"/>
        <w:ind w:left="35" w:right="14" w:firstLine="640"/>
        <w:jc w:val="both"/>
      </w:pPr>
      <w:r>
        <w:rPr>
          <w:spacing w:val="17"/>
        </w:rPr>
        <w:t>经现场统计，截止至权益登记</w:t>
      </w:r>
      <w:r>
        <w:rPr>
          <w:spacing w:val="-36"/>
        </w:rPr>
        <w:t xml:space="preserve"> </w:t>
      </w:r>
      <w:r>
        <w:rPr>
          <w:spacing w:val="17"/>
        </w:rPr>
        <w:t>日，该基金总份额共有</w:t>
      </w:r>
      <w:r>
        <w:rPr>
          <w:spacing w:val="4"/>
        </w:rPr>
        <w:t>1,042,022.26</w:t>
      </w:r>
      <w:r>
        <w:rPr>
          <w:spacing w:val="-56"/>
        </w:rPr>
        <w:t xml:space="preserve"> </w:t>
      </w:r>
      <w:r>
        <w:rPr>
          <w:spacing w:val="4"/>
        </w:rPr>
        <w:t>份，参与本次通讯方式召集的基金份</w:t>
      </w:r>
      <w:r>
        <w:rPr>
          <w:spacing w:val="3"/>
        </w:rPr>
        <w:t>额持有人</w:t>
      </w:r>
      <w:r>
        <w:rPr>
          <w:spacing w:val="8"/>
        </w:rPr>
        <w:t>大会的持有人或其代理人总计持有</w:t>
      </w:r>
      <w:r>
        <w:rPr>
          <w:spacing w:val="-54"/>
        </w:rPr>
        <w:t xml:space="preserve"> </w:t>
      </w:r>
      <w:r>
        <w:rPr>
          <w:spacing w:val="8"/>
        </w:rPr>
        <w:t>977,</w:t>
      </w:r>
      <w:r>
        <w:rPr>
          <w:spacing w:val="7"/>
        </w:rPr>
        <w:t>315.20</w:t>
      </w:r>
      <w:r>
        <w:rPr>
          <w:spacing w:val="-46"/>
        </w:rPr>
        <w:t xml:space="preserve"> </w:t>
      </w:r>
      <w:r>
        <w:rPr>
          <w:spacing w:val="7"/>
        </w:rPr>
        <w:t>份，</w:t>
      </w:r>
      <w:r>
        <w:rPr>
          <w:spacing w:val="-63"/>
        </w:rPr>
        <w:t xml:space="preserve"> </w:t>
      </w:r>
      <w:r>
        <w:rPr>
          <w:spacing w:val="7"/>
        </w:rPr>
        <w:t>占权益</w:t>
      </w:r>
      <w:r>
        <w:rPr>
          <w:spacing w:val="15"/>
        </w:rPr>
        <w:t>登记日基金总份额</w:t>
      </w:r>
      <w:r>
        <w:rPr>
          <w:spacing w:val="-44"/>
        </w:rPr>
        <w:t xml:space="preserve"> </w:t>
      </w:r>
      <w:r>
        <w:rPr>
          <w:spacing w:val="15"/>
        </w:rPr>
        <w:t>93.79%，达到法定召开持有人大会的条</w:t>
      </w:r>
      <w:r>
        <w:rPr>
          <w:spacing w:val="8"/>
        </w:rPr>
        <w:t>件，符合《基金法》和《基金合同》的有关规定。</w:t>
      </w:r>
    </w:p>
    <w:p w14:paraId="1C3E1BA7">
      <w:pPr>
        <w:pStyle w:val="3"/>
        <w:spacing w:before="7" w:line="371" w:lineRule="auto"/>
        <w:ind w:left="26" w:right="13" w:firstLine="651"/>
        <w:jc w:val="both"/>
      </w:pPr>
      <w:r>
        <w:rPr>
          <w:spacing w:val="-13"/>
        </w:rPr>
        <w:t>在</w:t>
      </w:r>
      <w:r>
        <w:rPr>
          <w:spacing w:val="-54"/>
        </w:rPr>
        <w:t xml:space="preserve"> </w:t>
      </w:r>
      <w:r>
        <w:rPr>
          <w:spacing w:val="-13"/>
        </w:rPr>
        <w:t>上</w:t>
      </w:r>
      <w:r>
        <w:rPr>
          <w:spacing w:val="-66"/>
        </w:rPr>
        <w:t xml:space="preserve"> </w:t>
      </w:r>
      <w:r>
        <w:rPr>
          <w:spacing w:val="-13"/>
        </w:rPr>
        <w:t>述</w:t>
      </w:r>
      <w:r>
        <w:rPr>
          <w:spacing w:val="-64"/>
        </w:rPr>
        <w:t xml:space="preserve"> </w:t>
      </w:r>
      <w:r>
        <w:rPr>
          <w:spacing w:val="-13"/>
        </w:rPr>
        <w:t>表</w:t>
      </w:r>
      <w:r>
        <w:rPr>
          <w:spacing w:val="-66"/>
        </w:rPr>
        <w:t xml:space="preserve"> </w:t>
      </w:r>
      <w:r>
        <w:rPr>
          <w:spacing w:val="-13"/>
        </w:rPr>
        <w:t>决票 中</w:t>
      </w:r>
      <w:r>
        <w:rPr>
          <w:spacing w:val="-44"/>
        </w:rPr>
        <w:t xml:space="preserve"> </w:t>
      </w:r>
      <w:r>
        <w:rPr>
          <w:spacing w:val="-13"/>
        </w:rPr>
        <w:t>， 同</w:t>
      </w:r>
      <w:r>
        <w:rPr>
          <w:spacing w:val="-54"/>
        </w:rPr>
        <w:t xml:space="preserve"> </w:t>
      </w:r>
      <w:r>
        <w:rPr>
          <w:spacing w:val="-13"/>
        </w:rPr>
        <w:t>意</w:t>
      </w:r>
      <w:r>
        <w:rPr>
          <w:spacing w:val="-61"/>
        </w:rPr>
        <w:t xml:space="preserve"> </w:t>
      </w:r>
      <w:r>
        <w:rPr>
          <w:spacing w:val="-13"/>
        </w:rPr>
        <w:t>票</w:t>
      </w:r>
      <w:r>
        <w:rPr>
          <w:spacing w:val="-65"/>
        </w:rPr>
        <w:t xml:space="preserve"> </w:t>
      </w:r>
      <w:r>
        <w:rPr>
          <w:spacing w:val="-13"/>
        </w:rPr>
        <w:t>所</w:t>
      </w:r>
      <w:r>
        <w:rPr>
          <w:spacing w:val="-61"/>
        </w:rPr>
        <w:t xml:space="preserve"> </w:t>
      </w:r>
      <w:r>
        <w:rPr>
          <w:spacing w:val="-13"/>
        </w:rPr>
        <w:t>代</w:t>
      </w:r>
      <w:r>
        <w:rPr>
          <w:spacing w:val="-64"/>
        </w:rPr>
        <w:t xml:space="preserve"> </w:t>
      </w:r>
      <w:r>
        <w:rPr>
          <w:spacing w:val="-13"/>
        </w:rPr>
        <w:t>表</w:t>
      </w:r>
      <w:r>
        <w:rPr>
          <w:spacing w:val="-47"/>
        </w:rPr>
        <w:t xml:space="preserve"> </w:t>
      </w:r>
      <w:r>
        <w:rPr>
          <w:spacing w:val="-13"/>
        </w:rPr>
        <w:t>的</w:t>
      </w:r>
      <w:r>
        <w:rPr>
          <w:spacing w:val="-67"/>
        </w:rPr>
        <w:t xml:space="preserve"> </w:t>
      </w:r>
      <w:r>
        <w:rPr>
          <w:spacing w:val="-13"/>
        </w:rPr>
        <w:t>基</w:t>
      </w:r>
      <w:r>
        <w:rPr>
          <w:spacing w:val="-64"/>
        </w:rPr>
        <w:t xml:space="preserve"> </w:t>
      </w:r>
      <w:r>
        <w:rPr>
          <w:spacing w:val="-13"/>
        </w:rPr>
        <w:t>金</w:t>
      </w:r>
      <w:r>
        <w:rPr>
          <w:spacing w:val="-67"/>
        </w:rPr>
        <w:t xml:space="preserve"> </w:t>
      </w:r>
      <w:r>
        <w:rPr>
          <w:spacing w:val="-13"/>
        </w:rPr>
        <w:t>份</w:t>
      </w:r>
      <w:r>
        <w:rPr>
          <w:spacing w:val="-67"/>
        </w:rPr>
        <w:t xml:space="preserve"> </w:t>
      </w:r>
      <w:r>
        <w:rPr>
          <w:spacing w:val="-13"/>
        </w:rPr>
        <w:t>额为</w:t>
      </w:r>
      <w:r>
        <w:rPr>
          <w:spacing w:val="4"/>
        </w:rPr>
        <w:t>977,315.20</w:t>
      </w:r>
      <w:r>
        <w:rPr>
          <w:spacing w:val="-49"/>
        </w:rPr>
        <w:t xml:space="preserve"> </w:t>
      </w:r>
      <w:r>
        <w:rPr>
          <w:spacing w:val="4"/>
        </w:rPr>
        <w:t>份，占参与表决的基金份额持有人及代理人所持有效表决权的基金份额总数的</w:t>
      </w:r>
      <w:r>
        <w:rPr>
          <w:spacing w:val="-37"/>
        </w:rPr>
        <w:t xml:space="preserve"> </w:t>
      </w:r>
      <w:r>
        <w:rPr>
          <w:spacing w:val="4"/>
        </w:rPr>
        <w:t>100%；反对票所代表的基金份</w:t>
      </w:r>
      <w:r>
        <w:rPr>
          <w:spacing w:val="9"/>
        </w:rPr>
        <w:t>额为</w:t>
      </w:r>
      <w:r>
        <w:rPr>
          <w:spacing w:val="-54"/>
        </w:rPr>
        <w:t xml:space="preserve"> </w:t>
      </w:r>
      <w:r>
        <w:rPr>
          <w:spacing w:val="9"/>
        </w:rPr>
        <w:t>0.00</w:t>
      </w:r>
      <w:r>
        <w:rPr>
          <w:spacing w:val="-47"/>
        </w:rPr>
        <w:t xml:space="preserve"> </w:t>
      </w:r>
      <w:r>
        <w:rPr>
          <w:spacing w:val="9"/>
        </w:rPr>
        <w:t>份，</w:t>
      </w:r>
      <w:r>
        <w:rPr>
          <w:spacing w:val="-65"/>
        </w:rPr>
        <w:t xml:space="preserve"> </w:t>
      </w:r>
      <w:r>
        <w:rPr>
          <w:spacing w:val="9"/>
        </w:rPr>
        <w:t>占参与表决的基金份额持有人及代理人所持</w:t>
      </w:r>
      <w:r>
        <w:rPr>
          <w:spacing w:val="10"/>
        </w:rPr>
        <w:t>有效表决权的基金份额总数的</w:t>
      </w:r>
      <w:r>
        <w:rPr>
          <w:spacing w:val="-48"/>
        </w:rPr>
        <w:t xml:space="preserve"> </w:t>
      </w:r>
      <w:r>
        <w:rPr>
          <w:spacing w:val="10"/>
        </w:rPr>
        <w:t>0.00%；弃权票所代表的基金</w:t>
      </w:r>
      <w:r>
        <w:rPr>
          <w:spacing w:val="9"/>
        </w:rPr>
        <w:t>份额为</w:t>
      </w:r>
      <w:r>
        <w:rPr>
          <w:spacing w:val="-54"/>
        </w:rPr>
        <w:t xml:space="preserve"> </w:t>
      </w:r>
      <w:r>
        <w:rPr>
          <w:spacing w:val="9"/>
        </w:rPr>
        <w:t>0.00</w:t>
      </w:r>
      <w:r>
        <w:rPr>
          <w:spacing w:val="-47"/>
        </w:rPr>
        <w:t xml:space="preserve"> </w:t>
      </w:r>
      <w:r>
        <w:rPr>
          <w:spacing w:val="9"/>
        </w:rPr>
        <w:t>份，</w:t>
      </w:r>
      <w:r>
        <w:rPr>
          <w:spacing w:val="-65"/>
        </w:rPr>
        <w:t xml:space="preserve"> </w:t>
      </w:r>
      <w:r>
        <w:rPr>
          <w:spacing w:val="9"/>
        </w:rPr>
        <w:t>占参与表决的基金份额持有人及代理人所</w:t>
      </w:r>
      <w:r>
        <w:rPr>
          <w:spacing w:val="11"/>
        </w:rPr>
        <w:t>持有效表决权的基金份额总数的0.00%。</w:t>
      </w:r>
    </w:p>
    <w:p w14:paraId="49925958">
      <w:pPr>
        <w:pStyle w:val="3"/>
        <w:spacing w:before="6" w:line="371" w:lineRule="auto"/>
        <w:ind w:left="35" w:right="13" w:firstLine="642"/>
        <w:jc w:val="both"/>
      </w:pPr>
      <w:r>
        <w:rPr>
          <w:spacing w:val="8"/>
        </w:rPr>
        <w:t>依据上述事实，兹证明，本次以通讯方式召集的持有人大会对会议通知列明的审议事项进行了表决，未对会议通知</w:t>
      </w:r>
      <w:r>
        <w:rPr>
          <w:spacing w:val="-3"/>
        </w:rPr>
        <w:t>未列明的事项进行表决，会议表决结果符合</w:t>
      </w:r>
      <w:r>
        <w:rPr>
          <w:spacing w:val="-4"/>
        </w:rPr>
        <w:t>《基金法》和《基</w:t>
      </w:r>
      <w:r>
        <w:rPr>
          <w:spacing w:val="8"/>
        </w:rPr>
        <w:t>金合同》的有关规定，并符合《基金法》和《基金合同》规</w:t>
      </w:r>
      <w:r>
        <w:rPr>
          <w:spacing w:val="7"/>
        </w:rPr>
        <w:t>定的会议议案通过的条件。</w:t>
      </w:r>
    </w:p>
    <w:p w14:paraId="6083DD5B">
      <w:pPr>
        <w:spacing w:line="371" w:lineRule="auto"/>
        <w:sectPr>
          <w:pgSz w:w="11906" w:h="16839"/>
          <w:pgMar w:top="1431" w:right="1785" w:bottom="0" w:left="1785" w:header="0" w:footer="0" w:gutter="0"/>
          <w:cols w:space="720" w:num="1"/>
        </w:sectPr>
      </w:pPr>
    </w:p>
    <w:p w14:paraId="4CD2C859">
      <w:pPr>
        <w:spacing w:line="269" w:lineRule="auto"/>
        <w:rPr>
          <w:rFonts w:ascii="Arial"/>
          <w:sz w:val="21"/>
        </w:rPr>
      </w:pPr>
    </w:p>
    <w:p w14:paraId="3034541F">
      <w:pPr>
        <w:spacing w:line="270" w:lineRule="auto"/>
        <w:rPr>
          <w:rFonts w:ascii="Arial"/>
          <w:sz w:val="21"/>
        </w:rPr>
      </w:pPr>
    </w:p>
    <w:p w14:paraId="236CDCAE">
      <w:pPr>
        <w:spacing w:line="270" w:lineRule="auto"/>
        <w:rPr>
          <w:rFonts w:ascii="Arial"/>
          <w:sz w:val="21"/>
        </w:rPr>
      </w:pPr>
    </w:p>
    <w:p w14:paraId="04C6EBA7">
      <w:pPr>
        <w:spacing w:line="270" w:lineRule="auto"/>
        <w:rPr>
          <w:rFonts w:ascii="Arial"/>
          <w:sz w:val="21"/>
        </w:rPr>
      </w:pPr>
    </w:p>
    <w:p w14:paraId="5E32389D">
      <w:pPr>
        <w:pStyle w:val="3"/>
        <w:spacing w:before="104" w:line="225" w:lineRule="auto"/>
        <w:ind w:left="32"/>
        <w:rPr>
          <w:sz w:val="32"/>
          <w:szCs w:val="32"/>
        </w:rPr>
      </w:pPr>
      <w:r>
        <w:rPr>
          <w:spacing w:val="-3"/>
          <w:sz w:val="32"/>
          <w:szCs w:val="32"/>
        </w:rPr>
        <w:t>（此页无公证证词）</w:t>
      </w:r>
    </w:p>
    <w:p w14:paraId="131693DC">
      <w:pPr>
        <w:spacing w:line="248" w:lineRule="auto"/>
        <w:rPr>
          <w:rFonts w:ascii="Arial"/>
          <w:sz w:val="21"/>
        </w:rPr>
      </w:pPr>
    </w:p>
    <w:p w14:paraId="43ACF81B">
      <w:pPr>
        <w:spacing w:line="248" w:lineRule="auto"/>
        <w:rPr>
          <w:rFonts w:ascii="Arial"/>
          <w:sz w:val="21"/>
        </w:rPr>
      </w:pPr>
    </w:p>
    <w:p w14:paraId="679A0390">
      <w:pPr>
        <w:spacing w:line="248" w:lineRule="auto"/>
        <w:rPr>
          <w:rFonts w:ascii="Arial"/>
          <w:sz w:val="21"/>
        </w:rPr>
      </w:pPr>
    </w:p>
    <w:p w14:paraId="4B31208B">
      <w:pPr>
        <w:spacing w:line="248" w:lineRule="auto"/>
        <w:rPr>
          <w:rFonts w:ascii="Arial"/>
          <w:sz w:val="21"/>
        </w:rPr>
      </w:pPr>
    </w:p>
    <w:p w14:paraId="150CA2D7">
      <w:pPr>
        <w:spacing w:line="248" w:lineRule="auto"/>
        <w:rPr>
          <w:rFonts w:ascii="Arial"/>
          <w:sz w:val="21"/>
        </w:rPr>
      </w:pPr>
    </w:p>
    <w:p w14:paraId="1A588A6E">
      <w:pPr>
        <w:spacing w:line="248" w:lineRule="auto"/>
        <w:rPr>
          <w:rFonts w:ascii="Arial"/>
          <w:sz w:val="21"/>
        </w:rPr>
      </w:pPr>
    </w:p>
    <w:p w14:paraId="7B57AB4C">
      <w:pPr>
        <w:spacing w:line="249" w:lineRule="auto"/>
        <w:rPr>
          <w:rFonts w:ascii="Arial"/>
          <w:sz w:val="21"/>
        </w:rPr>
      </w:pPr>
    </w:p>
    <w:p w14:paraId="443C36D4">
      <w:pPr>
        <w:spacing w:line="249" w:lineRule="auto"/>
        <w:rPr>
          <w:rFonts w:ascii="Arial"/>
          <w:sz w:val="21"/>
        </w:rPr>
      </w:pPr>
      <w:r>
        <w:drawing>
          <wp:anchor distT="0" distB="0" distL="0" distR="0" simplePos="0" relativeHeight="251660288" behindDoc="1" locked="0" layoutInCell="1" allowOverlap="1">
            <wp:simplePos x="0" y="0"/>
            <wp:positionH relativeFrom="column">
              <wp:posOffset>3722370</wp:posOffset>
            </wp:positionH>
            <wp:positionV relativeFrom="paragraph">
              <wp:posOffset>21590</wp:posOffset>
            </wp:positionV>
            <wp:extent cx="1720850" cy="1720850"/>
            <wp:effectExtent l="0" t="0" r="6350" b="635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
                    <a:stretch>
                      <a:fillRect/>
                    </a:stretch>
                  </pic:blipFill>
                  <pic:spPr>
                    <a:xfrm>
                      <a:off x="0" y="0"/>
                      <a:ext cx="1720646" cy="1721040"/>
                    </a:xfrm>
                    <a:prstGeom prst="rect">
                      <a:avLst/>
                    </a:prstGeom>
                  </pic:spPr>
                </pic:pic>
              </a:graphicData>
            </a:graphic>
          </wp:anchor>
        </w:drawing>
      </w:r>
    </w:p>
    <w:p w14:paraId="4F2AFD0E">
      <w:pPr>
        <w:pStyle w:val="3"/>
        <w:spacing w:before="104" w:line="541" w:lineRule="auto"/>
        <w:ind w:left="3551" w:right="26" w:firstLine="21"/>
        <w:rPr>
          <w:sz w:val="32"/>
          <w:szCs w:val="32"/>
        </w:rPr>
      </w:pPr>
      <w:r>
        <w:drawing>
          <wp:anchor distT="0" distB="0" distL="0" distR="0" simplePos="0" relativeHeight="251659264" behindDoc="1" locked="0" layoutInCell="1" allowOverlap="1">
            <wp:simplePos x="0" y="0"/>
            <wp:positionH relativeFrom="column">
              <wp:posOffset>1927225</wp:posOffset>
            </wp:positionH>
            <wp:positionV relativeFrom="paragraph">
              <wp:posOffset>719455</wp:posOffset>
            </wp:positionV>
            <wp:extent cx="1863725" cy="1864360"/>
            <wp:effectExtent l="0" t="0" r="3175" b="254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
                    <a:stretch>
                      <a:fillRect/>
                    </a:stretch>
                  </pic:blipFill>
                  <pic:spPr>
                    <a:xfrm>
                      <a:off x="0" y="0"/>
                      <a:ext cx="1863915" cy="1864347"/>
                    </a:xfrm>
                    <a:prstGeom prst="rect">
                      <a:avLst/>
                    </a:prstGeom>
                  </pic:spPr>
                </pic:pic>
              </a:graphicData>
            </a:graphic>
          </wp:anchor>
        </w:drawing>
      </w:r>
      <w:r>
        <w:rPr>
          <w:spacing w:val="-5"/>
          <w:sz w:val="32"/>
          <w:szCs w:val="32"/>
        </w:rPr>
        <w:t>中华人民共和国北京市长安公证处</w:t>
      </w:r>
      <w:r>
        <w:rPr>
          <w:spacing w:val="-15"/>
          <w:sz w:val="32"/>
          <w:szCs w:val="32"/>
        </w:rPr>
        <w:t>公</w:t>
      </w:r>
      <w:r>
        <w:rPr>
          <w:spacing w:val="10"/>
          <w:sz w:val="32"/>
          <w:szCs w:val="32"/>
        </w:rPr>
        <w:t xml:space="preserve">  </w:t>
      </w:r>
      <w:r>
        <w:rPr>
          <w:spacing w:val="-15"/>
          <w:sz w:val="32"/>
          <w:szCs w:val="32"/>
        </w:rPr>
        <w:t>证</w:t>
      </w:r>
      <w:r>
        <w:rPr>
          <w:spacing w:val="21"/>
          <w:sz w:val="32"/>
          <w:szCs w:val="32"/>
        </w:rPr>
        <w:t xml:space="preserve">  </w:t>
      </w:r>
      <w:r>
        <w:rPr>
          <w:spacing w:val="-15"/>
          <w:sz w:val="32"/>
          <w:szCs w:val="32"/>
        </w:rPr>
        <w:t>员</w:t>
      </w:r>
    </w:p>
    <w:p w14:paraId="4F669023">
      <w:pPr>
        <w:pStyle w:val="3"/>
        <w:spacing w:before="303" w:line="224" w:lineRule="auto"/>
        <w:ind w:left="3538"/>
        <w:rPr>
          <w:sz w:val="32"/>
          <w:szCs w:val="32"/>
        </w:rPr>
      </w:pPr>
      <w:r>
        <w:rPr>
          <w:spacing w:val="-10"/>
          <w:sz w:val="32"/>
          <w:szCs w:val="32"/>
        </w:rPr>
        <w:t>2026</w:t>
      </w:r>
      <w:r>
        <w:rPr>
          <w:spacing w:val="-45"/>
          <w:sz w:val="32"/>
          <w:szCs w:val="32"/>
        </w:rPr>
        <w:t xml:space="preserve"> </w:t>
      </w:r>
      <w:r>
        <w:rPr>
          <w:spacing w:val="-10"/>
          <w:sz w:val="32"/>
          <w:szCs w:val="32"/>
        </w:rPr>
        <w:t>年</w:t>
      </w:r>
      <w:r>
        <w:rPr>
          <w:spacing w:val="-61"/>
          <w:sz w:val="32"/>
          <w:szCs w:val="32"/>
        </w:rPr>
        <w:t xml:space="preserve"> </w:t>
      </w:r>
      <w:r>
        <w:rPr>
          <w:spacing w:val="-10"/>
          <w:sz w:val="32"/>
          <w:szCs w:val="32"/>
        </w:rPr>
        <w:t>5</w:t>
      </w:r>
      <w:r>
        <w:rPr>
          <w:spacing w:val="-45"/>
          <w:sz w:val="32"/>
          <w:szCs w:val="32"/>
        </w:rPr>
        <w:t xml:space="preserve"> </w:t>
      </w:r>
      <w:r>
        <w:rPr>
          <w:spacing w:val="-10"/>
          <w:sz w:val="32"/>
          <w:szCs w:val="32"/>
        </w:rPr>
        <w:t>月</w:t>
      </w:r>
      <w:r>
        <w:rPr>
          <w:spacing w:val="-70"/>
          <w:sz w:val="32"/>
          <w:szCs w:val="32"/>
        </w:rPr>
        <w:t xml:space="preserve"> </w:t>
      </w:r>
      <w:r>
        <w:rPr>
          <w:spacing w:val="-10"/>
          <w:sz w:val="32"/>
          <w:szCs w:val="32"/>
        </w:rPr>
        <w:t>25 日</w:t>
      </w:r>
    </w:p>
    <w:p w14:paraId="1D096D91">
      <w:pPr>
        <w:jc w:val="both"/>
        <w:rPr>
          <w:rFonts w:hint="eastAsia" w:cs="Times New Roman" w:asciiTheme="majorEastAsia" w:hAnsiTheme="majorEastAsia" w:eastAsiaTheme="majorEastAsia"/>
          <w:szCs w:val="21"/>
        </w:rPr>
      </w:pPr>
    </w:p>
    <w:p w14:paraId="5AAACE83">
      <w:pPr>
        <w:spacing w:line="420" w:lineRule="exact"/>
        <w:jc w:val="both"/>
        <w:rPr>
          <w:rFonts w:hint="eastAsia" w:cs="Times New Roman" w:asciiTheme="majorEastAsia" w:hAnsiTheme="majorEastAsia" w:eastAsiaTheme="majorEastAsia"/>
          <w:szCs w:val="21"/>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719BC"/>
    <w:multiLevelType w:val="singleLevel"/>
    <w:tmpl w:val="842719BC"/>
    <w:lvl w:ilvl="0" w:tentative="0">
      <w:start w:val="2"/>
      <w:numFmt w:val="decimal"/>
      <w:suff w:val="nothing"/>
      <w:lvlText w:val="%1、"/>
      <w:lvlJc w:val="left"/>
    </w:lvl>
  </w:abstractNum>
  <w:abstractNum w:abstractNumId="1">
    <w:nsid w:val="D4705B70"/>
    <w:multiLevelType w:val="singleLevel"/>
    <w:tmpl w:val="D4705B70"/>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E49"/>
    <w:rsid w:val="00017774"/>
    <w:rsid w:val="00022D28"/>
    <w:rsid w:val="0002410B"/>
    <w:rsid w:val="000566C8"/>
    <w:rsid w:val="00061FA4"/>
    <w:rsid w:val="000703AC"/>
    <w:rsid w:val="00075D7C"/>
    <w:rsid w:val="00091691"/>
    <w:rsid w:val="000B027F"/>
    <w:rsid w:val="000C0059"/>
    <w:rsid w:val="000D305D"/>
    <w:rsid w:val="000D5780"/>
    <w:rsid w:val="000E3AB9"/>
    <w:rsid w:val="000E4DA9"/>
    <w:rsid w:val="0010443F"/>
    <w:rsid w:val="00122FCB"/>
    <w:rsid w:val="00130B92"/>
    <w:rsid w:val="0014301B"/>
    <w:rsid w:val="00143EA0"/>
    <w:rsid w:val="00145A5A"/>
    <w:rsid w:val="00145AE4"/>
    <w:rsid w:val="0014757F"/>
    <w:rsid w:val="001539F4"/>
    <w:rsid w:val="00154791"/>
    <w:rsid w:val="00165DDB"/>
    <w:rsid w:val="00170EFB"/>
    <w:rsid w:val="00173165"/>
    <w:rsid w:val="001A12EE"/>
    <w:rsid w:val="001A3E03"/>
    <w:rsid w:val="001A4FC3"/>
    <w:rsid w:val="001A5EAD"/>
    <w:rsid w:val="001B2C51"/>
    <w:rsid w:val="001B7D9B"/>
    <w:rsid w:val="001E4DE0"/>
    <w:rsid w:val="001F2028"/>
    <w:rsid w:val="001F2325"/>
    <w:rsid w:val="00222342"/>
    <w:rsid w:val="002446C0"/>
    <w:rsid w:val="00256915"/>
    <w:rsid w:val="00265007"/>
    <w:rsid w:val="002666B1"/>
    <w:rsid w:val="0026739E"/>
    <w:rsid w:val="00285E38"/>
    <w:rsid w:val="00286037"/>
    <w:rsid w:val="0029551F"/>
    <w:rsid w:val="002B3CF9"/>
    <w:rsid w:val="002C06E1"/>
    <w:rsid w:val="002C2A3B"/>
    <w:rsid w:val="002D4FC3"/>
    <w:rsid w:val="002E2F67"/>
    <w:rsid w:val="002F2FE3"/>
    <w:rsid w:val="00316D8D"/>
    <w:rsid w:val="0032059C"/>
    <w:rsid w:val="00320F68"/>
    <w:rsid w:val="0032223B"/>
    <w:rsid w:val="00324FDD"/>
    <w:rsid w:val="00325A2B"/>
    <w:rsid w:val="00332B34"/>
    <w:rsid w:val="003517E2"/>
    <w:rsid w:val="00352075"/>
    <w:rsid w:val="00356AD2"/>
    <w:rsid w:val="0037414B"/>
    <w:rsid w:val="003B3AC3"/>
    <w:rsid w:val="003C46A9"/>
    <w:rsid w:val="00412BF7"/>
    <w:rsid w:val="00417024"/>
    <w:rsid w:val="004233C5"/>
    <w:rsid w:val="004404C7"/>
    <w:rsid w:val="0044085B"/>
    <w:rsid w:val="0044501D"/>
    <w:rsid w:val="00446005"/>
    <w:rsid w:val="00465DE4"/>
    <w:rsid w:val="00477AC8"/>
    <w:rsid w:val="00496C68"/>
    <w:rsid w:val="004A2051"/>
    <w:rsid w:val="004B22AC"/>
    <w:rsid w:val="004D4362"/>
    <w:rsid w:val="004D65BD"/>
    <w:rsid w:val="004E1ACC"/>
    <w:rsid w:val="00526686"/>
    <w:rsid w:val="00561014"/>
    <w:rsid w:val="00572D1C"/>
    <w:rsid w:val="005745CB"/>
    <w:rsid w:val="005766B9"/>
    <w:rsid w:val="0058280F"/>
    <w:rsid w:val="0059339F"/>
    <w:rsid w:val="00596300"/>
    <w:rsid w:val="00597C3C"/>
    <w:rsid w:val="005A1794"/>
    <w:rsid w:val="005A38FC"/>
    <w:rsid w:val="005B5529"/>
    <w:rsid w:val="005B68D7"/>
    <w:rsid w:val="005C4E5B"/>
    <w:rsid w:val="005D3675"/>
    <w:rsid w:val="005D5772"/>
    <w:rsid w:val="005E3ACA"/>
    <w:rsid w:val="00603532"/>
    <w:rsid w:val="006131ED"/>
    <w:rsid w:val="0063383A"/>
    <w:rsid w:val="006443A2"/>
    <w:rsid w:val="006507DF"/>
    <w:rsid w:val="006656C6"/>
    <w:rsid w:val="00667A47"/>
    <w:rsid w:val="00671992"/>
    <w:rsid w:val="006736CE"/>
    <w:rsid w:val="0067459A"/>
    <w:rsid w:val="006750B0"/>
    <w:rsid w:val="0068109E"/>
    <w:rsid w:val="006C29C4"/>
    <w:rsid w:val="006C655B"/>
    <w:rsid w:val="006D01A1"/>
    <w:rsid w:val="006F0350"/>
    <w:rsid w:val="006F4418"/>
    <w:rsid w:val="007206B6"/>
    <w:rsid w:val="00731CD3"/>
    <w:rsid w:val="00737195"/>
    <w:rsid w:val="007529D8"/>
    <w:rsid w:val="00753DA9"/>
    <w:rsid w:val="0077721E"/>
    <w:rsid w:val="0079329D"/>
    <w:rsid w:val="0079379F"/>
    <w:rsid w:val="007B1A5A"/>
    <w:rsid w:val="007C1C39"/>
    <w:rsid w:val="007C6B4B"/>
    <w:rsid w:val="007D3D86"/>
    <w:rsid w:val="007F0D9B"/>
    <w:rsid w:val="007F1CAD"/>
    <w:rsid w:val="007F3FDE"/>
    <w:rsid w:val="00832D3D"/>
    <w:rsid w:val="00847C5E"/>
    <w:rsid w:val="008626B6"/>
    <w:rsid w:val="00865B24"/>
    <w:rsid w:val="00866B58"/>
    <w:rsid w:val="00882F11"/>
    <w:rsid w:val="008A2AF7"/>
    <w:rsid w:val="008A7278"/>
    <w:rsid w:val="008C564A"/>
    <w:rsid w:val="008C7038"/>
    <w:rsid w:val="008D0EC1"/>
    <w:rsid w:val="008D3BAA"/>
    <w:rsid w:val="008D77E2"/>
    <w:rsid w:val="008E2C5D"/>
    <w:rsid w:val="008E4E6E"/>
    <w:rsid w:val="008E691B"/>
    <w:rsid w:val="008F5F62"/>
    <w:rsid w:val="008F6977"/>
    <w:rsid w:val="00921654"/>
    <w:rsid w:val="009314E9"/>
    <w:rsid w:val="009668F7"/>
    <w:rsid w:val="00966CFE"/>
    <w:rsid w:val="00975CD4"/>
    <w:rsid w:val="00983021"/>
    <w:rsid w:val="009A6EBF"/>
    <w:rsid w:val="009B7872"/>
    <w:rsid w:val="009D20CC"/>
    <w:rsid w:val="009D4A2F"/>
    <w:rsid w:val="00A1325D"/>
    <w:rsid w:val="00A472CF"/>
    <w:rsid w:val="00A60E85"/>
    <w:rsid w:val="00A67AA0"/>
    <w:rsid w:val="00AB55F5"/>
    <w:rsid w:val="00AB7299"/>
    <w:rsid w:val="00AC0D24"/>
    <w:rsid w:val="00AC5BEE"/>
    <w:rsid w:val="00AD7B2D"/>
    <w:rsid w:val="00AF3CBA"/>
    <w:rsid w:val="00B1328D"/>
    <w:rsid w:val="00B229D5"/>
    <w:rsid w:val="00B4686C"/>
    <w:rsid w:val="00B60A13"/>
    <w:rsid w:val="00B62856"/>
    <w:rsid w:val="00B76527"/>
    <w:rsid w:val="00B97FB7"/>
    <w:rsid w:val="00BC066C"/>
    <w:rsid w:val="00BC33CD"/>
    <w:rsid w:val="00BC49A9"/>
    <w:rsid w:val="00BC6A3C"/>
    <w:rsid w:val="00BD55E8"/>
    <w:rsid w:val="00BE07BD"/>
    <w:rsid w:val="00C45439"/>
    <w:rsid w:val="00C45EA9"/>
    <w:rsid w:val="00C61B0A"/>
    <w:rsid w:val="00C75B30"/>
    <w:rsid w:val="00C86154"/>
    <w:rsid w:val="00CB0485"/>
    <w:rsid w:val="00CC47DC"/>
    <w:rsid w:val="00CD06EB"/>
    <w:rsid w:val="00CF12BF"/>
    <w:rsid w:val="00CF46C4"/>
    <w:rsid w:val="00D01709"/>
    <w:rsid w:val="00D02CF7"/>
    <w:rsid w:val="00D224C1"/>
    <w:rsid w:val="00D238C8"/>
    <w:rsid w:val="00D24784"/>
    <w:rsid w:val="00D36700"/>
    <w:rsid w:val="00D40FCC"/>
    <w:rsid w:val="00D52B1E"/>
    <w:rsid w:val="00D630A7"/>
    <w:rsid w:val="00D639FC"/>
    <w:rsid w:val="00D64EA3"/>
    <w:rsid w:val="00D7146A"/>
    <w:rsid w:val="00D748EF"/>
    <w:rsid w:val="00D93A24"/>
    <w:rsid w:val="00D97D58"/>
    <w:rsid w:val="00DC231F"/>
    <w:rsid w:val="00DC2F7C"/>
    <w:rsid w:val="00DC68F4"/>
    <w:rsid w:val="00DD330F"/>
    <w:rsid w:val="00DE0BB0"/>
    <w:rsid w:val="00DF50F6"/>
    <w:rsid w:val="00E45FF7"/>
    <w:rsid w:val="00E524DD"/>
    <w:rsid w:val="00E54585"/>
    <w:rsid w:val="00E65097"/>
    <w:rsid w:val="00E65F7C"/>
    <w:rsid w:val="00E6608A"/>
    <w:rsid w:val="00E74254"/>
    <w:rsid w:val="00E77D4A"/>
    <w:rsid w:val="00E81F5B"/>
    <w:rsid w:val="00E87565"/>
    <w:rsid w:val="00EA2F80"/>
    <w:rsid w:val="00EB77F2"/>
    <w:rsid w:val="00EC1C8C"/>
    <w:rsid w:val="00ED1B40"/>
    <w:rsid w:val="00ED4246"/>
    <w:rsid w:val="00EE10AC"/>
    <w:rsid w:val="00EE7A8D"/>
    <w:rsid w:val="00EE7AD7"/>
    <w:rsid w:val="00F074D8"/>
    <w:rsid w:val="00F13645"/>
    <w:rsid w:val="00F137B4"/>
    <w:rsid w:val="00F56EF4"/>
    <w:rsid w:val="00F62FC3"/>
    <w:rsid w:val="00F71E49"/>
    <w:rsid w:val="00F8162F"/>
    <w:rsid w:val="00FB1235"/>
    <w:rsid w:val="00FC1FE1"/>
    <w:rsid w:val="00FC4A0E"/>
    <w:rsid w:val="00FD484C"/>
    <w:rsid w:val="00FE3306"/>
    <w:rsid w:val="00FF60CF"/>
    <w:rsid w:val="03D275FF"/>
    <w:rsid w:val="04F97FD6"/>
    <w:rsid w:val="05615F60"/>
    <w:rsid w:val="10D17314"/>
    <w:rsid w:val="11984DEC"/>
    <w:rsid w:val="158B4361"/>
    <w:rsid w:val="15983279"/>
    <w:rsid w:val="16016CB2"/>
    <w:rsid w:val="17CA394C"/>
    <w:rsid w:val="1F9149FB"/>
    <w:rsid w:val="21B92040"/>
    <w:rsid w:val="222D19B4"/>
    <w:rsid w:val="22F43BFB"/>
    <w:rsid w:val="29B81690"/>
    <w:rsid w:val="2D4C1CE0"/>
    <w:rsid w:val="2DBE1C46"/>
    <w:rsid w:val="2E9A46CD"/>
    <w:rsid w:val="3172497C"/>
    <w:rsid w:val="31F17189"/>
    <w:rsid w:val="32B62ECE"/>
    <w:rsid w:val="33CC7915"/>
    <w:rsid w:val="351F4A7E"/>
    <w:rsid w:val="36111AED"/>
    <w:rsid w:val="38A050F2"/>
    <w:rsid w:val="38FB468E"/>
    <w:rsid w:val="39F74184"/>
    <w:rsid w:val="3A9221DF"/>
    <w:rsid w:val="3D49701E"/>
    <w:rsid w:val="3F5A43F6"/>
    <w:rsid w:val="3FF215CD"/>
    <w:rsid w:val="43801F96"/>
    <w:rsid w:val="459546C0"/>
    <w:rsid w:val="49202A3E"/>
    <w:rsid w:val="4B93336C"/>
    <w:rsid w:val="4D161FDB"/>
    <w:rsid w:val="51AC142E"/>
    <w:rsid w:val="530C2284"/>
    <w:rsid w:val="55187B8A"/>
    <w:rsid w:val="55D51D0D"/>
    <w:rsid w:val="5E550059"/>
    <w:rsid w:val="5F525A46"/>
    <w:rsid w:val="626560CF"/>
    <w:rsid w:val="65487A9B"/>
    <w:rsid w:val="66A70A5A"/>
    <w:rsid w:val="6C5C61FD"/>
    <w:rsid w:val="76F453D0"/>
    <w:rsid w:val="7B0556E1"/>
    <w:rsid w:val="7E0735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unhideWhenUsed/>
    <w:qFormat/>
    <w:uiPriority w:val="99"/>
    <w:pPr>
      <w:jc w:val="left"/>
    </w:pPr>
  </w:style>
  <w:style w:type="paragraph" w:styleId="3">
    <w:name w:val="Body Text"/>
    <w:basedOn w:val="1"/>
    <w:semiHidden/>
    <w:qFormat/>
    <w:uiPriority w:val="0"/>
    <w:rPr>
      <w:rFonts w:ascii="仿宋" w:hAnsi="仿宋" w:eastAsia="仿宋" w:cs="仿宋"/>
      <w:sz w:val="31"/>
      <w:szCs w:val="31"/>
      <w:lang w:val="en-US" w:eastAsia="en-US" w:bidi="ar-SA"/>
    </w:rPr>
  </w:style>
  <w:style w:type="paragraph" w:styleId="4">
    <w:name w:val="Balloon Text"/>
    <w:basedOn w:val="1"/>
    <w:link w:val="16"/>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Autospacing="1" w:afterAutospacing="1"/>
      <w:jc w:val="left"/>
    </w:pPr>
    <w:rPr>
      <w:rFonts w:cs="Times New Roman"/>
      <w:kern w:val="0"/>
      <w:sz w:val="24"/>
    </w:rPr>
  </w:style>
  <w:style w:type="paragraph" w:styleId="8">
    <w:name w:val="annotation subject"/>
    <w:basedOn w:val="2"/>
    <w:next w:val="2"/>
    <w:link w:val="18"/>
    <w:semiHidden/>
    <w:unhideWhenUsed/>
    <w:qFormat/>
    <w:uiPriority w:val="99"/>
    <w:rPr>
      <w:b/>
      <w:bCs/>
    </w:rPr>
  </w:style>
  <w:style w:type="table" w:styleId="10">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annotation reference"/>
    <w:basedOn w:val="11"/>
    <w:semiHidden/>
    <w:unhideWhenUsed/>
    <w:qFormat/>
    <w:uiPriority w:val="99"/>
    <w:rPr>
      <w:sz w:val="21"/>
      <w:szCs w:val="21"/>
    </w:rPr>
  </w:style>
  <w:style w:type="character" w:customStyle="1" w:styleId="13">
    <w:name w:val="da"/>
    <w:basedOn w:val="11"/>
    <w:qFormat/>
    <w:uiPriority w:val="0"/>
  </w:style>
  <w:style w:type="character" w:customStyle="1" w:styleId="14">
    <w:name w:val="页眉 字符"/>
    <w:basedOn w:val="11"/>
    <w:link w:val="6"/>
    <w:qFormat/>
    <w:uiPriority w:val="99"/>
    <w:rPr>
      <w:sz w:val="18"/>
      <w:szCs w:val="18"/>
    </w:rPr>
  </w:style>
  <w:style w:type="character" w:customStyle="1" w:styleId="15">
    <w:name w:val="页脚 字符"/>
    <w:basedOn w:val="11"/>
    <w:link w:val="5"/>
    <w:qFormat/>
    <w:uiPriority w:val="99"/>
    <w:rPr>
      <w:sz w:val="18"/>
      <w:szCs w:val="18"/>
    </w:rPr>
  </w:style>
  <w:style w:type="character" w:customStyle="1" w:styleId="16">
    <w:name w:val="批注框文本 字符"/>
    <w:basedOn w:val="11"/>
    <w:link w:val="4"/>
    <w:semiHidden/>
    <w:qFormat/>
    <w:uiPriority w:val="99"/>
    <w:rPr>
      <w:sz w:val="18"/>
      <w:szCs w:val="18"/>
    </w:rPr>
  </w:style>
  <w:style w:type="character" w:customStyle="1" w:styleId="17">
    <w:name w:val="批注文字 字符"/>
    <w:basedOn w:val="11"/>
    <w:link w:val="2"/>
    <w:qFormat/>
    <w:uiPriority w:val="99"/>
  </w:style>
  <w:style w:type="character" w:customStyle="1" w:styleId="18">
    <w:name w:val="批注主题 字符"/>
    <w:basedOn w:val="17"/>
    <w:link w:val="8"/>
    <w:semiHidden/>
    <w:qFormat/>
    <w:uiPriority w:val="99"/>
    <w:rPr>
      <w:b/>
      <w:bCs/>
    </w:rPr>
  </w:style>
  <w:style w:type="paragraph" w:customStyle="1" w:styleId="19">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05C08-1CDC-4856-90B1-73F174A8AF5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599</Words>
  <Characters>3417</Characters>
  <Lines>28</Lines>
  <Paragraphs>8</Paragraphs>
  <TotalTime>0</TotalTime>
  <ScaleCrop>false</ScaleCrop>
  <LinksUpToDate>false</LinksUpToDate>
  <CharactersWithSpaces>4008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2026-05-18T09:57:00Z</dcterms:created>
  <dc:creator>zhaiq</dc:creator>
  <cp:lastModifiedBy>托管</cp:lastModifiedBy>
  <dcterms:modified xsi:type="dcterms:W3CDTF">2026-05-25T09:54:20Z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B72497CFB5F04F96BA4602669F5BCCCC</vt:lpwstr>
  </property>
  <property fmtid="{D5CDD505-2E9C-101B-9397-08002B2CF9AE}" pid="4" name="KSOTemplateDocerSaveRecord">
    <vt:lpwstr>eyJoZGlkIjoiZmVhYTE0MTJhMGJkOGU3YzBiOGFiYTlhMGFmMDNhZmYiLCJ1c2VySWQiOiI4OTUyODYyNjEifQ==</vt:lpwstr>
  </property>
</Properties>
</file>