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91200C">
      <w:pPr>
        <w:snapToGrid w:val="0"/>
        <w:spacing w:line="360" w:lineRule="auto"/>
        <w:jc w:val="center"/>
        <w:outlineLvl w:val="0"/>
        <w:rPr>
          <w:rFonts w:ascii="宋体" w:hAnsi="宋体" w:cs="Arial"/>
          <w:sz w:val="32"/>
        </w:rPr>
      </w:pPr>
    </w:p>
    <w:p w14:paraId="4B03EAFB">
      <w:pPr>
        <w:snapToGrid w:val="0"/>
        <w:spacing w:line="360" w:lineRule="auto"/>
        <w:jc w:val="center"/>
        <w:outlineLvl w:val="0"/>
        <w:rPr>
          <w:rFonts w:ascii="宋体" w:hAnsi="宋体" w:cs="Arial"/>
          <w:sz w:val="32"/>
        </w:rPr>
      </w:pPr>
    </w:p>
    <w:p w14:paraId="2B64442C">
      <w:pPr>
        <w:snapToGrid w:val="0"/>
        <w:spacing w:line="360" w:lineRule="auto"/>
        <w:jc w:val="center"/>
        <w:outlineLvl w:val="0"/>
        <w:rPr>
          <w:rFonts w:ascii="宋体" w:hAnsi="宋体" w:cs="Arial"/>
          <w:sz w:val="32"/>
        </w:rPr>
      </w:pPr>
    </w:p>
    <w:p w14:paraId="75715344">
      <w:pPr>
        <w:snapToGrid w:val="0"/>
        <w:spacing w:line="360" w:lineRule="auto"/>
        <w:jc w:val="center"/>
        <w:outlineLvl w:val="0"/>
        <w:rPr>
          <w:rFonts w:ascii="宋体" w:hAnsi="宋体" w:cs="Arial"/>
          <w:sz w:val="32"/>
        </w:rPr>
      </w:pPr>
    </w:p>
    <w:p w14:paraId="12BEFAE4">
      <w:pPr>
        <w:snapToGrid w:val="0"/>
        <w:spacing w:line="360" w:lineRule="auto"/>
        <w:jc w:val="center"/>
        <w:outlineLvl w:val="0"/>
        <w:rPr>
          <w:rFonts w:ascii="宋体" w:hAnsi="宋体" w:cs="Arial"/>
          <w:sz w:val="32"/>
        </w:rPr>
      </w:pPr>
    </w:p>
    <w:p w14:paraId="390A4AEC">
      <w:pPr>
        <w:snapToGrid w:val="0"/>
        <w:spacing w:line="360" w:lineRule="auto"/>
        <w:jc w:val="center"/>
        <w:outlineLvl w:val="0"/>
        <w:rPr>
          <w:rFonts w:ascii="宋体" w:hAnsi="宋体" w:cs="Arial"/>
          <w:b/>
          <w:sz w:val="48"/>
          <w:szCs w:val="48"/>
        </w:rPr>
      </w:pPr>
      <w:r>
        <w:rPr>
          <w:rFonts w:hint="eastAsia" w:ascii="宋体" w:hAnsi="宋体" w:cs="Arial"/>
          <w:b/>
          <w:bCs/>
          <w:sz w:val="48"/>
          <w:szCs w:val="48"/>
        </w:rPr>
        <w:t>博时恒生港股通</w:t>
      </w:r>
      <w:r>
        <w:rPr>
          <w:rFonts w:hint="eastAsia" w:ascii="宋体" w:hAnsi="宋体" w:cs="Arial"/>
          <w:b/>
          <w:bCs/>
          <w:sz w:val="48"/>
          <w:szCs w:val="48"/>
          <w:lang w:eastAsia="zh-CN"/>
        </w:rPr>
        <w:t>红利</w:t>
      </w:r>
      <w:r>
        <w:rPr>
          <w:rFonts w:hint="eastAsia" w:ascii="宋体" w:hAnsi="宋体" w:cs="Arial"/>
          <w:b/>
          <w:bCs/>
          <w:sz w:val="48"/>
          <w:szCs w:val="48"/>
        </w:rPr>
        <w:t>低波动交易型开放式指数证券投资基金</w:t>
      </w:r>
      <w:r>
        <w:rPr>
          <w:rFonts w:ascii="宋体" w:hAnsi="宋体" w:cs="Arial"/>
          <w:b/>
          <w:sz w:val="48"/>
          <w:szCs w:val="48"/>
        </w:rPr>
        <w:t>招募说明书</w:t>
      </w:r>
    </w:p>
    <w:p w14:paraId="05B59FF0">
      <w:pPr>
        <w:snapToGrid w:val="0"/>
        <w:spacing w:line="360" w:lineRule="auto"/>
        <w:jc w:val="center"/>
        <w:outlineLvl w:val="0"/>
        <w:rPr>
          <w:rFonts w:ascii="宋体" w:hAnsi="宋体" w:cs="Arial"/>
          <w:b/>
          <w:sz w:val="36"/>
        </w:rPr>
      </w:pPr>
    </w:p>
    <w:p w14:paraId="120E0F2A">
      <w:pPr>
        <w:snapToGrid w:val="0"/>
        <w:spacing w:line="360" w:lineRule="auto"/>
        <w:jc w:val="center"/>
        <w:outlineLvl w:val="0"/>
        <w:rPr>
          <w:rFonts w:ascii="宋体" w:hAnsi="宋体" w:cs="Arial"/>
          <w:b/>
          <w:sz w:val="36"/>
        </w:rPr>
      </w:pPr>
    </w:p>
    <w:p w14:paraId="3B3CD5A7">
      <w:pPr>
        <w:snapToGrid w:val="0"/>
        <w:spacing w:line="360" w:lineRule="auto"/>
        <w:jc w:val="center"/>
        <w:outlineLvl w:val="0"/>
        <w:rPr>
          <w:rFonts w:ascii="宋体" w:hAnsi="宋体" w:cs="Arial"/>
          <w:b/>
          <w:sz w:val="36"/>
        </w:rPr>
      </w:pPr>
    </w:p>
    <w:p w14:paraId="52DC6AFA">
      <w:pPr>
        <w:snapToGrid w:val="0"/>
        <w:spacing w:line="360" w:lineRule="auto"/>
        <w:jc w:val="center"/>
        <w:outlineLvl w:val="0"/>
        <w:rPr>
          <w:rFonts w:ascii="宋体" w:hAnsi="宋体" w:cs="Arial"/>
          <w:b/>
          <w:sz w:val="36"/>
        </w:rPr>
      </w:pPr>
    </w:p>
    <w:p w14:paraId="10D560C7">
      <w:pPr>
        <w:snapToGrid w:val="0"/>
        <w:spacing w:line="360" w:lineRule="auto"/>
        <w:jc w:val="center"/>
        <w:outlineLvl w:val="0"/>
        <w:rPr>
          <w:rFonts w:ascii="宋体" w:hAnsi="宋体" w:cs="Arial"/>
        </w:rPr>
      </w:pPr>
    </w:p>
    <w:p w14:paraId="553CF2F9">
      <w:pPr>
        <w:snapToGrid w:val="0"/>
        <w:spacing w:line="360" w:lineRule="auto"/>
        <w:jc w:val="center"/>
        <w:outlineLvl w:val="0"/>
        <w:rPr>
          <w:rFonts w:ascii="宋体" w:hAnsi="宋体" w:cs="Arial"/>
        </w:rPr>
      </w:pPr>
    </w:p>
    <w:p w14:paraId="19994674">
      <w:pPr>
        <w:snapToGrid w:val="0"/>
        <w:spacing w:line="360" w:lineRule="auto"/>
        <w:jc w:val="center"/>
        <w:outlineLvl w:val="0"/>
        <w:rPr>
          <w:rFonts w:ascii="宋体" w:hAnsi="宋体" w:cs="Arial"/>
        </w:rPr>
      </w:pPr>
    </w:p>
    <w:p w14:paraId="118CAFDA">
      <w:pPr>
        <w:snapToGrid w:val="0"/>
        <w:spacing w:line="360" w:lineRule="auto"/>
        <w:jc w:val="center"/>
        <w:rPr>
          <w:rFonts w:ascii="宋体" w:hAnsi="宋体" w:cs="Arial"/>
          <w:b/>
          <w:sz w:val="30"/>
          <w:szCs w:val="30"/>
        </w:rPr>
      </w:pPr>
      <w:r>
        <w:rPr>
          <w:rFonts w:ascii="宋体" w:hAnsi="宋体" w:cs="Arial"/>
          <w:b/>
          <w:sz w:val="30"/>
          <w:szCs w:val="30"/>
        </w:rPr>
        <w:t>基金管理人：博时基金管理有限公司</w:t>
      </w:r>
    </w:p>
    <w:p w14:paraId="343B9268">
      <w:pPr>
        <w:snapToGrid w:val="0"/>
        <w:spacing w:line="360" w:lineRule="auto"/>
        <w:jc w:val="center"/>
        <w:rPr>
          <w:rFonts w:ascii="宋体" w:hAnsi="宋体" w:cs="Arial"/>
          <w:sz w:val="30"/>
          <w:szCs w:val="30"/>
        </w:rPr>
      </w:pPr>
      <w:r>
        <w:rPr>
          <w:rFonts w:ascii="宋体" w:hAnsi="宋体" w:cs="Arial"/>
          <w:b/>
          <w:sz w:val="30"/>
          <w:szCs w:val="30"/>
        </w:rPr>
        <w:t>基金托管人：</w:t>
      </w:r>
      <w:r>
        <w:rPr>
          <w:rFonts w:hint="eastAsia" w:ascii="宋体" w:hAnsi="宋体" w:cs="Arial"/>
          <w:b/>
          <w:sz w:val="30"/>
          <w:szCs w:val="30"/>
        </w:rPr>
        <w:t>广发银行股份有限公司</w:t>
      </w:r>
    </w:p>
    <w:p w14:paraId="652EEC30">
      <w:pPr>
        <w:snapToGrid w:val="0"/>
        <w:spacing w:line="360" w:lineRule="auto"/>
        <w:ind w:firstLine="2240" w:firstLineChars="800"/>
        <w:jc w:val="center"/>
        <w:rPr>
          <w:rFonts w:ascii="宋体" w:hAnsi="宋体" w:cs="Arial"/>
          <w:sz w:val="28"/>
        </w:rPr>
      </w:pPr>
    </w:p>
    <w:p w14:paraId="42799F08">
      <w:pPr>
        <w:snapToGrid w:val="0"/>
        <w:spacing w:line="360" w:lineRule="auto"/>
        <w:jc w:val="center"/>
        <w:rPr>
          <w:rFonts w:ascii="宋体" w:hAnsi="宋体" w:cs="Arial"/>
          <w:b/>
          <w:bCs/>
          <w:sz w:val="36"/>
          <w:szCs w:val="36"/>
        </w:rPr>
      </w:pPr>
    </w:p>
    <w:p w14:paraId="1CFAE462">
      <w:pPr>
        <w:autoSpaceDE w:val="0"/>
        <w:autoSpaceDN w:val="0"/>
        <w:adjustRightInd w:val="0"/>
        <w:snapToGrid w:val="0"/>
        <w:spacing w:line="360" w:lineRule="auto"/>
        <w:jc w:val="center"/>
        <w:rPr>
          <w:rFonts w:ascii="宋体" w:hAnsi="宋体" w:cs="Arial"/>
          <w:b/>
          <w:bCs/>
          <w:sz w:val="28"/>
          <w:szCs w:val="28"/>
        </w:rPr>
        <w:sectPr>
          <w:headerReference r:id="rId3" w:type="first"/>
          <w:footerReference r:id="rId4" w:type="first"/>
          <w:pgSz w:w="11906" w:h="16838"/>
          <w:pgMar w:top="1440" w:right="1800" w:bottom="1440" w:left="1800" w:header="851" w:footer="992" w:gutter="0"/>
          <w:pgNumType w:start="1"/>
          <w:cols w:space="720" w:num="1"/>
          <w:titlePg/>
          <w:docGrid w:linePitch="312" w:charSpace="0"/>
        </w:sectPr>
      </w:pPr>
    </w:p>
    <w:p w14:paraId="76206BB5">
      <w:pPr>
        <w:pStyle w:val="2"/>
        <w:snapToGrid w:val="0"/>
        <w:spacing w:before="0" w:after="0" w:line="360" w:lineRule="auto"/>
        <w:ind w:firstLine="141" w:firstLineChars="50"/>
        <w:rPr>
          <w:rFonts w:hAnsi="宋体" w:eastAsia="宋体" w:cs="Arial"/>
          <w:b/>
          <w:bCs/>
          <w:sz w:val="28"/>
          <w:szCs w:val="28"/>
        </w:rPr>
      </w:pPr>
      <w:bookmarkStart w:id="0" w:name="_Toc23491"/>
      <w:bookmarkStart w:id="1" w:name="_Toc8520"/>
      <w:r>
        <w:rPr>
          <w:rFonts w:hAnsi="宋体" w:eastAsia="宋体" w:cs="Arial"/>
          <w:b/>
          <w:bCs/>
          <w:sz w:val="28"/>
          <w:szCs w:val="28"/>
        </w:rPr>
        <w:t>【重要提示】</w:t>
      </w:r>
      <w:bookmarkEnd w:id="0"/>
      <w:bookmarkEnd w:id="1"/>
    </w:p>
    <w:p w14:paraId="35401A59">
      <w:pPr>
        <w:autoSpaceDE w:val="0"/>
        <w:autoSpaceDN w:val="0"/>
        <w:adjustRightInd w:val="0"/>
        <w:snapToGrid w:val="0"/>
        <w:spacing w:line="360" w:lineRule="auto"/>
        <w:jc w:val="center"/>
        <w:rPr>
          <w:rFonts w:ascii="宋体" w:hAnsi="宋体" w:cs="Arial"/>
          <w:b/>
          <w:bCs/>
          <w:szCs w:val="21"/>
        </w:rPr>
      </w:pPr>
    </w:p>
    <w:p w14:paraId="5BF6EAA3">
      <w:pPr>
        <w:numPr>
          <w:ilvl w:val="-1"/>
          <w:numId w:val="0"/>
        </w:num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博时恒生港股通</w:t>
      </w:r>
      <w:r>
        <w:rPr>
          <w:rFonts w:hint="eastAsia" w:ascii="宋体" w:hAnsi="宋体" w:cs="Arial"/>
          <w:lang w:val="en-US" w:eastAsia="zh-CN"/>
        </w:rPr>
        <w:t>高股息</w:t>
      </w:r>
      <w:r>
        <w:rPr>
          <w:rFonts w:hint="eastAsia" w:ascii="宋体" w:hAnsi="宋体" w:cs="Arial"/>
        </w:rPr>
        <w:t>低波动交易型开放式指数证券投资基金根据20</w:t>
      </w:r>
      <w:r>
        <w:rPr>
          <w:rFonts w:hint="eastAsia" w:ascii="宋体" w:hAnsi="宋体" w:cs="Arial"/>
          <w:lang w:val="en-US" w:eastAsia="zh-CN"/>
        </w:rPr>
        <w:t>26</w:t>
      </w:r>
      <w:r>
        <w:rPr>
          <w:rFonts w:hint="eastAsia" w:ascii="宋体" w:hAnsi="宋体" w:cs="Arial"/>
        </w:rPr>
        <w:t>年</w:t>
      </w:r>
      <w:r>
        <w:rPr>
          <w:rFonts w:hint="eastAsia" w:ascii="宋体" w:hAnsi="宋体" w:cs="Arial"/>
          <w:lang w:val="en-US" w:eastAsia="zh-CN"/>
        </w:rPr>
        <w:t>7</w:t>
      </w:r>
      <w:r>
        <w:rPr>
          <w:rFonts w:hint="eastAsia" w:ascii="宋体" w:hAnsi="宋体" w:cs="Arial"/>
        </w:rPr>
        <w:t>月</w:t>
      </w:r>
      <w:r>
        <w:rPr>
          <w:rFonts w:hint="eastAsia" w:ascii="宋体" w:hAnsi="宋体" w:cs="Arial"/>
          <w:lang w:val="en-US" w:eastAsia="zh-CN"/>
        </w:rPr>
        <w:t>6</w:t>
      </w:r>
      <w:r>
        <w:rPr>
          <w:rFonts w:hint="eastAsia" w:ascii="宋体" w:hAnsi="宋体" w:cs="Arial"/>
        </w:rPr>
        <w:t>日中国证券监督管理委员会《关于准予博时恒生港股通</w:t>
      </w:r>
      <w:r>
        <w:rPr>
          <w:rFonts w:hint="eastAsia" w:ascii="宋体" w:hAnsi="宋体" w:cs="Arial"/>
          <w:lang w:val="en-US" w:eastAsia="zh-CN"/>
        </w:rPr>
        <w:t>高股息</w:t>
      </w:r>
      <w:r>
        <w:rPr>
          <w:rFonts w:hint="eastAsia" w:ascii="宋体" w:hAnsi="宋体" w:cs="Arial"/>
        </w:rPr>
        <w:t>低波动交易型开放式指数证券投资基金注册的批复》（证监许可[20</w:t>
      </w:r>
      <w:r>
        <w:rPr>
          <w:rFonts w:hint="eastAsia" w:ascii="宋体" w:hAnsi="宋体" w:cs="Arial"/>
          <w:lang w:val="en-US" w:eastAsia="zh-CN"/>
        </w:rPr>
        <w:t>26</w:t>
      </w:r>
      <w:r>
        <w:rPr>
          <w:rFonts w:hint="eastAsia" w:ascii="宋体" w:hAnsi="宋体" w:cs="Arial"/>
        </w:rPr>
        <w:t>]</w:t>
      </w:r>
      <w:r>
        <w:rPr>
          <w:rFonts w:hint="eastAsia" w:ascii="宋体" w:hAnsi="宋体" w:cs="Arial"/>
          <w:lang w:val="en-US" w:eastAsia="zh-CN"/>
        </w:rPr>
        <w:t>1664</w:t>
      </w:r>
      <w:r>
        <w:rPr>
          <w:rFonts w:hint="eastAsia" w:ascii="宋体" w:hAnsi="宋体" w:cs="Arial"/>
        </w:rPr>
        <w:t>号）准予注册，进行募集。</w:t>
      </w:r>
      <w:r>
        <w:rPr>
          <w:rFonts w:hint="eastAsia" w:ascii="宋体" w:hAnsi="宋体" w:eastAsia="宋体" w:cs="宋体"/>
          <w:bCs/>
          <w:szCs w:val="21"/>
          <w:highlight w:val="none"/>
          <w:lang w:eastAsia="zh-CN"/>
        </w:rPr>
        <w:t>20</w:t>
      </w:r>
      <w:r>
        <w:rPr>
          <w:rFonts w:hint="eastAsia" w:ascii="宋体" w:hAnsi="宋体" w:cs="宋体"/>
          <w:bCs/>
          <w:szCs w:val="21"/>
          <w:highlight w:val="none"/>
          <w:lang w:val="en-US" w:eastAsia="zh-CN"/>
        </w:rPr>
        <w:t>26</w:t>
      </w:r>
      <w:r>
        <w:rPr>
          <w:rFonts w:hint="eastAsia" w:ascii="宋体" w:hAnsi="宋体" w:eastAsia="宋体" w:cs="宋体"/>
          <w:bCs/>
          <w:szCs w:val="21"/>
          <w:highlight w:val="none"/>
          <w:lang w:eastAsia="zh-CN"/>
        </w:rPr>
        <w:t>年</w:t>
      </w:r>
      <w:r>
        <w:rPr>
          <w:rFonts w:hint="eastAsia" w:ascii="宋体" w:hAnsi="宋体" w:cs="宋体"/>
          <w:bCs/>
          <w:szCs w:val="21"/>
          <w:highlight w:val="none"/>
          <w:lang w:val="en-US" w:eastAsia="zh-CN"/>
        </w:rPr>
        <w:t>9</w:t>
      </w:r>
      <w:r>
        <w:rPr>
          <w:rFonts w:hint="eastAsia" w:ascii="宋体" w:hAnsi="宋体" w:eastAsia="宋体" w:cs="宋体"/>
          <w:bCs/>
          <w:szCs w:val="21"/>
          <w:highlight w:val="none"/>
          <w:lang w:eastAsia="zh-CN"/>
        </w:rPr>
        <w:t>月</w:t>
      </w:r>
      <w:r>
        <w:rPr>
          <w:rFonts w:hint="eastAsia" w:ascii="宋体" w:hAnsi="宋体" w:cs="宋体"/>
          <w:bCs/>
          <w:szCs w:val="21"/>
          <w:highlight w:val="none"/>
          <w:lang w:val="en-US" w:eastAsia="zh-CN"/>
        </w:rPr>
        <w:t>14</w:t>
      </w:r>
      <w:r>
        <w:rPr>
          <w:rFonts w:hint="eastAsia" w:ascii="宋体" w:hAnsi="宋体" w:eastAsia="宋体" w:cs="宋体"/>
          <w:bCs/>
          <w:szCs w:val="21"/>
          <w:highlight w:val="none"/>
          <w:lang w:eastAsia="zh-CN"/>
        </w:rPr>
        <w:t>日</w:t>
      </w:r>
      <w:r>
        <w:rPr>
          <w:rFonts w:hint="eastAsia" w:ascii="宋体" w:hAnsi="宋体" w:cs="宋体"/>
          <w:bCs/>
          <w:szCs w:val="21"/>
          <w:highlight w:val="none"/>
          <w:lang w:val="en-US" w:eastAsia="zh-CN"/>
        </w:rPr>
        <w:t>恒生指数有限公司</w:t>
      </w:r>
      <w:r>
        <w:rPr>
          <w:rFonts w:hint="eastAsia" w:ascii="宋体" w:hAnsi="宋体" w:eastAsia="宋体" w:cs="宋体"/>
          <w:bCs/>
          <w:szCs w:val="21"/>
          <w:highlight w:val="none"/>
          <w:lang w:eastAsia="zh-CN"/>
        </w:rPr>
        <w:t>将</w:t>
      </w:r>
      <w:r>
        <w:rPr>
          <w:rFonts w:hint="eastAsia" w:ascii="宋体" w:hAnsi="宋体" w:cs="Arial"/>
        </w:rPr>
        <w:t>恒生港股通</w:t>
      </w:r>
      <w:r>
        <w:rPr>
          <w:rFonts w:hint="eastAsia" w:ascii="宋体" w:hAnsi="宋体" w:cs="Arial"/>
          <w:lang w:val="en-US" w:eastAsia="zh-CN"/>
        </w:rPr>
        <w:t>高股息</w:t>
      </w:r>
      <w:r>
        <w:rPr>
          <w:rFonts w:hint="eastAsia" w:ascii="宋体" w:hAnsi="宋体" w:cs="Arial"/>
        </w:rPr>
        <w:t>低波动</w:t>
      </w:r>
      <w:r>
        <w:rPr>
          <w:rFonts w:hint="eastAsia" w:ascii="宋体" w:hAnsi="宋体" w:cs="Arial"/>
          <w:lang w:val="en-US" w:eastAsia="zh-CN"/>
        </w:rPr>
        <w:t>指数</w:t>
      </w:r>
      <w:r>
        <w:rPr>
          <w:rFonts w:hint="eastAsia" w:ascii="宋体" w:hAnsi="宋体" w:eastAsia="宋体" w:cs="宋体"/>
          <w:bCs/>
          <w:szCs w:val="21"/>
          <w:highlight w:val="none"/>
          <w:lang w:eastAsia="zh-CN"/>
        </w:rPr>
        <w:t>更名为</w:t>
      </w:r>
      <w:r>
        <w:rPr>
          <w:rFonts w:hint="eastAsia" w:ascii="宋体" w:hAnsi="宋体" w:cs="Arial"/>
        </w:rPr>
        <w:t>恒生港股通</w:t>
      </w:r>
      <w:r>
        <w:rPr>
          <w:rFonts w:hint="eastAsia" w:ascii="宋体" w:hAnsi="宋体" w:cs="Arial"/>
          <w:lang w:val="en-US" w:eastAsia="zh-CN"/>
        </w:rPr>
        <w:t>红利</w:t>
      </w:r>
      <w:r>
        <w:rPr>
          <w:rFonts w:hint="eastAsia" w:ascii="宋体" w:hAnsi="宋体" w:cs="Arial"/>
        </w:rPr>
        <w:t>低波动</w:t>
      </w:r>
      <w:r>
        <w:rPr>
          <w:rFonts w:hint="eastAsia" w:ascii="宋体" w:hAnsi="宋体" w:cs="Arial"/>
          <w:lang w:val="en-US" w:eastAsia="zh-CN"/>
        </w:rPr>
        <w:t>指数</w:t>
      </w:r>
      <w:r>
        <w:rPr>
          <w:rFonts w:hint="eastAsia" w:ascii="宋体" w:hAnsi="宋体" w:eastAsia="宋体" w:cs="宋体"/>
          <w:bCs/>
          <w:szCs w:val="21"/>
          <w:highlight w:val="none"/>
          <w:lang w:eastAsia="zh-CN"/>
        </w:rPr>
        <w:t>，经与基金托管人协商一致，</w:t>
      </w:r>
      <w:r>
        <w:rPr>
          <w:rFonts w:hint="eastAsia" w:ascii="宋体" w:hAnsi="宋体" w:cs="Arial"/>
        </w:rPr>
        <w:t>博时恒生港股通</w:t>
      </w:r>
      <w:r>
        <w:rPr>
          <w:rFonts w:hint="eastAsia" w:ascii="宋体" w:hAnsi="宋体" w:cs="Arial"/>
          <w:lang w:val="en-US" w:eastAsia="zh-CN"/>
        </w:rPr>
        <w:t>高股息</w:t>
      </w:r>
      <w:r>
        <w:rPr>
          <w:rFonts w:hint="eastAsia" w:ascii="宋体" w:hAnsi="宋体" w:cs="Arial"/>
        </w:rPr>
        <w:t>低波动交易型开放式指数证券投资基金</w:t>
      </w:r>
      <w:r>
        <w:rPr>
          <w:rFonts w:hint="eastAsia" w:ascii="宋体" w:hAnsi="宋体" w:eastAsia="宋体" w:cs="宋体"/>
          <w:bCs/>
          <w:szCs w:val="21"/>
          <w:highlight w:val="none"/>
          <w:lang w:eastAsia="zh-CN"/>
        </w:rPr>
        <w:t>更名为</w:t>
      </w:r>
      <w:r>
        <w:rPr>
          <w:rFonts w:hint="eastAsia" w:ascii="宋体" w:hAnsi="宋体" w:cs="Arial"/>
        </w:rPr>
        <w:t>博时恒生港股通</w:t>
      </w:r>
      <w:r>
        <w:rPr>
          <w:rFonts w:hint="eastAsia" w:ascii="宋体" w:hAnsi="宋体" w:cs="Arial"/>
          <w:lang w:val="en-US" w:eastAsia="zh-CN"/>
        </w:rPr>
        <w:t>红利</w:t>
      </w:r>
      <w:r>
        <w:rPr>
          <w:rFonts w:hint="eastAsia" w:ascii="宋体" w:hAnsi="宋体" w:cs="Arial"/>
        </w:rPr>
        <w:t>低波动交易型开放式指数证券投资基金</w:t>
      </w:r>
      <w:r>
        <w:rPr>
          <w:rFonts w:hint="eastAsia" w:ascii="宋体" w:hAnsi="宋体" w:eastAsia="宋体" w:cs="宋体"/>
          <w:bCs/>
          <w:szCs w:val="21"/>
          <w:highlight w:val="none"/>
          <w:lang w:eastAsia="zh-CN"/>
        </w:rPr>
        <w:t>(以下简称“本基金”)。</w:t>
      </w:r>
    </w:p>
    <w:p w14:paraId="47AEFBB3">
      <w:pPr>
        <w:spacing w:line="360" w:lineRule="auto"/>
        <w:ind w:firstLine="420" w:firstLineChars="200"/>
        <w:rPr>
          <w:rFonts w:ascii="宋体" w:hAnsi="宋体" w:cs="Arial"/>
        </w:rPr>
      </w:pPr>
      <w:r>
        <w:rPr>
          <w:rFonts w:hint="eastAsia" w:ascii="宋体" w:hAnsi="宋体" w:cs="Arial"/>
          <w:lang w:val="en-US" w:eastAsia="zh-CN"/>
        </w:rPr>
        <w:t>1</w:t>
      </w:r>
      <w:r>
        <w:rPr>
          <w:rFonts w:hint="eastAsia" w:ascii="宋体" w:hAnsi="宋体" w:cs="Arial"/>
        </w:rPr>
        <w:t xml:space="preserve">、本基金管理人保证招募说明书的内容真实、准确、完整。本招募说明书经中国证监会注册，但中国证监会对本基金募集的注册，并不表明其对本基金的投资价值、市场前景和收益作出实质性判断或保证，也不表明投资于本基金没有风险。 </w:t>
      </w:r>
    </w:p>
    <w:p w14:paraId="53610FD9">
      <w:pPr>
        <w:spacing w:line="360" w:lineRule="auto"/>
        <w:ind w:firstLine="420" w:firstLineChars="200"/>
        <w:rPr>
          <w:rFonts w:ascii="宋体" w:hAnsi="宋体" w:cs="Arial"/>
        </w:rPr>
      </w:pPr>
      <w:r>
        <w:rPr>
          <w:rFonts w:hint="eastAsia" w:ascii="宋体" w:hAnsi="宋体" w:cs="Arial"/>
          <w:lang w:val="en-US" w:eastAsia="zh-CN"/>
        </w:rPr>
        <w:t>2</w:t>
      </w:r>
      <w:r>
        <w:rPr>
          <w:rFonts w:hint="eastAsia" w:ascii="宋体" w:hAnsi="宋体" w:cs="Arial"/>
        </w:rPr>
        <w:t>、本基金的标的指数为</w:t>
      </w:r>
      <w:r>
        <w:rPr>
          <w:rFonts w:hint="eastAsia" w:ascii="宋体" w:hAnsi="宋体" w:cs="Arial"/>
          <w:lang w:eastAsia="zh-CN"/>
        </w:rPr>
        <w:t>恒生港股通红利低波动指数</w:t>
      </w:r>
      <w:r>
        <w:rPr>
          <w:rFonts w:hint="eastAsia" w:ascii="宋体" w:hAnsi="宋体" w:cs="Arial"/>
        </w:rPr>
        <w:t xml:space="preserve">，编制方案如下： </w:t>
      </w:r>
    </w:p>
    <w:p w14:paraId="50997DC6">
      <w:pPr>
        <w:spacing w:line="360" w:lineRule="auto"/>
        <w:ind w:firstLine="420" w:firstLineChars="200"/>
        <w:rPr>
          <w:rFonts w:ascii="宋体" w:hAnsi="宋体" w:cs="Arial"/>
        </w:rPr>
      </w:pPr>
      <w:r>
        <w:rPr>
          <w:rFonts w:hint="eastAsia" w:ascii="宋体" w:hAnsi="宋体" w:cs="Arial"/>
        </w:rPr>
        <w:t xml:space="preserve">（1）选样空间 </w:t>
      </w:r>
    </w:p>
    <w:p w14:paraId="5255BEC9">
      <w:pPr>
        <w:spacing w:line="360" w:lineRule="auto"/>
        <w:ind w:firstLine="420" w:firstLineChars="200"/>
        <w:rPr>
          <w:rFonts w:ascii="宋体" w:hAnsi="宋体" w:cs="Arial"/>
        </w:rPr>
      </w:pPr>
      <w:r>
        <w:rPr>
          <w:rFonts w:hint="eastAsia" w:ascii="宋体" w:hAnsi="宋体" w:cs="Arial"/>
        </w:rPr>
        <w:t xml:space="preserve">合资格在互联互通下交易的恒生综合指数成份股 </w:t>
      </w:r>
    </w:p>
    <w:p w14:paraId="6631B0AC">
      <w:pPr>
        <w:spacing w:line="360" w:lineRule="auto"/>
        <w:ind w:firstLine="420" w:firstLineChars="200"/>
        <w:rPr>
          <w:rFonts w:ascii="宋体" w:hAnsi="宋体" w:cs="Arial"/>
        </w:rPr>
      </w:pPr>
      <w:r>
        <w:rPr>
          <w:rFonts w:hint="eastAsia" w:ascii="宋体" w:hAnsi="宋体" w:cs="Arial"/>
        </w:rPr>
        <w:t xml:space="preserve">（2）样本选取方法 </w:t>
      </w:r>
    </w:p>
    <w:p w14:paraId="780E1042">
      <w:pPr>
        <w:spacing w:line="360" w:lineRule="auto"/>
        <w:ind w:firstLine="420" w:firstLineChars="200"/>
        <w:rPr>
          <w:rFonts w:ascii="宋体" w:hAnsi="宋体" w:cs="Arial"/>
        </w:rPr>
      </w:pPr>
      <w:r>
        <w:rPr>
          <w:rFonts w:hint="eastAsia" w:ascii="宋体" w:hAnsi="宋体" w:cs="Arial"/>
        </w:rPr>
        <w:t>1）上市历史要求：至少一年</w:t>
      </w:r>
    </w:p>
    <w:p w14:paraId="011E0A74">
      <w:pPr>
        <w:spacing w:line="360" w:lineRule="auto"/>
        <w:ind w:firstLine="420" w:firstLineChars="200"/>
        <w:rPr>
          <w:rFonts w:ascii="宋体" w:hAnsi="宋体" w:cs="Arial"/>
        </w:rPr>
      </w:pPr>
      <w:r>
        <w:rPr>
          <w:rFonts w:hint="eastAsia" w:ascii="宋体" w:hAnsi="宋体" w:cs="Arial"/>
        </w:rPr>
        <w:t>2）流动性要求：投资类指数的换手率测试；及6个月日均成交额至少2千万港币</w:t>
      </w:r>
    </w:p>
    <w:p w14:paraId="7E41172B">
      <w:pPr>
        <w:spacing w:line="360" w:lineRule="auto"/>
        <w:ind w:firstLine="420" w:firstLineChars="200"/>
        <w:rPr>
          <w:rFonts w:ascii="宋体" w:hAnsi="宋体" w:cs="Arial"/>
        </w:rPr>
      </w:pPr>
      <w:r>
        <w:rPr>
          <w:rFonts w:hint="eastAsia" w:ascii="宋体" w:hAnsi="宋体" w:cs="Arial"/>
        </w:rPr>
        <w:t>3）派息要求：连续三个最近财政年度皆有现金派息记录；及最近的完整财政年度派息比率必须为正数并不多于100%</w:t>
      </w:r>
    </w:p>
    <w:p w14:paraId="57CCEE41">
      <w:pPr>
        <w:spacing w:line="360" w:lineRule="auto"/>
        <w:ind w:firstLine="420" w:firstLineChars="200"/>
        <w:rPr>
          <w:rFonts w:ascii="宋体" w:hAnsi="宋体" w:cs="Arial"/>
        </w:rPr>
      </w:pPr>
      <w:r>
        <w:rPr>
          <w:rFonts w:hint="eastAsia" w:ascii="宋体" w:hAnsi="宋体" w:cs="Arial"/>
        </w:rPr>
        <w:t>4）股价表现筛选：符合以下两个条件的证券将从指数候选名单中剔除：过去12个月股价下跌超过50%；及过去12个月股价表现在合资格候选股票中排名最差的10%</w:t>
      </w:r>
    </w:p>
    <w:p w14:paraId="5F474C11">
      <w:pPr>
        <w:spacing w:line="360" w:lineRule="auto"/>
        <w:ind w:firstLine="420" w:firstLineChars="200"/>
        <w:rPr>
          <w:rFonts w:ascii="宋体" w:hAnsi="宋体" w:cs="Arial"/>
        </w:rPr>
      </w:pPr>
      <w:r>
        <w:rPr>
          <w:rFonts w:hint="eastAsia" w:ascii="宋体" w:hAnsi="宋体" w:cs="Arial"/>
        </w:rPr>
        <w:t>（3）成份股挑选细则</w:t>
      </w:r>
    </w:p>
    <w:p w14:paraId="0D3DE4BE">
      <w:pPr>
        <w:spacing w:line="360" w:lineRule="auto"/>
        <w:ind w:firstLine="420" w:firstLineChars="200"/>
        <w:rPr>
          <w:rFonts w:ascii="宋体" w:hAnsi="宋体" w:cs="Arial"/>
        </w:rPr>
      </w:pPr>
      <w:r>
        <w:rPr>
          <w:rFonts w:hint="eastAsia" w:ascii="宋体" w:hAnsi="宋体" w:cs="Arial"/>
        </w:rPr>
        <w:t>净股息率排名最高的75只合资格证券（「首75高息名单」）会被甄别入围； 淨股息率=除稅後之每股派息/股息數據截止日之收市價格</w:t>
      </w:r>
    </w:p>
    <w:p w14:paraId="034522B3">
      <w:pPr>
        <w:spacing w:line="360" w:lineRule="auto"/>
        <w:ind w:firstLine="420" w:firstLineChars="200"/>
        <w:rPr>
          <w:rFonts w:ascii="宋体" w:hAnsi="宋体" w:cs="Arial"/>
        </w:rPr>
      </w:pPr>
      <w:r>
        <w:rPr>
          <w:rFonts w:hint="eastAsia" w:ascii="宋体" w:hAnsi="宋体" w:cs="Arial"/>
        </w:rPr>
        <w:t>每股股息是参照检讨截止日前十二个月以除息日计算收到的现金股息，如股票每半年（或每季）派发股息，即最近2期（或4期）的总股息；</w:t>
      </w:r>
    </w:p>
    <w:p w14:paraId="4806FAAC">
      <w:pPr>
        <w:spacing w:line="360" w:lineRule="auto"/>
        <w:ind w:firstLine="420" w:firstLineChars="200"/>
        <w:rPr>
          <w:rFonts w:ascii="宋体" w:hAnsi="宋体" w:cs="Arial"/>
        </w:rPr>
      </w:pPr>
      <w:r>
        <w:rPr>
          <w:rFonts w:hint="eastAsia" w:ascii="宋体" w:hAnsi="宋体" w:cs="Arial"/>
        </w:rPr>
        <w:t>股息数据截止日前12个月内曾更改财政年度年结日之证券，倘为非现有成份股，将会在成份股筛选过程中被排除；倘为现有成份股，则以最近一个完整财政年度之股息作评审；</w:t>
      </w:r>
    </w:p>
    <w:p w14:paraId="4329C080">
      <w:pPr>
        <w:spacing w:line="360" w:lineRule="auto"/>
        <w:ind w:firstLine="420" w:firstLineChars="200"/>
        <w:rPr>
          <w:rFonts w:ascii="宋体" w:hAnsi="宋体" w:cs="Arial"/>
        </w:rPr>
      </w:pPr>
      <w:r>
        <w:rPr>
          <w:rFonts w:hint="eastAsia" w:ascii="宋体" w:hAnsi="宋体" w:cs="Arial"/>
        </w:rPr>
        <w:t>如证券的净股息率高于7%，其净股息率将会被再度检视并重新计算，任何一次性现金之派息将被剔除入选的75只证券会按其年化波幅（即过去12个月至指数检讨截止日期间的每日对数回报之标准偏差）作升序排列；排名最高的50只证券会被选为成份股。</w:t>
      </w:r>
    </w:p>
    <w:p w14:paraId="33458F08">
      <w:pPr>
        <w:spacing w:line="360" w:lineRule="auto"/>
        <w:ind w:firstLine="420" w:firstLineChars="200"/>
        <w:rPr>
          <w:rFonts w:ascii="宋体" w:hAnsi="宋体" w:cs="Arial"/>
        </w:rPr>
      </w:pPr>
      <w:r>
        <w:rPr>
          <w:rFonts w:hint="eastAsia" w:ascii="宋体" w:hAnsi="宋体" w:cs="Arial"/>
        </w:rPr>
        <w:t xml:space="preserve">有关标的指数具体编制方案及成份股信息详见恒生指数有限公司网站，网址：https://www.hsi.com.hk/。 </w:t>
      </w:r>
    </w:p>
    <w:p w14:paraId="21445E8B">
      <w:pPr>
        <w:spacing w:line="360" w:lineRule="auto"/>
        <w:ind w:firstLine="420" w:firstLineChars="200"/>
        <w:rPr>
          <w:rFonts w:ascii="宋体" w:hAnsi="宋体" w:cs="Arial"/>
        </w:rPr>
      </w:pPr>
      <w:r>
        <w:rPr>
          <w:rFonts w:hint="eastAsia" w:ascii="宋体" w:hAnsi="宋体" w:cs="Arial"/>
          <w:lang w:val="en-US" w:eastAsia="zh-CN"/>
        </w:rPr>
        <w:t>3</w:t>
      </w:r>
      <w:r>
        <w:rPr>
          <w:rFonts w:hint="eastAsia" w:ascii="宋体" w:hAnsi="宋体" w:cs="Arial"/>
        </w:rPr>
        <w:t>、证券投资基金是一种长期投资工具，其主要功能是分散投资，降低投资单一证券所带来的个别风险。证券投资基金不同于银行储蓄和债券等能够提供固定收益预期的金融工具，投资人购买基金，既可能按其持有份额分享基金投资所产生的收益，也可能承担基金投资所带来的损失。本基金属于股票型基金，其预期收益及预期风险水平高于混合型基金、债券型基金与货币市场基金。本基金为被动式投资的股票型指数基金，跟踪</w:t>
      </w:r>
      <w:r>
        <w:rPr>
          <w:rFonts w:hint="eastAsia" w:ascii="宋体" w:hAnsi="宋体" w:cs="Arial"/>
          <w:lang w:eastAsia="zh-CN"/>
        </w:rPr>
        <w:t>恒生港股通红利低波动指数</w:t>
      </w:r>
      <w:r>
        <w:rPr>
          <w:rFonts w:hint="eastAsia" w:ascii="宋体" w:hAnsi="宋体" w:cs="Arial"/>
        </w:rPr>
        <w:t xml:space="preserve">，其风险收益特征与标的指数所表征的市场组合的风险收益特征相似。 </w:t>
      </w:r>
    </w:p>
    <w:p w14:paraId="487E20BA">
      <w:pPr>
        <w:spacing w:line="360" w:lineRule="auto"/>
        <w:ind w:firstLine="420" w:firstLineChars="200"/>
        <w:rPr>
          <w:rFonts w:ascii="宋体" w:hAnsi="宋体" w:cs="Arial"/>
        </w:rPr>
      </w:pPr>
      <w:r>
        <w:rPr>
          <w:rFonts w:hint="eastAsia" w:ascii="宋体" w:hAnsi="宋体" w:cs="Arial"/>
        </w:rPr>
        <w:t xml:space="preserve">本基金按照基金份额初始面值1.00元发售，在市场波动等因素的影响下，基金份额净值可能低于基金份额初始面值。 </w:t>
      </w:r>
    </w:p>
    <w:p w14:paraId="26112286">
      <w:pPr>
        <w:spacing w:line="360" w:lineRule="auto"/>
        <w:ind w:firstLine="420" w:firstLineChars="200"/>
        <w:rPr>
          <w:rFonts w:ascii="宋体" w:hAnsi="宋体" w:cs="Arial"/>
        </w:rPr>
      </w:pPr>
      <w:r>
        <w:rPr>
          <w:rFonts w:hint="eastAsia" w:ascii="宋体" w:hAnsi="宋体" w:cs="Arial"/>
          <w:lang w:val="en-US" w:eastAsia="zh-CN"/>
        </w:rPr>
        <w:t>4</w:t>
      </w:r>
      <w:r>
        <w:rPr>
          <w:rFonts w:hint="eastAsia" w:ascii="宋体" w:hAnsi="宋体" w:cs="Arial"/>
        </w:rPr>
        <w:t xml:space="preserve">、因折算、分红等行为导致基金份额净值变化，不会改变基金的风险收益特征，不会降低基金投资风险或提高基金投资收益。本基金以1元初始面值开展基金募集或因折算、分红等行为导致基金份额净值调整至1元初始面值或1元附近，在市场波动等因素的影响下，基金投资仍有可能出现亏损或基金净值仍有可能低于初始面值。 </w:t>
      </w:r>
    </w:p>
    <w:p w14:paraId="71798A9A">
      <w:pPr>
        <w:spacing w:line="360" w:lineRule="auto"/>
        <w:ind w:firstLine="420" w:firstLineChars="200"/>
        <w:rPr>
          <w:rFonts w:ascii="宋体" w:hAnsi="宋体" w:cs="Arial"/>
        </w:rPr>
      </w:pPr>
      <w:r>
        <w:rPr>
          <w:rFonts w:hint="eastAsia" w:ascii="宋体" w:hAnsi="宋体" w:cs="Arial"/>
          <w:lang w:val="en-US" w:eastAsia="zh-CN"/>
        </w:rPr>
        <w:t>5</w:t>
      </w:r>
      <w:r>
        <w:rPr>
          <w:rFonts w:hint="eastAsia" w:ascii="宋体" w:hAnsi="宋体" w:cs="Arial"/>
        </w:rPr>
        <w:t xml:space="preserve">、本基金投资于证券市场，基金净值会因为证券市场波动等因素产生波动，投资人在投资本基金前，需充分了解本基金的产品特性，充分考虑自身的风险承受能力，理性判断市场，对投资本基金的意愿、时机、数量等投资行为作出独立决策，并承担基金投资中出现的各类风险，包括市场风险、管理风险、技术风险、本基金特有风险及不可抗力等，详见下文“风险揭示”章节。 </w:t>
      </w:r>
    </w:p>
    <w:p w14:paraId="187C7700">
      <w:pPr>
        <w:spacing w:line="360" w:lineRule="auto"/>
        <w:ind w:firstLine="420" w:firstLineChars="200"/>
        <w:rPr>
          <w:rFonts w:ascii="宋体" w:hAnsi="宋体" w:cs="Arial"/>
        </w:rPr>
      </w:pPr>
      <w:r>
        <w:rPr>
          <w:rFonts w:hint="eastAsia" w:ascii="宋体" w:hAnsi="宋体" w:cs="Arial"/>
          <w:lang w:val="en-US" w:eastAsia="zh-CN"/>
        </w:rPr>
        <w:t>6</w:t>
      </w:r>
      <w:r>
        <w:rPr>
          <w:rFonts w:hint="eastAsia" w:ascii="宋体" w:hAnsi="宋体" w:cs="Arial"/>
        </w:rPr>
        <w:t xml:space="preserve">、本基金资产投资于港股通标的股票，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 </w:t>
      </w:r>
    </w:p>
    <w:p w14:paraId="7460554C">
      <w:pPr>
        <w:spacing w:line="360" w:lineRule="auto"/>
        <w:ind w:firstLine="420" w:firstLineChars="200"/>
        <w:rPr>
          <w:rFonts w:ascii="宋体" w:hAnsi="宋体" w:cs="Arial"/>
        </w:rPr>
      </w:pPr>
      <w:r>
        <w:rPr>
          <w:rFonts w:hint="eastAsia" w:ascii="宋体" w:hAnsi="宋体" w:cs="Arial"/>
          <w:lang w:val="en-US" w:eastAsia="zh-CN"/>
        </w:rPr>
        <w:t>7</w:t>
      </w:r>
      <w:r>
        <w:rPr>
          <w:rFonts w:hint="eastAsia" w:ascii="宋体" w:hAnsi="宋体" w:cs="Arial"/>
        </w:rPr>
        <w:t xml:space="preserve">、本基金基金资产若投资于股票期权，可能会面临价格波动风险、市场流动性风险、强制平仓风险、合约到期风险、行权失败风险、交易违约风险等。此外，行权失败和交收违约也是股票期权交易可能出现的风险，失去交易机会可能会对本基金的投资收益造成损失。 </w:t>
      </w:r>
    </w:p>
    <w:p w14:paraId="250098B9">
      <w:pPr>
        <w:spacing w:line="360" w:lineRule="auto"/>
        <w:ind w:firstLine="420" w:firstLineChars="200"/>
        <w:rPr>
          <w:rFonts w:ascii="宋体" w:hAnsi="宋体" w:cs="Arial"/>
        </w:rPr>
      </w:pPr>
      <w:r>
        <w:rPr>
          <w:rFonts w:hint="eastAsia" w:ascii="宋体" w:hAnsi="宋体" w:cs="Arial"/>
          <w:lang w:val="en-US" w:eastAsia="zh-CN"/>
        </w:rPr>
        <w:t>8</w:t>
      </w:r>
      <w:r>
        <w:rPr>
          <w:rFonts w:hint="eastAsia" w:ascii="宋体" w:hAnsi="宋体" w:cs="Arial"/>
        </w:rPr>
        <w:t xml:space="preserve">、本基金的投资范围包括存托凭证，本基金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3C8C3518">
      <w:pPr>
        <w:spacing w:line="360" w:lineRule="auto"/>
        <w:ind w:firstLine="420" w:firstLineChars="200"/>
        <w:rPr>
          <w:rFonts w:ascii="宋体" w:hAnsi="宋体" w:cs="Arial"/>
        </w:rPr>
      </w:pPr>
      <w:r>
        <w:rPr>
          <w:rFonts w:hint="eastAsia" w:ascii="宋体" w:hAnsi="宋体" w:cs="Arial"/>
          <w:lang w:val="en-US" w:eastAsia="zh-CN"/>
        </w:rPr>
        <w:t>9</w:t>
      </w:r>
      <w:r>
        <w:rPr>
          <w:rFonts w:hint="eastAsia" w:ascii="宋体" w:hAnsi="宋体" w:cs="Arial"/>
        </w:rPr>
        <w:t>、本基金为指数基金，投资者投资于本基金面临跟踪误差控制未达约定目标、指数编制机构停止服务、成份股停牌或退市等潜在风险，详见下文“风险揭示”章节。</w:t>
      </w:r>
    </w:p>
    <w:p w14:paraId="4423BDB1">
      <w:pPr>
        <w:spacing w:line="360" w:lineRule="auto"/>
        <w:ind w:firstLine="420" w:firstLineChars="200"/>
        <w:rPr>
          <w:rFonts w:ascii="宋体" w:hAnsi="宋体" w:cs="Arial"/>
        </w:rPr>
      </w:pPr>
      <w:r>
        <w:rPr>
          <w:rFonts w:hint="eastAsia" w:ascii="宋体" w:hAnsi="宋体" w:cs="Arial"/>
        </w:rPr>
        <w:t xml:space="preserve">投资有风险，投资者认购（或申购）基金时应仔细阅读本基金的招募说明书、基金合同及基金产品资料概要等文件，了解本基金的风险收益特征，并根据自身的投资目的、投资期限、投资经验、资产状况等判断基金是否和投资人的风险承受能力相适应。 </w:t>
      </w:r>
    </w:p>
    <w:p w14:paraId="5F7DA4B3">
      <w:pPr>
        <w:spacing w:line="360" w:lineRule="auto"/>
        <w:ind w:firstLine="420" w:firstLineChars="200"/>
        <w:rPr>
          <w:rFonts w:ascii="宋体" w:hAnsi="宋体" w:cs="Arial"/>
        </w:rPr>
      </w:pPr>
      <w:r>
        <w:rPr>
          <w:rFonts w:hint="eastAsia" w:ascii="宋体" w:hAnsi="宋体" w:cs="Arial"/>
        </w:rPr>
        <w:t xml:space="preserve">基金管理人承诺以恪尽职守、诚实信用、谨慎勤勉的原则管理和运用基金资产，但不保证本基金一定盈利，也不保证最低收益。当投资人赎回时，所得会高于或低于投资人先前所支付的金额。本基金的过往业绩及其净值高低并不预示其未来业绩表现。基金管理人所管理的其他基金的业绩并不构成对本基金业绩表现的保证。基金管理人提醒投资人基金投资的“买者自负”原则，在做出投资决策后，基金运营状况与基金净值变化引致的投资风险，由投资人自行负担。 </w:t>
      </w:r>
    </w:p>
    <w:p w14:paraId="770B426F">
      <w:pPr>
        <w:spacing w:line="360" w:lineRule="auto"/>
        <w:ind w:firstLine="420" w:firstLineChars="200"/>
        <w:rPr>
          <w:rFonts w:ascii="宋体" w:hAnsi="宋体" w:cs="Arial"/>
        </w:rPr>
      </w:pPr>
      <w:r>
        <w:rPr>
          <w:rFonts w:hint="eastAsia" w:ascii="宋体" w:hAnsi="宋体" w:cs="Arial"/>
        </w:rPr>
        <w:t>投资人应当通过基金管理人或具有基金销售业务资格的其他机构购买和赎回基金，基金销售机构名单详见本基金《招募说明书》以及相关公告。</w:t>
      </w:r>
    </w:p>
    <w:p w14:paraId="575CB901">
      <w:pPr>
        <w:spacing w:line="360" w:lineRule="auto"/>
        <w:ind w:firstLine="420" w:firstLineChars="200"/>
        <w:rPr>
          <w:rFonts w:ascii="宋体" w:hAnsi="宋体" w:cs="Arial"/>
        </w:rPr>
      </w:pPr>
    </w:p>
    <w:p w14:paraId="5FF884E4">
      <w:pPr>
        <w:spacing w:line="360" w:lineRule="auto"/>
        <w:jc w:val="center"/>
        <w:rPr>
          <w:rFonts w:ascii="宋体" w:hAnsi="宋体"/>
          <w:szCs w:val="21"/>
        </w:rPr>
      </w:pPr>
      <w:r>
        <w:rPr>
          <w:rFonts w:ascii="宋体" w:hAnsi="宋体" w:cs="Arial"/>
          <w:bCs/>
          <w:spacing w:val="120"/>
          <w:szCs w:val="21"/>
        </w:rPr>
        <w:br w:type="page"/>
      </w:r>
      <w:r>
        <w:rPr>
          <w:rFonts w:ascii="宋体" w:hAnsi="宋体" w:cs="Arial"/>
          <w:b/>
          <w:bCs/>
          <w:spacing w:val="120"/>
          <w:sz w:val="28"/>
          <w:szCs w:val="21"/>
        </w:rPr>
        <w:t>目录</w:t>
      </w:r>
    </w:p>
    <w:p w14:paraId="4929EDC9">
      <w:pPr>
        <w:pStyle w:val="28"/>
        <w:tabs>
          <w:tab w:val="right" w:leader="dot" w:pos="8306"/>
          <w:tab w:val="clear" w:pos="8295"/>
        </w:tabs>
      </w:pPr>
      <w:r>
        <w:rPr>
          <w:rFonts w:cs="Arial"/>
          <w:b/>
          <w:bCs/>
          <w:spacing w:val="120"/>
        </w:rPr>
        <w:fldChar w:fldCharType="begin"/>
      </w:r>
      <w:r>
        <w:rPr>
          <w:rFonts w:cs="Arial"/>
          <w:b/>
          <w:bCs/>
          <w:spacing w:val="120"/>
        </w:rPr>
        <w:instrText xml:space="preserve"> TOC \o "1-1" \h \z </w:instrText>
      </w:r>
      <w:r>
        <w:rPr>
          <w:rFonts w:cs="Arial"/>
          <w:b/>
          <w:bCs/>
          <w:spacing w:val="120"/>
        </w:rPr>
        <w:fldChar w:fldCharType="separate"/>
      </w:r>
      <w:r>
        <w:rPr>
          <w:rFonts w:cs="Arial"/>
          <w:bCs/>
          <w:spacing w:val="120"/>
        </w:rPr>
        <w:fldChar w:fldCharType="begin"/>
      </w:r>
      <w:r>
        <w:rPr>
          <w:rFonts w:cs="Arial"/>
          <w:bCs/>
          <w:spacing w:val="120"/>
        </w:rPr>
        <w:instrText xml:space="preserve"> HYPERLINK \l _Toc10449 </w:instrText>
      </w:r>
      <w:r>
        <w:rPr>
          <w:rFonts w:cs="Arial"/>
          <w:bCs/>
          <w:spacing w:val="120"/>
        </w:rPr>
        <w:fldChar w:fldCharType="separate"/>
      </w:r>
      <w:r>
        <w:rPr>
          <w:rFonts w:hAnsi="宋体" w:eastAsia="宋体" w:cs="Arial"/>
          <w:bCs/>
          <w:szCs w:val="28"/>
        </w:rPr>
        <w:t>第一部分  绪言</w:t>
      </w:r>
      <w:r>
        <w:tab/>
      </w:r>
      <w:r>
        <w:rPr>
          <w:rFonts w:hint="eastAsia"/>
          <w:lang w:val="en-US" w:eastAsia="zh-CN"/>
        </w:rPr>
        <w:t>1-</w:t>
      </w:r>
      <w:r>
        <w:fldChar w:fldCharType="begin"/>
      </w:r>
      <w:r>
        <w:instrText xml:space="preserve"> PAGEREF _Toc10449 \h </w:instrText>
      </w:r>
      <w:r>
        <w:fldChar w:fldCharType="separate"/>
      </w:r>
      <w:r>
        <w:t>1</w:t>
      </w:r>
      <w:r>
        <w:fldChar w:fldCharType="end"/>
      </w:r>
      <w:r>
        <w:rPr>
          <w:rFonts w:cs="Arial"/>
          <w:bCs/>
          <w:spacing w:val="120"/>
        </w:rPr>
        <w:fldChar w:fldCharType="end"/>
      </w:r>
    </w:p>
    <w:p w14:paraId="4EE10ABF">
      <w:pPr>
        <w:pStyle w:val="28"/>
        <w:tabs>
          <w:tab w:val="right" w:leader="dot" w:pos="8306"/>
          <w:tab w:val="clear" w:pos="8295"/>
        </w:tabs>
      </w:pPr>
      <w:r>
        <w:rPr>
          <w:rFonts w:cs="Arial"/>
          <w:bCs/>
          <w:spacing w:val="120"/>
        </w:rPr>
        <w:fldChar w:fldCharType="begin"/>
      </w:r>
      <w:r>
        <w:rPr>
          <w:rFonts w:cs="Arial"/>
          <w:bCs/>
          <w:spacing w:val="120"/>
        </w:rPr>
        <w:instrText xml:space="preserve"> HYPERLINK \l _Toc26474 </w:instrText>
      </w:r>
      <w:r>
        <w:rPr>
          <w:rFonts w:cs="Arial"/>
          <w:bCs/>
          <w:spacing w:val="120"/>
        </w:rPr>
        <w:fldChar w:fldCharType="separate"/>
      </w:r>
      <w:r>
        <w:rPr>
          <w:rFonts w:hAnsi="宋体" w:eastAsia="宋体" w:cs="Arial"/>
          <w:bCs/>
          <w:szCs w:val="28"/>
        </w:rPr>
        <w:t>第二部分  释义</w:t>
      </w:r>
      <w:r>
        <w:tab/>
      </w:r>
      <w:r>
        <w:rPr>
          <w:rFonts w:hint="eastAsia"/>
          <w:lang w:val="en-US" w:eastAsia="zh-CN"/>
        </w:rPr>
        <w:t>2-</w:t>
      </w:r>
      <w:r>
        <w:fldChar w:fldCharType="begin"/>
      </w:r>
      <w:r>
        <w:instrText xml:space="preserve"> PAGEREF _Toc26474 \h </w:instrText>
      </w:r>
      <w:r>
        <w:fldChar w:fldCharType="separate"/>
      </w:r>
      <w:r>
        <w:t>1</w:t>
      </w:r>
      <w:r>
        <w:fldChar w:fldCharType="end"/>
      </w:r>
      <w:r>
        <w:rPr>
          <w:rFonts w:cs="Arial"/>
          <w:bCs/>
          <w:spacing w:val="120"/>
        </w:rPr>
        <w:fldChar w:fldCharType="end"/>
      </w:r>
    </w:p>
    <w:p w14:paraId="51344A04">
      <w:pPr>
        <w:pStyle w:val="28"/>
        <w:tabs>
          <w:tab w:val="right" w:leader="dot" w:pos="8306"/>
          <w:tab w:val="clear" w:pos="8295"/>
        </w:tabs>
      </w:pPr>
      <w:r>
        <w:rPr>
          <w:rFonts w:cs="Arial"/>
          <w:bCs/>
          <w:spacing w:val="120"/>
        </w:rPr>
        <w:fldChar w:fldCharType="begin"/>
      </w:r>
      <w:r>
        <w:rPr>
          <w:rFonts w:cs="Arial"/>
          <w:bCs/>
          <w:spacing w:val="120"/>
        </w:rPr>
        <w:instrText xml:space="preserve"> HYPERLINK \l _Toc13041 </w:instrText>
      </w:r>
      <w:r>
        <w:rPr>
          <w:rFonts w:cs="Arial"/>
          <w:bCs/>
          <w:spacing w:val="120"/>
        </w:rPr>
        <w:fldChar w:fldCharType="separate"/>
      </w:r>
      <w:r>
        <w:rPr>
          <w:rFonts w:hAnsi="宋体" w:eastAsia="宋体" w:cs="Arial"/>
          <w:bCs/>
          <w:szCs w:val="28"/>
        </w:rPr>
        <w:t>第三部分  基金管理人</w:t>
      </w:r>
      <w:r>
        <w:tab/>
      </w:r>
      <w:r>
        <w:rPr>
          <w:rFonts w:hint="eastAsia"/>
          <w:lang w:val="en-US" w:eastAsia="zh-CN"/>
        </w:rPr>
        <w:t>3-</w:t>
      </w:r>
      <w:r>
        <w:fldChar w:fldCharType="begin"/>
      </w:r>
      <w:r>
        <w:instrText xml:space="preserve"> PAGEREF _Toc13041 \h </w:instrText>
      </w:r>
      <w:r>
        <w:fldChar w:fldCharType="separate"/>
      </w:r>
      <w:r>
        <w:t>1</w:t>
      </w:r>
      <w:r>
        <w:fldChar w:fldCharType="end"/>
      </w:r>
      <w:r>
        <w:rPr>
          <w:rFonts w:cs="Arial"/>
          <w:bCs/>
          <w:spacing w:val="120"/>
        </w:rPr>
        <w:fldChar w:fldCharType="end"/>
      </w:r>
    </w:p>
    <w:p w14:paraId="17AA0068">
      <w:pPr>
        <w:pStyle w:val="28"/>
        <w:tabs>
          <w:tab w:val="right" w:leader="dot" w:pos="8306"/>
          <w:tab w:val="clear" w:pos="8295"/>
        </w:tabs>
      </w:pPr>
      <w:r>
        <w:rPr>
          <w:rFonts w:cs="Arial"/>
          <w:bCs/>
          <w:spacing w:val="120"/>
        </w:rPr>
        <w:fldChar w:fldCharType="begin"/>
      </w:r>
      <w:r>
        <w:rPr>
          <w:rFonts w:cs="Arial"/>
          <w:bCs/>
          <w:spacing w:val="120"/>
        </w:rPr>
        <w:instrText xml:space="preserve"> HYPERLINK \l _Toc26009 </w:instrText>
      </w:r>
      <w:r>
        <w:rPr>
          <w:rFonts w:cs="Arial"/>
          <w:bCs/>
          <w:spacing w:val="120"/>
        </w:rPr>
        <w:fldChar w:fldCharType="separate"/>
      </w:r>
      <w:r>
        <w:rPr>
          <w:rFonts w:hAnsi="宋体" w:eastAsia="宋体" w:cs="Arial"/>
          <w:bCs/>
          <w:szCs w:val="28"/>
        </w:rPr>
        <w:t>第四部分  基金托管人</w:t>
      </w:r>
      <w:r>
        <w:tab/>
      </w:r>
      <w:r>
        <w:rPr>
          <w:rFonts w:hint="eastAsia"/>
          <w:lang w:val="en-US" w:eastAsia="zh-CN"/>
        </w:rPr>
        <w:t>4-</w:t>
      </w:r>
      <w:r>
        <w:fldChar w:fldCharType="begin"/>
      </w:r>
      <w:r>
        <w:instrText xml:space="preserve"> PAGEREF _Toc26009 \h </w:instrText>
      </w:r>
      <w:r>
        <w:fldChar w:fldCharType="separate"/>
      </w:r>
      <w:r>
        <w:t>1</w:t>
      </w:r>
      <w:r>
        <w:fldChar w:fldCharType="end"/>
      </w:r>
      <w:r>
        <w:rPr>
          <w:rFonts w:cs="Arial"/>
          <w:bCs/>
          <w:spacing w:val="120"/>
        </w:rPr>
        <w:fldChar w:fldCharType="end"/>
      </w:r>
    </w:p>
    <w:p w14:paraId="580AD441">
      <w:pPr>
        <w:pStyle w:val="28"/>
        <w:tabs>
          <w:tab w:val="right" w:leader="dot" w:pos="8306"/>
          <w:tab w:val="clear" w:pos="8295"/>
        </w:tabs>
      </w:pPr>
      <w:r>
        <w:rPr>
          <w:rFonts w:cs="Arial"/>
          <w:bCs/>
          <w:spacing w:val="120"/>
        </w:rPr>
        <w:fldChar w:fldCharType="begin"/>
      </w:r>
      <w:r>
        <w:rPr>
          <w:rFonts w:cs="Arial"/>
          <w:bCs/>
          <w:spacing w:val="120"/>
        </w:rPr>
        <w:instrText xml:space="preserve"> HYPERLINK \l _Toc19547 </w:instrText>
      </w:r>
      <w:r>
        <w:rPr>
          <w:rFonts w:cs="Arial"/>
          <w:bCs/>
          <w:spacing w:val="120"/>
        </w:rPr>
        <w:fldChar w:fldCharType="separate"/>
      </w:r>
      <w:r>
        <w:rPr>
          <w:rFonts w:hAnsi="宋体" w:eastAsia="宋体" w:cs="Arial"/>
          <w:bCs/>
          <w:szCs w:val="28"/>
        </w:rPr>
        <w:t>第五部分  相关服务机构</w:t>
      </w:r>
      <w:r>
        <w:tab/>
      </w:r>
      <w:r>
        <w:rPr>
          <w:rFonts w:hint="eastAsia"/>
          <w:lang w:val="en-US" w:eastAsia="zh-CN"/>
        </w:rPr>
        <w:t>5-</w:t>
      </w:r>
      <w:r>
        <w:fldChar w:fldCharType="begin"/>
      </w:r>
      <w:r>
        <w:instrText xml:space="preserve"> PAGEREF _Toc19547 \h </w:instrText>
      </w:r>
      <w:r>
        <w:fldChar w:fldCharType="separate"/>
      </w:r>
      <w:r>
        <w:t>1</w:t>
      </w:r>
      <w:r>
        <w:fldChar w:fldCharType="end"/>
      </w:r>
      <w:r>
        <w:rPr>
          <w:rFonts w:cs="Arial"/>
          <w:bCs/>
          <w:spacing w:val="120"/>
        </w:rPr>
        <w:fldChar w:fldCharType="end"/>
      </w:r>
    </w:p>
    <w:p w14:paraId="62F96B77">
      <w:pPr>
        <w:pStyle w:val="28"/>
        <w:tabs>
          <w:tab w:val="right" w:leader="dot" w:pos="8306"/>
          <w:tab w:val="clear" w:pos="8295"/>
        </w:tabs>
      </w:pPr>
      <w:r>
        <w:rPr>
          <w:rFonts w:cs="Arial"/>
          <w:bCs/>
          <w:spacing w:val="120"/>
        </w:rPr>
        <w:fldChar w:fldCharType="begin"/>
      </w:r>
      <w:r>
        <w:rPr>
          <w:rFonts w:cs="Arial"/>
          <w:bCs/>
          <w:spacing w:val="120"/>
        </w:rPr>
        <w:instrText xml:space="preserve"> HYPERLINK \l _Toc8343 </w:instrText>
      </w:r>
      <w:r>
        <w:rPr>
          <w:rFonts w:cs="Arial"/>
          <w:bCs/>
          <w:spacing w:val="120"/>
        </w:rPr>
        <w:fldChar w:fldCharType="separate"/>
      </w:r>
      <w:r>
        <w:rPr>
          <w:rFonts w:hAnsi="宋体" w:eastAsia="宋体" w:cs="Arial"/>
          <w:bCs/>
          <w:szCs w:val="28"/>
        </w:rPr>
        <w:t xml:space="preserve">第六部分  </w:t>
      </w:r>
      <w:r>
        <w:rPr>
          <w:rFonts w:hint="eastAsia" w:hAnsi="宋体" w:eastAsia="宋体" w:cs="Arial"/>
          <w:bCs/>
          <w:szCs w:val="28"/>
        </w:rPr>
        <w:t>基金份额的发售</w:t>
      </w:r>
      <w:r>
        <w:tab/>
      </w:r>
      <w:r>
        <w:rPr>
          <w:rFonts w:hint="eastAsia"/>
          <w:lang w:val="en-US" w:eastAsia="zh-CN"/>
        </w:rPr>
        <w:t>6-</w:t>
      </w:r>
      <w:r>
        <w:fldChar w:fldCharType="begin"/>
      </w:r>
      <w:r>
        <w:instrText xml:space="preserve"> PAGEREF _Toc8343 \h </w:instrText>
      </w:r>
      <w:r>
        <w:fldChar w:fldCharType="separate"/>
      </w:r>
      <w:r>
        <w:t>1</w:t>
      </w:r>
      <w:r>
        <w:fldChar w:fldCharType="end"/>
      </w:r>
      <w:r>
        <w:rPr>
          <w:rFonts w:cs="Arial"/>
          <w:bCs/>
          <w:spacing w:val="120"/>
        </w:rPr>
        <w:fldChar w:fldCharType="end"/>
      </w:r>
    </w:p>
    <w:p w14:paraId="20DB4CF7">
      <w:pPr>
        <w:pStyle w:val="28"/>
        <w:tabs>
          <w:tab w:val="right" w:leader="dot" w:pos="8306"/>
          <w:tab w:val="clear" w:pos="8295"/>
        </w:tabs>
      </w:pPr>
      <w:r>
        <w:rPr>
          <w:rFonts w:cs="Arial"/>
          <w:bCs/>
          <w:spacing w:val="120"/>
        </w:rPr>
        <w:fldChar w:fldCharType="begin"/>
      </w:r>
      <w:r>
        <w:rPr>
          <w:rFonts w:cs="Arial"/>
          <w:bCs/>
          <w:spacing w:val="120"/>
        </w:rPr>
        <w:instrText xml:space="preserve"> HYPERLINK \l _Toc15431 </w:instrText>
      </w:r>
      <w:r>
        <w:rPr>
          <w:rFonts w:cs="Arial"/>
          <w:bCs/>
          <w:spacing w:val="120"/>
        </w:rPr>
        <w:fldChar w:fldCharType="separate"/>
      </w:r>
      <w:r>
        <w:rPr>
          <w:rFonts w:hAnsi="宋体" w:eastAsia="宋体" w:cs="Arial"/>
          <w:bCs/>
          <w:szCs w:val="28"/>
        </w:rPr>
        <w:t>第</w:t>
      </w:r>
      <w:r>
        <w:rPr>
          <w:rFonts w:hint="eastAsia" w:hAnsi="宋体" w:eastAsia="宋体" w:cs="Arial"/>
          <w:bCs/>
          <w:szCs w:val="28"/>
        </w:rPr>
        <w:t>七</w:t>
      </w:r>
      <w:r>
        <w:rPr>
          <w:rFonts w:hAnsi="宋体" w:eastAsia="宋体" w:cs="Arial"/>
          <w:bCs/>
          <w:szCs w:val="28"/>
        </w:rPr>
        <w:t xml:space="preserve">部分  </w:t>
      </w:r>
      <w:r>
        <w:rPr>
          <w:rFonts w:hint="eastAsia" w:hAnsi="宋体" w:eastAsia="宋体" w:cs="Arial"/>
          <w:bCs/>
          <w:szCs w:val="28"/>
        </w:rPr>
        <w:t>基金合同的生效</w:t>
      </w:r>
      <w:r>
        <w:tab/>
      </w:r>
      <w:r>
        <w:rPr>
          <w:rFonts w:hint="eastAsia"/>
          <w:lang w:val="en-US" w:eastAsia="zh-CN"/>
        </w:rPr>
        <w:t>7-</w:t>
      </w:r>
      <w:r>
        <w:fldChar w:fldCharType="begin"/>
      </w:r>
      <w:r>
        <w:instrText xml:space="preserve"> PAGEREF _Toc15431 \h </w:instrText>
      </w:r>
      <w:r>
        <w:fldChar w:fldCharType="separate"/>
      </w:r>
      <w:r>
        <w:t>1</w:t>
      </w:r>
      <w:r>
        <w:fldChar w:fldCharType="end"/>
      </w:r>
      <w:r>
        <w:rPr>
          <w:rFonts w:cs="Arial"/>
          <w:bCs/>
          <w:spacing w:val="120"/>
        </w:rPr>
        <w:fldChar w:fldCharType="end"/>
      </w:r>
    </w:p>
    <w:p w14:paraId="4150FD99">
      <w:pPr>
        <w:pStyle w:val="28"/>
        <w:tabs>
          <w:tab w:val="right" w:leader="dot" w:pos="8306"/>
          <w:tab w:val="clear" w:pos="8295"/>
        </w:tabs>
      </w:pPr>
      <w:r>
        <w:rPr>
          <w:rFonts w:cs="Arial"/>
          <w:bCs/>
          <w:spacing w:val="120"/>
        </w:rPr>
        <w:fldChar w:fldCharType="begin"/>
      </w:r>
      <w:r>
        <w:rPr>
          <w:rFonts w:cs="Arial"/>
          <w:bCs/>
          <w:spacing w:val="120"/>
        </w:rPr>
        <w:instrText xml:space="preserve"> HYPERLINK \l _Toc19002 </w:instrText>
      </w:r>
      <w:r>
        <w:rPr>
          <w:rFonts w:cs="Arial"/>
          <w:bCs/>
          <w:spacing w:val="120"/>
        </w:rPr>
        <w:fldChar w:fldCharType="separate"/>
      </w:r>
      <w:r>
        <w:rPr>
          <w:rFonts w:hint="eastAsia" w:hAnsi="宋体" w:eastAsia="宋体" w:cs="Arial"/>
          <w:bCs/>
          <w:szCs w:val="28"/>
        </w:rPr>
        <w:t>第八部分  基金的份额折算与变更登记</w:t>
      </w:r>
      <w:r>
        <w:tab/>
      </w:r>
      <w:r>
        <w:rPr>
          <w:rFonts w:hint="eastAsia"/>
          <w:lang w:val="en-US" w:eastAsia="zh-CN"/>
        </w:rPr>
        <w:t>8-</w:t>
      </w:r>
      <w:r>
        <w:fldChar w:fldCharType="begin"/>
      </w:r>
      <w:r>
        <w:instrText xml:space="preserve"> PAGEREF _Toc19002 \h </w:instrText>
      </w:r>
      <w:r>
        <w:fldChar w:fldCharType="separate"/>
      </w:r>
      <w:r>
        <w:t>1</w:t>
      </w:r>
      <w:r>
        <w:fldChar w:fldCharType="end"/>
      </w:r>
      <w:r>
        <w:rPr>
          <w:rFonts w:cs="Arial"/>
          <w:bCs/>
          <w:spacing w:val="120"/>
        </w:rPr>
        <w:fldChar w:fldCharType="end"/>
      </w:r>
    </w:p>
    <w:p w14:paraId="0ADD87CA">
      <w:pPr>
        <w:pStyle w:val="28"/>
        <w:tabs>
          <w:tab w:val="right" w:leader="dot" w:pos="8306"/>
          <w:tab w:val="clear" w:pos="8295"/>
        </w:tabs>
      </w:pPr>
      <w:r>
        <w:rPr>
          <w:rFonts w:cs="Arial"/>
          <w:bCs/>
          <w:spacing w:val="120"/>
        </w:rPr>
        <w:fldChar w:fldCharType="begin"/>
      </w:r>
      <w:r>
        <w:rPr>
          <w:rFonts w:cs="Arial"/>
          <w:bCs/>
          <w:spacing w:val="120"/>
        </w:rPr>
        <w:instrText xml:space="preserve"> HYPERLINK \l _Toc16078 </w:instrText>
      </w:r>
      <w:r>
        <w:rPr>
          <w:rFonts w:cs="Arial"/>
          <w:bCs/>
          <w:spacing w:val="120"/>
        </w:rPr>
        <w:fldChar w:fldCharType="separate"/>
      </w:r>
      <w:r>
        <w:rPr>
          <w:rFonts w:hAnsi="宋体" w:eastAsia="宋体" w:cs="Arial"/>
          <w:bCs/>
          <w:szCs w:val="28"/>
        </w:rPr>
        <w:t>第</w:t>
      </w:r>
      <w:r>
        <w:rPr>
          <w:rFonts w:hint="eastAsia" w:hAnsi="宋体" w:eastAsia="宋体" w:cs="Arial"/>
          <w:bCs/>
          <w:szCs w:val="28"/>
        </w:rPr>
        <w:t>九</w:t>
      </w:r>
      <w:r>
        <w:rPr>
          <w:rFonts w:hAnsi="宋体" w:eastAsia="宋体" w:cs="Arial"/>
          <w:bCs/>
          <w:szCs w:val="28"/>
        </w:rPr>
        <w:t>部分  基金份额的</w:t>
      </w:r>
      <w:r>
        <w:rPr>
          <w:rFonts w:hint="eastAsia" w:hAnsi="宋体" w:eastAsia="宋体" w:cs="Arial"/>
          <w:bCs/>
          <w:szCs w:val="28"/>
        </w:rPr>
        <w:t>上市</w:t>
      </w:r>
      <w:r>
        <w:rPr>
          <w:rFonts w:hAnsi="宋体" w:eastAsia="宋体" w:cs="Arial"/>
          <w:bCs/>
          <w:szCs w:val="28"/>
        </w:rPr>
        <w:t>交易</w:t>
      </w:r>
      <w:r>
        <w:tab/>
      </w:r>
      <w:r>
        <w:rPr>
          <w:rFonts w:hint="eastAsia"/>
          <w:lang w:val="en-US" w:eastAsia="zh-CN"/>
        </w:rPr>
        <w:t>9-</w:t>
      </w:r>
      <w:r>
        <w:fldChar w:fldCharType="begin"/>
      </w:r>
      <w:r>
        <w:instrText xml:space="preserve"> PAGEREF _Toc16078 \h </w:instrText>
      </w:r>
      <w:r>
        <w:fldChar w:fldCharType="separate"/>
      </w:r>
      <w:r>
        <w:t>1</w:t>
      </w:r>
      <w:r>
        <w:fldChar w:fldCharType="end"/>
      </w:r>
      <w:r>
        <w:rPr>
          <w:rFonts w:cs="Arial"/>
          <w:bCs/>
          <w:spacing w:val="120"/>
        </w:rPr>
        <w:fldChar w:fldCharType="end"/>
      </w:r>
    </w:p>
    <w:p w14:paraId="110E2630">
      <w:pPr>
        <w:pStyle w:val="28"/>
        <w:tabs>
          <w:tab w:val="right" w:leader="dot" w:pos="8306"/>
          <w:tab w:val="clear" w:pos="8295"/>
        </w:tabs>
      </w:pPr>
      <w:r>
        <w:rPr>
          <w:rFonts w:cs="Arial"/>
          <w:bCs/>
          <w:spacing w:val="120"/>
        </w:rPr>
        <w:fldChar w:fldCharType="begin"/>
      </w:r>
      <w:r>
        <w:rPr>
          <w:rFonts w:cs="Arial"/>
          <w:bCs/>
          <w:spacing w:val="120"/>
        </w:rPr>
        <w:instrText xml:space="preserve"> HYPERLINK \l _Toc384 </w:instrText>
      </w:r>
      <w:r>
        <w:rPr>
          <w:rFonts w:cs="Arial"/>
          <w:bCs/>
          <w:spacing w:val="120"/>
        </w:rPr>
        <w:fldChar w:fldCharType="separate"/>
      </w:r>
      <w:r>
        <w:rPr>
          <w:rFonts w:hAnsi="宋体" w:eastAsia="宋体" w:cs="Arial"/>
          <w:bCs/>
          <w:szCs w:val="28"/>
        </w:rPr>
        <w:t>第</w:t>
      </w:r>
      <w:r>
        <w:rPr>
          <w:rFonts w:hint="eastAsia" w:hAnsi="宋体" w:eastAsia="宋体" w:cs="Arial"/>
          <w:bCs/>
          <w:szCs w:val="28"/>
        </w:rPr>
        <w:t>十</w:t>
      </w:r>
      <w:r>
        <w:rPr>
          <w:rFonts w:hAnsi="宋体" w:eastAsia="宋体" w:cs="Arial"/>
          <w:bCs/>
          <w:szCs w:val="28"/>
        </w:rPr>
        <w:t>部分  基金份额的申购与赎回</w:t>
      </w:r>
      <w:r>
        <w:tab/>
      </w:r>
      <w:r>
        <w:rPr>
          <w:rFonts w:hint="eastAsia"/>
          <w:lang w:val="en-US" w:eastAsia="zh-CN"/>
        </w:rPr>
        <w:t>10-</w:t>
      </w:r>
      <w:r>
        <w:fldChar w:fldCharType="begin"/>
      </w:r>
      <w:r>
        <w:instrText xml:space="preserve"> PAGEREF _Toc384 \h </w:instrText>
      </w:r>
      <w:r>
        <w:fldChar w:fldCharType="separate"/>
      </w:r>
      <w:r>
        <w:t>1</w:t>
      </w:r>
      <w:r>
        <w:fldChar w:fldCharType="end"/>
      </w:r>
      <w:r>
        <w:rPr>
          <w:rFonts w:cs="Arial"/>
          <w:bCs/>
          <w:spacing w:val="120"/>
        </w:rPr>
        <w:fldChar w:fldCharType="end"/>
      </w:r>
    </w:p>
    <w:p w14:paraId="11126C5B">
      <w:pPr>
        <w:pStyle w:val="28"/>
        <w:tabs>
          <w:tab w:val="right" w:leader="dot" w:pos="8306"/>
          <w:tab w:val="clear" w:pos="8295"/>
        </w:tabs>
      </w:pPr>
      <w:r>
        <w:rPr>
          <w:rFonts w:cs="Arial"/>
          <w:bCs/>
          <w:spacing w:val="120"/>
        </w:rPr>
        <w:fldChar w:fldCharType="begin"/>
      </w:r>
      <w:r>
        <w:rPr>
          <w:rFonts w:cs="Arial"/>
          <w:bCs/>
          <w:spacing w:val="120"/>
        </w:rPr>
        <w:instrText xml:space="preserve"> HYPERLINK \l _Toc9485 </w:instrText>
      </w:r>
      <w:r>
        <w:rPr>
          <w:rFonts w:cs="Arial"/>
          <w:bCs/>
          <w:spacing w:val="120"/>
        </w:rPr>
        <w:fldChar w:fldCharType="separate"/>
      </w:r>
      <w:r>
        <w:rPr>
          <w:rFonts w:hAnsi="宋体" w:eastAsia="宋体" w:cs="Arial"/>
          <w:bCs/>
          <w:szCs w:val="28"/>
        </w:rPr>
        <w:t>第十</w:t>
      </w:r>
      <w:r>
        <w:rPr>
          <w:rFonts w:hint="eastAsia" w:hAnsi="宋体" w:eastAsia="宋体" w:cs="Arial"/>
          <w:bCs/>
          <w:szCs w:val="28"/>
        </w:rPr>
        <w:t>一</w:t>
      </w:r>
      <w:r>
        <w:rPr>
          <w:rFonts w:hAnsi="宋体" w:eastAsia="宋体" w:cs="Arial"/>
          <w:bCs/>
          <w:szCs w:val="28"/>
        </w:rPr>
        <w:t>部分  基金的投资</w:t>
      </w:r>
      <w:r>
        <w:tab/>
      </w:r>
      <w:r>
        <w:rPr>
          <w:rFonts w:hint="eastAsia"/>
          <w:lang w:val="en-US" w:eastAsia="zh-CN"/>
        </w:rPr>
        <w:t>11-</w:t>
      </w:r>
      <w:r>
        <w:fldChar w:fldCharType="begin"/>
      </w:r>
      <w:r>
        <w:instrText xml:space="preserve"> PAGEREF _Toc9485 \h </w:instrText>
      </w:r>
      <w:r>
        <w:fldChar w:fldCharType="separate"/>
      </w:r>
      <w:r>
        <w:t>1</w:t>
      </w:r>
      <w:r>
        <w:fldChar w:fldCharType="end"/>
      </w:r>
      <w:r>
        <w:rPr>
          <w:rFonts w:cs="Arial"/>
          <w:bCs/>
          <w:spacing w:val="120"/>
        </w:rPr>
        <w:fldChar w:fldCharType="end"/>
      </w:r>
    </w:p>
    <w:p w14:paraId="41FDDE2C">
      <w:pPr>
        <w:pStyle w:val="28"/>
        <w:tabs>
          <w:tab w:val="right" w:leader="dot" w:pos="8306"/>
          <w:tab w:val="clear" w:pos="8295"/>
        </w:tabs>
      </w:pPr>
      <w:r>
        <w:rPr>
          <w:rFonts w:cs="Arial"/>
          <w:bCs/>
          <w:spacing w:val="120"/>
        </w:rPr>
        <w:fldChar w:fldCharType="begin"/>
      </w:r>
      <w:r>
        <w:rPr>
          <w:rFonts w:cs="Arial"/>
          <w:bCs/>
          <w:spacing w:val="120"/>
        </w:rPr>
        <w:instrText xml:space="preserve"> HYPERLINK \l _Toc20649 </w:instrText>
      </w:r>
      <w:r>
        <w:rPr>
          <w:rFonts w:cs="Arial"/>
          <w:bCs/>
          <w:spacing w:val="120"/>
        </w:rPr>
        <w:fldChar w:fldCharType="separate"/>
      </w:r>
      <w:r>
        <w:rPr>
          <w:rFonts w:hAnsi="宋体" w:eastAsia="宋体" w:cs="Arial"/>
          <w:bCs/>
          <w:szCs w:val="28"/>
        </w:rPr>
        <w:t>第十</w:t>
      </w:r>
      <w:r>
        <w:rPr>
          <w:rFonts w:hint="eastAsia" w:hAnsi="宋体" w:eastAsia="宋体" w:cs="Arial"/>
          <w:bCs/>
          <w:szCs w:val="28"/>
        </w:rPr>
        <w:t>二</w:t>
      </w:r>
      <w:r>
        <w:rPr>
          <w:rFonts w:hAnsi="宋体" w:eastAsia="宋体" w:cs="Arial"/>
          <w:bCs/>
          <w:szCs w:val="28"/>
        </w:rPr>
        <w:t>部分  基金的财产</w:t>
      </w:r>
      <w:r>
        <w:tab/>
      </w:r>
      <w:r>
        <w:rPr>
          <w:rFonts w:hint="eastAsia"/>
          <w:lang w:val="en-US" w:eastAsia="zh-CN"/>
        </w:rPr>
        <w:t>12-</w:t>
      </w:r>
      <w:r>
        <w:fldChar w:fldCharType="begin"/>
      </w:r>
      <w:r>
        <w:instrText xml:space="preserve"> PAGEREF _Toc20649 \h </w:instrText>
      </w:r>
      <w:r>
        <w:fldChar w:fldCharType="separate"/>
      </w:r>
      <w:r>
        <w:t>1</w:t>
      </w:r>
      <w:r>
        <w:fldChar w:fldCharType="end"/>
      </w:r>
      <w:r>
        <w:rPr>
          <w:rFonts w:cs="Arial"/>
          <w:bCs/>
          <w:spacing w:val="120"/>
        </w:rPr>
        <w:fldChar w:fldCharType="end"/>
      </w:r>
    </w:p>
    <w:p w14:paraId="66579103">
      <w:pPr>
        <w:pStyle w:val="28"/>
        <w:tabs>
          <w:tab w:val="right" w:leader="dot" w:pos="8306"/>
          <w:tab w:val="clear" w:pos="8295"/>
        </w:tabs>
      </w:pPr>
      <w:r>
        <w:rPr>
          <w:rFonts w:cs="Arial"/>
          <w:bCs/>
          <w:spacing w:val="120"/>
        </w:rPr>
        <w:fldChar w:fldCharType="begin"/>
      </w:r>
      <w:r>
        <w:rPr>
          <w:rFonts w:cs="Arial"/>
          <w:bCs/>
          <w:spacing w:val="120"/>
        </w:rPr>
        <w:instrText xml:space="preserve"> HYPERLINK \l _Toc16252 </w:instrText>
      </w:r>
      <w:r>
        <w:rPr>
          <w:rFonts w:cs="Arial"/>
          <w:bCs/>
          <w:spacing w:val="120"/>
        </w:rPr>
        <w:fldChar w:fldCharType="separate"/>
      </w:r>
      <w:r>
        <w:rPr>
          <w:rFonts w:hAnsi="宋体" w:eastAsia="宋体" w:cs="Arial"/>
          <w:bCs/>
          <w:szCs w:val="28"/>
        </w:rPr>
        <w:t>第十</w:t>
      </w:r>
      <w:r>
        <w:rPr>
          <w:rFonts w:hint="eastAsia" w:hAnsi="宋体" w:eastAsia="宋体" w:cs="Arial"/>
          <w:bCs/>
          <w:szCs w:val="28"/>
        </w:rPr>
        <w:t>三</w:t>
      </w:r>
      <w:r>
        <w:rPr>
          <w:rFonts w:hAnsi="宋体" w:eastAsia="宋体" w:cs="Arial"/>
          <w:bCs/>
          <w:szCs w:val="28"/>
        </w:rPr>
        <w:t>部分  基金资产的估值</w:t>
      </w:r>
      <w:r>
        <w:tab/>
      </w:r>
      <w:r>
        <w:rPr>
          <w:rFonts w:hint="eastAsia"/>
          <w:lang w:val="en-US" w:eastAsia="zh-CN"/>
        </w:rPr>
        <w:t>13-</w:t>
      </w:r>
      <w:r>
        <w:fldChar w:fldCharType="begin"/>
      </w:r>
      <w:r>
        <w:instrText xml:space="preserve"> PAGEREF _Toc16252 \h </w:instrText>
      </w:r>
      <w:r>
        <w:fldChar w:fldCharType="separate"/>
      </w:r>
      <w:r>
        <w:t>1</w:t>
      </w:r>
      <w:r>
        <w:fldChar w:fldCharType="end"/>
      </w:r>
      <w:r>
        <w:rPr>
          <w:rFonts w:cs="Arial"/>
          <w:bCs/>
          <w:spacing w:val="120"/>
        </w:rPr>
        <w:fldChar w:fldCharType="end"/>
      </w:r>
    </w:p>
    <w:p w14:paraId="369C5607">
      <w:pPr>
        <w:pStyle w:val="28"/>
        <w:tabs>
          <w:tab w:val="right" w:leader="dot" w:pos="8306"/>
          <w:tab w:val="clear" w:pos="8295"/>
        </w:tabs>
      </w:pPr>
      <w:r>
        <w:rPr>
          <w:rFonts w:cs="Arial"/>
          <w:bCs/>
          <w:spacing w:val="120"/>
        </w:rPr>
        <w:fldChar w:fldCharType="begin"/>
      </w:r>
      <w:r>
        <w:rPr>
          <w:rFonts w:cs="Arial"/>
          <w:bCs/>
          <w:spacing w:val="120"/>
        </w:rPr>
        <w:instrText xml:space="preserve"> HYPERLINK \l _Toc16568 </w:instrText>
      </w:r>
      <w:r>
        <w:rPr>
          <w:rFonts w:cs="Arial"/>
          <w:bCs/>
          <w:spacing w:val="120"/>
        </w:rPr>
        <w:fldChar w:fldCharType="separate"/>
      </w:r>
      <w:r>
        <w:rPr>
          <w:rFonts w:hAnsi="宋体" w:eastAsia="宋体" w:cs="Arial"/>
          <w:bCs/>
          <w:szCs w:val="28"/>
        </w:rPr>
        <w:t>第十</w:t>
      </w:r>
      <w:r>
        <w:rPr>
          <w:rFonts w:hint="eastAsia" w:hAnsi="宋体" w:eastAsia="宋体" w:cs="Arial"/>
          <w:bCs/>
          <w:szCs w:val="28"/>
        </w:rPr>
        <w:t>四部分  基金的收益与分配</w:t>
      </w:r>
      <w:r>
        <w:tab/>
      </w:r>
      <w:r>
        <w:rPr>
          <w:rFonts w:hint="eastAsia"/>
          <w:lang w:val="en-US" w:eastAsia="zh-CN"/>
        </w:rPr>
        <w:t>14-</w:t>
      </w:r>
      <w:r>
        <w:fldChar w:fldCharType="begin"/>
      </w:r>
      <w:r>
        <w:instrText xml:space="preserve"> PAGEREF _Toc16568 \h </w:instrText>
      </w:r>
      <w:r>
        <w:fldChar w:fldCharType="separate"/>
      </w:r>
      <w:r>
        <w:t>1</w:t>
      </w:r>
      <w:r>
        <w:fldChar w:fldCharType="end"/>
      </w:r>
      <w:r>
        <w:rPr>
          <w:rFonts w:cs="Arial"/>
          <w:bCs/>
          <w:spacing w:val="120"/>
        </w:rPr>
        <w:fldChar w:fldCharType="end"/>
      </w:r>
    </w:p>
    <w:p w14:paraId="3ED07B75">
      <w:pPr>
        <w:pStyle w:val="28"/>
        <w:tabs>
          <w:tab w:val="right" w:leader="dot" w:pos="8306"/>
          <w:tab w:val="clear" w:pos="8295"/>
        </w:tabs>
      </w:pPr>
      <w:r>
        <w:rPr>
          <w:rFonts w:cs="Arial"/>
          <w:bCs/>
          <w:spacing w:val="120"/>
        </w:rPr>
        <w:fldChar w:fldCharType="begin"/>
      </w:r>
      <w:r>
        <w:rPr>
          <w:rFonts w:cs="Arial"/>
          <w:bCs/>
          <w:spacing w:val="120"/>
        </w:rPr>
        <w:instrText xml:space="preserve"> HYPERLINK \l _Toc11221 </w:instrText>
      </w:r>
      <w:r>
        <w:rPr>
          <w:rFonts w:cs="Arial"/>
          <w:bCs/>
          <w:spacing w:val="120"/>
        </w:rPr>
        <w:fldChar w:fldCharType="separate"/>
      </w:r>
      <w:r>
        <w:rPr>
          <w:rFonts w:hAnsi="宋体" w:eastAsia="宋体" w:cs="Arial"/>
          <w:bCs/>
          <w:szCs w:val="28"/>
        </w:rPr>
        <w:t>第十</w:t>
      </w:r>
      <w:r>
        <w:rPr>
          <w:rFonts w:hint="eastAsia" w:hAnsi="宋体" w:eastAsia="宋体" w:cs="Arial"/>
          <w:bCs/>
          <w:szCs w:val="28"/>
        </w:rPr>
        <w:t>五</w:t>
      </w:r>
      <w:r>
        <w:rPr>
          <w:rFonts w:hAnsi="宋体" w:eastAsia="宋体" w:cs="Arial"/>
          <w:bCs/>
          <w:szCs w:val="28"/>
        </w:rPr>
        <w:t>部分  基金费用与税收</w:t>
      </w:r>
      <w:r>
        <w:tab/>
      </w:r>
      <w:r>
        <w:rPr>
          <w:rFonts w:hint="eastAsia"/>
          <w:lang w:val="en-US" w:eastAsia="zh-CN"/>
        </w:rPr>
        <w:t>15-</w:t>
      </w:r>
      <w:r>
        <w:fldChar w:fldCharType="begin"/>
      </w:r>
      <w:r>
        <w:instrText xml:space="preserve"> PAGEREF _Toc11221 \h </w:instrText>
      </w:r>
      <w:r>
        <w:fldChar w:fldCharType="separate"/>
      </w:r>
      <w:r>
        <w:t>1</w:t>
      </w:r>
      <w:r>
        <w:fldChar w:fldCharType="end"/>
      </w:r>
      <w:r>
        <w:rPr>
          <w:rFonts w:cs="Arial"/>
          <w:bCs/>
          <w:spacing w:val="120"/>
        </w:rPr>
        <w:fldChar w:fldCharType="end"/>
      </w:r>
    </w:p>
    <w:p w14:paraId="04F16392">
      <w:pPr>
        <w:pStyle w:val="28"/>
        <w:tabs>
          <w:tab w:val="right" w:leader="dot" w:pos="8306"/>
          <w:tab w:val="clear" w:pos="8295"/>
        </w:tabs>
      </w:pPr>
      <w:r>
        <w:rPr>
          <w:rFonts w:cs="Arial"/>
          <w:bCs/>
          <w:spacing w:val="120"/>
        </w:rPr>
        <w:fldChar w:fldCharType="begin"/>
      </w:r>
      <w:r>
        <w:rPr>
          <w:rFonts w:cs="Arial"/>
          <w:bCs/>
          <w:spacing w:val="120"/>
        </w:rPr>
        <w:instrText xml:space="preserve"> HYPERLINK \l _Toc22079 </w:instrText>
      </w:r>
      <w:r>
        <w:rPr>
          <w:rFonts w:cs="Arial"/>
          <w:bCs/>
          <w:spacing w:val="120"/>
        </w:rPr>
        <w:fldChar w:fldCharType="separate"/>
      </w:r>
      <w:r>
        <w:rPr>
          <w:rFonts w:hAnsi="宋体" w:eastAsia="宋体" w:cs="Arial"/>
          <w:bCs/>
          <w:szCs w:val="28"/>
        </w:rPr>
        <w:t>第十</w:t>
      </w:r>
      <w:r>
        <w:rPr>
          <w:rFonts w:hint="eastAsia" w:hAnsi="宋体" w:eastAsia="宋体" w:cs="Arial"/>
          <w:bCs/>
          <w:szCs w:val="28"/>
        </w:rPr>
        <w:t>六</w:t>
      </w:r>
      <w:r>
        <w:rPr>
          <w:rFonts w:hAnsi="宋体" w:eastAsia="宋体" w:cs="Arial"/>
          <w:bCs/>
          <w:szCs w:val="28"/>
        </w:rPr>
        <w:t>部分  基金的会计与审计</w:t>
      </w:r>
      <w:r>
        <w:tab/>
      </w:r>
      <w:r>
        <w:rPr>
          <w:rFonts w:hint="eastAsia"/>
          <w:lang w:val="en-US" w:eastAsia="zh-CN"/>
        </w:rPr>
        <w:t>16-</w:t>
      </w:r>
      <w:r>
        <w:fldChar w:fldCharType="begin"/>
      </w:r>
      <w:r>
        <w:instrText xml:space="preserve"> PAGEREF _Toc22079 \h </w:instrText>
      </w:r>
      <w:r>
        <w:fldChar w:fldCharType="separate"/>
      </w:r>
      <w:r>
        <w:t>1</w:t>
      </w:r>
      <w:r>
        <w:fldChar w:fldCharType="end"/>
      </w:r>
      <w:r>
        <w:rPr>
          <w:rFonts w:cs="Arial"/>
          <w:bCs/>
          <w:spacing w:val="120"/>
        </w:rPr>
        <w:fldChar w:fldCharType="end"/>
      </w:r>
    </w:p>
    <w:p w14:paraId="14BC3014">
      <w:pPr>
        <w:pStyle w:val="28"/>
        <w:tabs>
          <w:tab w:val="right" w:leader="dot" w:pos="8306"/>
          <w:tab w:val="clear" w:pos="8295"/>
        </w:tabs>
      </w:pPr>
      <w:r>
        <w:rPr>
          <w:rFonts w:cs="Arial"/>
          <w:bCs/>
          <w:spacing w:val="120"/>
        </w:rPr>
        <w:fldChar w:fldCharType="begin"/>
      </w:r>
      <w:r>
        <w:rPr>
          <w:rFonts w:cs="Arial"/>
          <w:bCs/>
          <w:spacing w:val="120"/>
        </w:rPr>
        <w:instrText xml:space="preserve"> HYPERLINK \l _Toc11059 </w:instrText>
      </w:r>
      <w:r>
        <w:rPr>
          <w:rFonts w:cs="Arial"/>
          <w:bCs/>
          <w:spacing w:val="120"/>
        </w:rPr>
        <w:fldChar w:fldCharType="separate"/>
      </w:r>
      <w:r>
        <w:rPr>
          <w:rFonts w:hAnsi="宋体" w:eastAsia="宋体" w:cs="Arial"/>
          <w:bCs/>
          <w:szCs w:val="28"/>
        </w:rPr>
        <w:t>第十</w:t>
      </w:r>
      <w:r>
        <w:rPr>
          <w:rFonts w:hint="eastAsia" w:hAnsi="宋体" w:eastAsia="宋体" w:cs="Arial"/>
          <w:bCs/>
          <w:szCs w:val="28"/>
        </w:rPr>
        <w:t>七</w:t>
      </w:r>
      <w:r>
        <w:rPr>
          <w:rFonts w:hAnsi="宋体" w:eastAsia="宋体" w:cs="Arial"/>
          <w:bCs/>
          <w:szCs w:val="28"/>
        </w:rPr>
        <w:t>部分  基金的信息披露</w:t>
      </w:r>
      <w:r>
        <w:tab/>
      </w:r>
      <w:r>
        <w:rPr>
          <w:rFonts w:hint="eastAsia"/>
          <w:lang w:val="en-US" w:eastAsia="zh-CN"/>
        </w:rPr>
        <w:t>17-</w:t>
      </w:r>
      <w:r>
        <w:fldChar w:fldCharType="begin"/>
      </w:r>
      <w:r>
        <w:instrText xml:space="preserve"> PAGEREF _Toc11059 \h </w:instrText>
      </w:r>
      <w:r>
        <w:fldChar w:fldCharType="separate"/>
      </w:r>
      <w:r>
        <w:t>1</w:t>
      </w:r>
      <w:r>
        <w:fldChar w:fldCharType="end"/>
      </w:r>
      <w:r>
        <w:rPr>
          <w:rFonts w:cs="Arial"/>
          <w:bCs/>
          <w:spacing w:val="120"/>
        </w:rPr>
        <w:fldChar w:fldCharType="end"/>
      </w:r>
    </w:p>
    <w:p w14:paraId="09CCC118">
      <w:pPr>
        <w:pStyle w:val="28"/>
        <w:tabs>
          <w:tab w:val="right" w:leader="dot" w:pos="8306"/>
          <w:tab w:val="clear" w:pos="8295"/>
        </w:tabs>
      </w:pPr>
      <w:r>
        <w:rPr>
          <w:rFonts w:cs="Arial"/>
          <w:bCs/>
          <w:spacing w:val="120"/>
        </w:rPr>
        <w:fldChar w:fldCharType="begin"/>
      </w:r>
      <w:r>
        <w:rPr>
          <w:rFonts w:cs="Arial"/>
          <w:bCs/>
          <w:spacing w:val="120"/>
        </w:rPr>
        <w:instrText xml:space="preserve"> HYPERLINK \l _Toc10607 </w:instrText>
      </w:r>
      <w:r>
        <w:rPr>
          <w:rFonts w:cs="Arial"/>
          <w:bCs/>
          <w:spacing w:val="120"/>
        </w:rPr>
        <w:fldChar w:fldCharType="separate"/>
      </w:r>
      <w:r>
        <w:rPr>
          <w:rFonts w:hAnsi="宋体" w:eastAsia="宋体" w:cs="Arial"/>
          <w:bCs/>
          <w:szCs w:val="28"/>
        </w:rPr>
        <w:t>第十</w:t>
      </w:r>
      <w:r>
        <w:rPr>
          <w:rFonts w:hint="eastAsia" w:hAnsi="宋体" w:eastAsia="宋体" w:cs="Arial"/>
          <w:bCs/>
          <w:szCs w:val="28"/>
        </w:rPr>
        <w:t>八</w:t>
      </w:r>
      <w:r>
        <w:rPr>
          <w:rFonts w:hAnsi="宋体" w:eastAsia="宋体" w:cs="Arial"/>
          <w:bCs/>
          <w:szCs w:val="28"/>
        </w:rPr>
        <w:t>部分  风险揭示</w:t>
      </w:r>
      <w:r>
        <w:tab/>
      </w:r>
      <w:r>
        <w:rPr>
          <w:rFonts w:hint="eastAsia"/>
          <w:lang w:val="en-US" w:eastAsia="zh-CN"/>
        </w:rPr>
        <w:t>18-</w:t>
      </w:r>
      <w:r>
        <w:fldChar w:fldCharType="begin"/>
      </w:r>
      <w:r>
        <w:instrText xml:space="preserve"> PAGEREF _Toc10607 \h </w:instrText>
      </w:r>
      <w:r>
        <w:fldChar w:fldCharType="separate"/>
      </w:r>
      <w:r>
        <w:t>1</w:t>
      </w:r>
      <w:r>
        <w:fldChar w:fldCharType="end"/>
      </w:r>
      <w:r>
        <w:rPr>
          <w:rFonts w:cs="Arial"/>
          <w:bCs/>
          <w:spacing w:val="120"/>
        </w:rPr>
        <w:fldChar w:fldCharType="end"/>
      </w:r>
    </w:p>
    <w:p w14:paraId="22A23AA5">
      <w:pPr>
        <w:pStyle w:val="28"/>
        <w:tabs>
          <w:tab w:val="right" w:leader="dot" w:pos="8306"/>
          <w:tab w:val="clear" w:pos="8295"/>
        </w:tabs>
      </w:pPr>
      <w:r>
        <w:rPr>
          <w:rFonts w:cs="Arial"/>
          <w:bCs/>
          <w:spacing w:val="120"/>
        </w:rPr>
        <w:fldChar w:fldCharType="begin"/>
      </w:r>
      <w:r>
        <w:rPr>
          <w:rFonts w:cs="Arial"/>
          <w:bCs/>
          <w:spacing w:val="120"/>
        </w:rPr>
        <w:instrText xml:space="preserve"> HYPERLINK \l _Toc2659 </w:instrText>
      </w:r>
      <w:r>
        <w:rPr>
          <w:rFonts w:cs="Arial"/>
          <w:bCs/>
          <w:spacing w:val="120"/>
        </w:rPr>
        <w:fldChar w:fldCharType="separate"/>
      </w:r>
      <w:r>
        <w:rPr>
          <w:rFonts w:hAnsi="宋体" w:eastAsia="宋体" w:cs="Arial"/>
          <w:bCs/>
          <w:szCs w:val="28"/>
        </w:rPr>
        <w:t>第</w:t>
      </w:r>
      <w:r>
        <w:rPr>
          <w:rFonts w:hint="eastAsia" w:hAnsi="宋体" w:eastAsia="宋体" w:cs="Arial"/>
          <w:bCs/>
          <w:szCs w:val="28"/>
        </w:rPr>
        <w:t>十九</w:t>
      </w:r>
      <w:r>
        <w:rPr>
          <w:rFonts w:hAnsi="宋体" w:eastAsia="宋体" w:cs="Arial"/>
          <w:bCs/>
          <w:szCs w:val="28"/>
        </w:rPr>
        <w:t>部分  基金合同的变更、终止与基金财产的清算</w:t>
      </w:r>
      <w:r>
        <w:tab/>
      </w:r>
      <w:r>
        <w:rPr>
          <w:rFonts w:hint="eastAsia"/>
          <w:lang w:val="en-US" w:eastAsia="zh-CN"/>
        </w:rPr>
        <w:t>19-</w:t>
      </w:r>
      <w:r>
        <w:fldChar w:fldCharType="begin"/>
      </w:r>
      <w:r>
        <w:instrText xml:space="preserve"> PAGEREF _Toc2659 \h </w:instrText>
      </w:r>
      <w:r>
        <w:fldChar w:fldCharType="separate"/>
      </w:r>
      <w:r>
        <w:t>1</w:t>
      </w:r>
      <w:r>
        <w:fldChar w:fldCharType="end"/>
      </w:r>
      <w:r>
        <w:rPr>
          <w:rFonts w:cs="Arial"/>
          <w:bCs/>
          <w:spacing w:val="120"/>
        </w:rPr>
        <w:fldChar w:fldCharType="end"/>
      </w:r>
    </w:p>
    <w:p w14:paraId="25C23256">
      <w:pPr>
        <w:pStyle w:val="28"/>
        <w:tabs>
          <w:tab w:val="right" w:leader="dot" w:pos="8306"/>
          <w:tab w:val="clear" w:pos="8295"/>
        </w:tabs>
      </w:pPr>
      <w:r>
        <w:rPr>
          <w:rFonts w:cs="Arial"/>
          <w:bCs/>
          <w:spacing w:val="120"/>
        </w:rPr>
        <w:fldChar w:fldCharType="begin"/>
      </w:r>
      <w:r>
        <w:rPr>
          <w:rFonts w:cs="Arial"/>
          <w:bCs/>
          <w:spacing w:val="120"/>
        </w:rPr>
        <w:instrText xml:space="preserve"> HYPERLINK \l _Toc7102 </w:instrText>
      </w:r>
      <w:r>
        <w:rPr>
          <w:rFonts w:cs="Arial"/>
          <w:bCs/>
          <w:spacing w:val="120"/>
        </w:rPr>
        <w:fldChar w:fldCharType="separate"/>
      </w:r>
      <w:r>
        <w:rPr>
          <w:rFonts w:hAnsi="宋体" w:eastAsia="宋体" w:cs="Arial"/>
          <w:bCs/>
          <w:szCs w:val="28"/>
        </w:rPr>
        <w:t>第</w:t>
      </w:r>
      <w:r>
        <w:rPr>
          <w:rFonts w:hint="eastAsia" w:hAnsi="宋体" w:eastAsia="宋体" w:cs="Arial"/>
          <w:bCs/>
          <w:szCs w:val="28"/>
        </w:rPr>
        <w:t>二十</w:t>
      </w:r>
      <w:r>
        <w:rPr>
          <w:rFonts w:hAnsi="宋体" w:eastAsia="宋体" w:cs="Arial"/>
          <w:bCs/>
          <w:szCs w:val="28"/>
        </w:rPr>
        <w:t>部分  基金合同的内容摘要</w:t>
      </w:r>
      <w:r>
        <w:tab/>
      </w:r>
      <w:r>
        <w:rPr>
          <w:rFonts w:hint="eastAsia"/>
          <w:lang w:val="en-US" w:eastAsia="zh-CN"/>
        </w:rPr>
        <w:t>20-</w:t>
      </w:r>
      <w:r>
        <w:fldChar w:fldCharType="begin"/>
      </w:r>
      <w:r>
        <w:instrText xml:space="preserve"> PAGEREF _Toc7102 \h </w:instrText>
      </w:r>
      <w:r>
        <w:fldChar w:fldCharType="separate"/>
      </w:r>
      <w:r>
        <w:t>1</w:t>
      </w:r>
      <w:r>
        <w:fldChar w:fldCharType="end"/>
      </w:r>
      <w:r>
        <w:rPr>
          <w:rFonts w:cs="Arial"/>
          <w:bCs/>
          <w:spacing w:val="120"/>
        </w:rPr>
        <w:fldChar w:fldCharType="end"/>
      </w:r>
    </w:p>
    <w:p w14:paraId="23AD9AA8">
      <w:pPr>
        <w:pStyle w:val="28"/>
        <w:tabs>
          <w:tab w:val="right" w:leader="dot" w:pos="8306"/>
          <w:tab w:val="clear" w:pos="8295"/>
        </w:tabs>
      </w:pPr>
      <w:r>
        <w:rPr>
          <w:rFonts w:cs="Arial"/>
          <w:bCs/>
          <w:spacing w:val="120"/>
        </w:rPr>
        <w:fldChar w:fldCharType="begin"/>
      </w:r>
      <w:r>
        <w:rPr>
          <w:rFonts w:cs="Arial"/>
          <w:bCs/>
          <w:spacing w:val="120"/>
        </w:rPr>
        <w:instrText xml:space="preserve"> HYPERLINK \l _Toc13688 </w:instrText>
      </w:r>
      <w:r>
        <w:rPr>
          <w:rFonts w:cs="Arial"/>
          <w:bCs/>
          <w:spacing w:val="120"/>
        </w:rPr>
        <w:fldChar w:fldCharType="separate"/>
      </w:r>
      <w:r>
        <w:rPr>
          <w:rFonts w:hAnsi="宋体" w:eastAsia="宋体" w:cs="Arial"/>
          <w:bCs/>
          <w:szCs w:val="28"/>
        </w:rPr>
        <w:t>第二十</w:t>
      </w:r>
      <w:r>
        <w:rPr>
          <w:rFonts w:hint="eastAsia" w:hAnsi="宋体" w:eastAsia="宋体" w:cs="Arial"/>
          <w:bCs/>
          <w:szCs w:val="28"/>
        </w:rPr>
        <w:t>一</w:t>
      </w:r>
      <w:r>
        <w:rPr>
          <w:rFonts w:hAnsi="宋体" w:eastAsia="宋体" w:cs="Arial"/>
          <w:bCs/>
          <w:szCs w:val="28"/>
        </w:rPr>
        <w:t>部分  基金托管协议的内容摘要</w:t>
      </w:r>
      <w:r>
        <w:tab/>
      </w:r>
      <w:r>
        <w:rPr>
          <w:rFonts w:hint="eastAsia"/>
          <w:lang w:val="en-US" w:eastAsia="zh-CN"/>
        </w:rPr>
        <w:t>21-</w:t>
      </w:r>
      <w:r>
        <w:fldChar w:fldCharType="begin"/>
      </w:r>
      <w:r>
        <w:instrText xml:space="preserve"> PAGEREF _Toc13688 \h </w:instrText>
      </w:r>
      <w:r>
        <w:fldChar w:fldCharType="separate"/>
      </w:r>
      <w:r>
        <w:t>1</w:t>
      </w:r>
      <w:r>
        <w:fldChar w:fldCharType="end"/>
      </w:r>
      <w:r>
        <w:rPr>
          <w:rFonts w:cs="Arial"/>
          <w:bCs/>
          <w:spacing w:val="120"/>
        </w:rPr>
        <w:fldChar w:fldCharType="end"/>
      </w:r>
    </w:p>
    <w:p w14:paraId="2A0F2632">
      <w:pPr>
        <w:pStyle w:val="28"/>
        <w:tabs>
          <w:tab w:val="right" w:leader="dot" w:pos="8306"/>
          <w:tab w:val="clear" w:pos="8295"/>
        </w:tabs>
      </w:pPr>
      <w:r>
        <w:rPr>
          <w:rFonts w:cs="Arial"/>
          <w:bCs/>
          <w:spacing w:val="120"/>
        </w:rPr>
        <w:fldChar w:fldCharType="begin"/>
      </w:r>
      <w:r>
        <w:rPr>
          <w:rFonts w:cs="Arial"/>
          <w:bCs/>
          <w:spacing w:val="120"/>
        </w:rPr>
        <w:instrText xml:space="preserve"> HYPERLINK \l _Toc32672 </w:instrText>
      </w:r>
      <w:r>
        <w:rPr>
          <w:rFonts w:cs="Arial"/>
          <w:bCs/>
          <w:spacing w:val="120"/>
        </w:rPr>
        <w:fldChar w:fldCharType="separate"/>
      </w:r>
      <w:r>
        <w:rPr>
          <w:rFonts w:hAnsi="宋体" w:eastAsia="宋体" w:cs="Arial"/>
          <w:bCs/>
          <w:szCs w:val="28"/>
          <w:highlight w:val="none"/>
        </w:rPr>
        <w:t>第二十</w:t>
      </w:r>
      <w:r>
        <w:rPr>
          <w:rFonts w:hint="eastAsia" w:hAnsi="宋体" w:eastAsia="宋体" w:cs="Arial"/>
          <w:bCs/>
          <w:szCs w:val="28"/>
          <w:highlight w:val="none"/>
        </w:rPr>
        <w:t>二</w:t>
      </w:r>
      <w:r>
        <w:rPr>
          <w:rFonts w:hAnsi="宋体" w:eastAsia="宋体" w:cs="Arial"/>
          <w:bCs/>
          <w:szCs w:val="28"/>
          <w:highlight w:val="none"/>
        </w:rPr>
        <w:t>部分  对基金份额持有人的服务</w:t>
      </w:r>
      <w:r>
        <w:tab/>
      </w:r>
      <w:r>
        <w:rPr>
          <w:rFonts w:hint="eastAsia"/>
          <w:lang w:val="en-US" w:eastAsia="zh-CN"/>
        </w:rPr>
        <w:t>22-</w:t>
      </w:r>
      <w:r>
        <w:fldChar w:fldCharType="begin"/>
      </w:r>
      <w:r>
        <w:instrText xml:space="preserve"> PAGEREF _Toc32672 \h </w:instrText>
      </w:r>
      <w:r>
        <w:fldChar w:fldCharType="separate"/>
      </w:r>
      <w:r>
        <w:t>1</w:t>
      </w:r>
      <w:r>
        <w:fldChar w:fldCharType="end"/>
      </w:r>
      <w:r>
        <w:rPr>
          <w:rFonts w:cs="Arial"/>
          <w:bCs/>
          <w:spacing w:val="120"/>
        </w:rPr>
        <w:fldChar w:fldCharType="end"/>
      </w:r>
    </w:p>
    <w:p w14:paraId="043B9500">
      <w:pPr>
        <w:pStyle w:val="28"/>
        <w:tabs>
          <w:tab w:val="right" w:leader="dot" w:pos="8306"/>
          <w:tab w:val="clear" w:pos="8295"/>
        </w:tabs>
      </w:pPr>
      <w:r>
        <w:rPr>
          <w:rFonts w:cs="Arial"/>
          <w:bCs/>
          <w:spacing w:val="120"/>
        </w:rPr>
        <w:fldChar w:fldCharType="begin"/>
      </w:r>
      <w:r>
        <w:rPr>
          <w:rFonts w:cs="Arial"/>
          <w:bCs/>
          <w:spacing w:val="120"/>
        </w:rPr>
        <w:instrText xml:space="preserve"> HYPERLINK \l _Toc6418 </w:instrText>
      </w:r>
      <w:r>
        <w:rPr>
          <w:rFonts w:cs="Arial"/>
          <w:bCs/>
          <w:spacing w:val="120"/>
        </w:rPr>
        <w:fldChar w:fldCharType="separate"/>
      </w:r>
      <w:r>
        <w:rPr>
          <w:rFonts w:hAnsi="宋体" w:eastAsia="宋体" w:cs="Arial"/>
          <w:bCs/>
          <w:szCs w:val="28"/>
        </w:rPr>
        <w:t>第二十</w:t>
      </w:r>
      <w:r>
        <w:rPr>
          <w:rFonts w:hint="eastAsia" w:hAnsi="宋体" w:eastAsia="宋体" w:cs="Arial"/>
          <w:bCs/>
          <w:szCs w:val="28"/>
        </w:rPr>
        <w:t>三</w:t>
      </w:r>
      <w:r>
        <w:rPr>
          <w:rFonts w:hAnsi="宋体" w:eastAsia="宋体" w:cs="Arial"/>
          <w:bCs/>
          <w:szCs w:val="28"/>
        </w:rPr>
        <w:t>部分  招募说明书存放及查阅方式</w:t>
      </w:r>
      <w:r>
        <w:tab/>
      </w:r>
      <w:r>
        <w:rPr>
          <w:rFonts w:hint="eastAsia"/>
          <w:lang w:val="en-US" w:eastAsia="zh-CN"/>
        </w:rPr>
        <w:t>23-</w:t>
      </w:r>
      <w:r>
        <w:fldChar w:fldCharType="begin"/>
      </w:r>
      <w:r>
        <w:instrText xml:space="preserve"> PAGEREF _Toc6418 \h </w:instrText>
      </w:r>
      <w:r>
        <w:fldChar w:fldCharType="separate"/>
      </w:r>
      <w:r>
        <w:t>1</w:t>
      </w:r>
      <w:r>
        <w:fldChar w:fldCharType="end"/>
      </w:r>
      <w:r>
        <w:rPr>
          <w:rFonts w:cs="Arial"/>
          <w:bCs/>
          <w:spacing w:val="120"/>
        </w:rPr>
        <w:fldChar w:fldCharType="end"/>
      </w:r>
    </w:p>
    <w:p w14:paraId="01E83C22">
      <w:pPr>
        <w:pStyle w:val="28"/>
        <w:tabs>
          <w:tab w:val="right" w:leader="dot" w:pos="8306"/>
          <w:tab w:val="clear" w:pos="8295"/>
        </w:tabs>
      </w:pPr>
      <w:r>
        <w:rPr>
          <w:rFonts w:cs="Arial"/>
          <w:bCs/>
          <w:spacing w:val="120"/>
        </w:rPr>
        <w:fldChar w:fldCharType="begin"/>
      </w:r>
      <w:r>
        <w:rPr>
          <w:rFonts w:cs="Arial"/>
          <w:bCs/>
          <w:spacing w:val="120"/>
        </w:rPr>
        <w:instrText xml:space="preserve"> HYPERLINK \l _Toc27433 </w:instrText>
      </w:r>
      <w:r>
        <w:rPr>
          <w:rFonts w:cs="Arial"/>
          <w:bCs/>
          <w:spacing w:val="120"/>
        </w:rPr>
        <w:fldChar w:fldCharType="separate"/>
      </w:r>
      <w:r>
        <w:rPr>
          <w:rFonts w:hint="eastAsia" w:hAnsi="宋体" w:eastAsia="宋体" w:cs="Arial"/>
          <w:bCs/>
          <w:szCs w:val="28"/>
        </w:rPr>
        <w:t xml:space="preserve">第二十四部分  </w:t>
      </w:r>
      <w:r>
        <w:rPr>
          <w:rFonts w:hAnsi="宋体" w:eastAsia="宋体" w:cs="Arial"/>
          <w:bCs/>
          <w:szCs w:val="28"/>
        </w:rPr>
        <w:t>备查文件</w:t>
      </w:r>
      <w:r>
        <w:tab/>
      </w:r>
      <w:r>
        <w:rPr>
          <w:rFonts w:hint="eastAsia"/>
          <w:lang w:val="en-US" w:eastAsia="zh-CN"/>
        </w:rPr>
        <w:t>24-</w:t>
      </w:r>
      <w:r>
        <w:fldChar w:fldCharType="begin"/>
      </w:r>
      <w:r>
        <w:instrText xml:space="preserve"> PAGEREF _Toc27433 \h </w:instrText>
      </w:r>
      <w:r>
        <w:fldChar w:fldCharType="separate"/>
      </w:r>
      <w:r>
        <w:t>1</w:t>
      </w:r>
      <w:r>
        <w:fldChar w:fldCharType="end"/>
      </w:r>
      <w:r>
        <w:rPr>
          <w:rFonts w:cs="Arial"/>
          <w:bCs/>
          <w:spacing w:val="120"/>
        </w:rPr>
        <w:fldChar w:fldCharType="end"/>
      </w:r>
    </w:p>
    <w:p w14:paraId="07ADB14E">
      <w:pPr>
        <w:pStyle w:val="28"/>
        <w:rPr>
          <w:rFonts w:cs="Arial"/>
          <w:b/>
          <w:bCs/>
          <w:spacing w:val="120"/>
        </w:rPr>
        <w:sectPr>
          <w:headerReference r:id="rId5" w:type="first"/>
          <w:footerReference r:id="rId7" w:type="first"/>
          <w:footerReference r:id="rId6" w:type="default"/>
          <w:pgSz w:w="11906" w:h="16838"/>
          <w:pgMar w:top="1440" w:right="1800" w:bottom="1440" w:left="1800" w:header="851" w:footer="992" w:gutter="0"/>
          <w:pgNumType w:start="1"/>
          <w:cols w:space="720" w:num="1"/>
          <w:titlePg/>
          <w:docGrid w:linePitch="312" w:charSpace="0"/>
        </w:sectPr>
      </w:pPr>
      <w:r>
        <w:rPr>
          <w:rFonts w:cs="Arial"/>
          <w:bCs/>
          <w:spacing w:val="120"/>
        </w:rPr>
        <w:fldChar w:fldCharType="end"/>
      </w:r>
    </w:p>
    <w:p w14:paraId="6D2ACDC5">
      <w:pPr>
        <w:pStyle w:val="2"/>
        <w:snapToGrid w:val="0"/>
        <w:spacing w:before="0" w:after="0" w:line="360" w:lineRule="auto"/>
        <w:ind w:firstLine="141" w:firstLineChars="50"/>
        <w:rPr>
          <w:rFonts w:hAnsi="宋体" w:eastAsia="宋体" w:cs="Arial"/>
          <w:b/>
          <w:bCs/>
          <w:sz w:val="28"/>
          <w:szCs w:val="28"/>
        </w:rPr>
        <w:sectPr>
          <w:footerReference r:id="rId9" w:type="first"/>
          <w:footerReference r:id="rId8" w:type="default"/>
          <w:type w:val="continuous"/>
          <w:pgSz w:w="11906" w:h="16838"/>
          <w:pgMar w:top="1440" w:right="1800" w:bottom="1440" w:left="1800" w:header="851" w:footer="992" w:gutter="0"/>
          <w:cols w:space="720" w:num="1"/>
          <w:titlePg/>
          <w:docGrid w:linePitch="312" w:charSpace="0"/>
        </w:sectPr>
      </w:pPr>
    </w:p>
    <w:p w14:paraId="529CF515">
      <w:pPr>
        <w:pStyle w:val="2"/>
        <w:snapToGrid w:val="0"/>
        <w:spacing w:before="0" w:after="0" w:line="360" w:lineRule="auto"/>
        <w:ind w:firstLine="141" w:firstLineChars="50"/>
        <w:rPr>
          <w:rFonts w:hAnsi="宋体" w:eastAsia="宋体" w:cs="Arial"/>
          <w:b/>
          <w:bCs/>
          <w:sz w:val="28"/>
          <w:szCs w:val="28"/>
        </w:rPr>
      </w:pPr>
      <w:bookmarkStart w:id="2" w:name="_Toc10449"/>
      <w:r>
        <w:rPr>
          <w:rFonts w:hAnsi="宋体" w:eastAsia="宋体" w:cs="Arial"/>
          <w:b/>
          <w:bCs/>
          <w:sz w:val="28"/>
          <w:szCs w:val="28"/>
        </w:rPr>
        <w:t>第一部分  绪言</w:t>
      </w:r>
      <w:bookmarkEnd w:id="2"/>
    </w:p>
    <w:p w14:paraId="560F36B6">
      <w:pPr>
        <w:autoSpaceDE w:val="0"/>
        <w:autoSpaceDN w:val="0"/>
        <w:adjustRightInd w:val="0"/>
        <w:snapToGrid w:val="0"/>
        <w:spacing w:line="360" w:lineRule="auto"/>
        <w:ind w:firstLine="420" w:firstLineChars="200"/>
        <w:rPr>
          <w:rFonts w:ascii="宋体" w:hAnsi="宋体" w:cs="Arial"/>
          <w:szCs w:val="21"/>
        </w:rPr>
      </w:pPr>
    </w:p>
    <w:p w14:paraId="4A5DFEF9">
      <w:pPr>
        <w:spacing w:line="360" w:lineRule="auto"/>
        <w:ind w:firstLine="420" w:firstLineChars="200"/>
        <w:rPr>
          <w:rFonts w:ascii="宋体" w:hAnsi="宋体" w:cs="Arial"/>
        </w:rPr>
      </w:pPr>
      <w:r>
        <w:rPr>
          <w:rFonts w:ascii="宋体" w:hAnsi="宋体" w:cs="Arial"/>
        </w:rPr>
        <w:t>《</w:t>
      </w:r>
      <w:r>
        <w:rPr>
          <w:rFonts w:hint="eastAsia" w:ascii="宋体" w:hAnsi="宋体" w:cs="Arial"/>
        </w:rPr>
        <w:t>博时恒生港股通</w:t>
      </w:r>
      <w:r>
        <w:rPr>
          <w:rFonts w:hint="eastAsia" w:ascii="宋体" w:hAnsi="宋体" w:cs="Arial"/>
          <w:lang w:eastAsia="zh-CN"/>
        </w:rPr>
        <w:t>红利</w:t>
      </w:r>
      <w:r>
        <w:rPr>
          <w:rFonts w:hint="eastAsia" w:ascii="宋体" w:hAnsi="宋体" w:cs="Arial"/>
        </w:rPr>
        <w:t>低波动交易型开放式指数证券投资基金</w:t>
      </w:r>
      <w:r>
        <w:rPr>
          <w:rFonts w:ascii="宋体" w:hAnsi="宋体" w:cs="Arial"/>
        </w:rPr>
        <w:t>招募说明书》（以下简称</w:t>
      </w:r>
      <w:r>
        <w:rPr>
          <w:rFonts w:hint="eastAsia" w:ascii="宋体" w:hAnsi="宋体" w:cs="Arial"/>
        </w:rPr>
        <w:t>“</w:t>
      </w:r>
      <w:r>
        <w:rPr>
          <w:rFonts w:ascii="宋体" w:hAnsi="宋体" w:cs="Arial"/>
        </w:rPr>
        <w:t>招募说明书</w:t>
      </w:r>
      <w:r>
        <w:rPr>
          <w:rFonts w:hint="eastAsia" w:ascii="宋体" w:hAnsi="宋体" w:cs="Arial"/>
        </w:rPr>
        <w:t>”</w:t>
      </w:r>
      <w:r>
        <w:rPr>
          <w:rFonts w:ascii="宋体" w:hAnsi="宋体" w:cs="Arial"/>
        </w:rPr>
        <w:t>或</w:t>
      </w:r>
      <w:r>
        <w:rPr>
          <w:rFonts w:hint="eastAsia" w:ascii="宋体" w:hAnsi="宋体" w:cs="Arial"/>
        </w:rPr>
        <w:t>“</w:t>
      </w:r>
      <w:r>
        <w:rPr>
          <w:rFonts w:ascii="宋体" w:hAnsi="宋体" w:cs="Arial"/>
        </w:rPr>
        <w:t>本招募说明书</w:t>
      </w:r>
      <w:r>
        <w:rPr>
          <w:rFonts w:hint="eastAsia" w:ascii="宋体" w:hAnsi="宋体" w:cs="Arial"/>
        </w:rPr>
        <w:t>”</w:t>
      </w:r>
      <w:r>
        <w:rPr>
          <w:rFonts w:ascii="宋体" w:hAnsi="宋体" w:cs="Arial"/>
        </w:rPr>
        <w:t>）依照</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《中华人民共和国证券法》(以下简称“《证券法》”)、</w:t>
      </w:r>
      <w:r>
        <w:rPr>
          <w:rFonts w:ascii="宋体" w:hAnsi="宋体" w:cs="Arial"/>
        </w:rPr>
        <w:t>《中华人民共和国证券投资基金法》（以下简称</w:t>
      </w:r>
      <w:r>
        <w:rPr>
          <w:rFonts w:hint="eastAsia" w:ascii="宋体" w:hAnsi="宋体" w:cs="Arial"/>
        </w:rPr>
        <w:t>“</w:t>
      </w:r>
      <w:r>
        <w:rPr>
          <w:rFonts w:ascii="宋体" w:hAnsi="宋体" w:cs="Arial"/>
        </w:rPr>
        <w:t>《基金法》</w:t>
      </w:r>
      <w:r>
        <w:rPr>
          <w:rFonts w:hint="eastAsia" w:ascii="宋体" w:hAnsi="宋体" w:cs="Arial"/>
        </w:rPr>
        <w:t>”</w:t>
      </w:r>
      <w:r>
        <w:rPr>
          <w:rFonts w:ascii="宋体" w:hAnsi="宋体" w:cs="Arial"/>
        </w:rPr>
        <w:t>）、《</w:t>
      </w:r>
      <w:r>
        <w:rPr>
          <w:rFonts w:hint="eastAsia" w:ascii="宋体" w:hAnsi="宋体" w:cs="Arial"/>
        </w:rPr>
        <w:t>公开募集证券投资基金运作管理办法</w:t>
      </w:r>
      <w:r>
        <w:rPr>
          <w:rFonts w:ascii="宋体" w:hAnsi="宋体" w:cs="Arial"/>
        </w:rPr>
        <w:t>》（以下简称</w:t>
      </w:r>
      <w:r>
        <w:rPr>
          <w:rFonts w:hint="eastAsia" w:ascii="宋体" w:hAnsi="宋体" w:cs="Arial"/>
        </w:rPr>
        <w:t>“</w:t>
      </w:r>
      <w:r>
        <w:rPr>
          <w:rFonts w:ascii="宋体" w:hAnsi="宋体" w:cs="Arial"/>
        </w:rPr>
        <w:t>《运作办法》</w:t>
      </w:r>
      <w:r>
        <w:rPr>
          <w:rFonts w:hint="eastAsia" w:ascii="宋体" w:hAnsi="宋体" w:cs="Arial"/>
        </w:rPr>
        <w:t>”</w:t>
      </w:r>
      <w:r>
        <w:rPr>
          <w:rFonts w:ascii="宋体" w:hAnsi="宋体" w:cs="Arial"/>
        </w:rPr>
        <w:t>）、《</w:t>
      </w:r>
      <w:r>
        <w:rPr>
          <w:rFonts w:hint="eastAsia" w:ascii="宋体" w:hAnsi="宋体" w:cs="Arial"/>
        </w:rPr>
        <w:t>公开募集</w:t>
      </w:r>
      <w:r>
        <w:rPr>
          <w:rFonts w:ascii="宋体" w:hAnsi="宋体" w:cs="Arial"/>
        </w:rPr>
        <w:t>证券投资基金销售</w:t>
      </w:r>
      <w:r>
        <w:rPr>
          <w:rFonts w:hint="eastAsia" w:ascii="宋体" w:hAnsi="宋体" w:cs="Arial"/>
        </w:rPr>
        <w:t>机构监督</w:t>
      </w:r>
      <w:r>
        <w:rPr>
          <w:rFonts w:ascii="宋体" w:hAnsi="宋体" w:cs="Arial"/>
        </w:rPr>
        <w:t>管理办法》（以下简称</w:t>
      </w:r>
      <w:r>
        <w:rPr>
          <w:rFonts w:hint="eastAsia" w:ascii="宋体" w:hAnsi="宋体" w:cs="Arial"/>
        </w:rPr>
        <w:t>“</w:t>
      </w:r>
      <w:r>
        <w:rPr>
          <w:rFonts w:ascii="宋体" w:hAnsi="宋体" w:cs="Arial"/>
        </w:rPr>
        <w:t>《销售办法》</w:t>
      </w:r>
      <w:r>
        <w:rPr>
          <w:rFonts w:hint="eastAsia" w:ascii="宋体" w:hAnsi="宋体" w:cs="Arial"/>
        </w:rPr>
        <w:t>”</w:t>
      </w:r>
      <w:r>
        <w:rPr>
          <w:rFonts w:ascii="宋体" w:hAnsi="宋体" w:cs="Arial"/>
        </w:rPr>
        <w:t>）、《</w:t>
      </w:r>
      <w:r>
        <w:rPr>
          <w:rFonts w:hint="eastAsia" w:ascii="宋体" w:hAnsi="宋体" w:cs="Arial"/>
        </w:rPr>
        <w:t>公开</w:t>
      </w:r>
      <w:r>
        <w:rPr>
          <w:rFonts w:ascii="宋体" w:hAnsi="宋体" w:cs="Arial"/>
        </w:rPr>
        <w:t>募集证券投资基金信息披露管理办法》（以下简称</w:t>
      </w:r>
      <w:r>
        <w:rPr>
          <w:rFonts w:hint="eastAsia" w:ascii="宋体" w:hAnsi="宋体" w:cs="Arial"/>
        </w:rPr>
        <w:t>“</w:t>
      </w:r>
      <w:r>
        <w:rPr>
          <w:rFonts w:ascii="宋体" w:hAnsi="宋体" w:cs="Arial"/>
        </w:rPr>
        <w:t>《信息披露办法》</w:t>
      </w:r>
      <w:r>
        <w:rPr>
          <w:rFonts w:hint="eastAsia" w:ascii="宋体" w:hAnsi="宋体" w:cs="Arial"/>
        </w:rPr>
        <w:t>”</w:t>
      </w:r>
      <w:r>
        <w:rPr>
          <w:rFonts w:ascii="宋体" w:hAnsi="宋体" w:cs="Arial"/>
        </w:rPr>
        <w:t>）</w:t>
      </w:r>
      <w:r>
        <w:rPr>
          <w:rFonts w:hint="eastAsia" w:ascii="宋体" w:hAnsi="宋体" w:cs="Arial"/>
        </w:rPr>
        <w:t>、</w:t>
      </w:r>
      <w:r>
        <w:rPr>
          <w:rFonts w:hint="eastAsia" w:ascii="宋体" w:hAnsi="宋体"/>
        </w:rPr>
        <w:t>《公开募集开放式证券投资基金流动性风险管理规定》（以下简称“《流动性风险管理规定》”）、</w:t>
      </w:r>
      <w:r>
        <w:rPr>
          <w:rFonts w:hint="eastAsia" w:ascii="Arial" w:hAnsi="ˎ̥" w:cs="Arial"/>
          <w:bCs/>
          <w:szCs w:val="21"/>
        </w:rPr>
        <w:t>《公开募集证券投资基金</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运作指引第3号—</w:t>
      </w:r>
      <w:r>
        <w:rPr>
          <w:rFonts w:hint="eastAsia" w:ascii="Arial" w:hAnsi="ˎ̥" w:cs="Arial"/>
          <w:bCs/>
          <w:szCs w:val="21"/>
        </w:rPr>
        <w:t>—指数基金指引》（以下简称“《指数基金指引》”）</w:t>
      </w:r>
      <w:r>
        <w:rPr>
          <w:rFonts w:ascii="宋体" w:hAnsi="宋体" w:cs="Arial"/>
        </w:rPr>
        <w:t>以及《</w:t>
      </w:r>
      <w:r>
        <w:rPr>
          <w:rFonts w:hint="eastAsia" w:ascii="宋体" w:hAnsi="宋体" w:cs="Arial"/>
        </w:rPr>
        <w:t>博时恒生港股通</w:t>
      </w:r>
      <w:r>
        <w:rPr>
          <w:rFonts w:hint="eastAsia" w:ascii="宋体" w:hAnsi="宋体" w:cs="Arial"/>
          <w:lang w:eastAsia="zh-CN"/>
        </w:rPr>
        <w:t>红利</w:t>
      </w:r>
      <w:r>
        <w:rPr>
          <w:rFonts w:hint="eastAsia" w:ascii="宋体" w:hAnsi="宋体" w:cs="Arial"/>
        </w:rPr>
        <w:t>低波动交易型开放式指数证券投资基金</w:t>
      </w:r>
      <w:r>
        <w:rPr>
          <w:rFonts w:ascii="宋体" w:hAnsi="宋体" w:cs="Arial"/>
        </w:rPr>
        <w:t>基金合同》（以下简称</w:t>
      </w:r>
      <w:r>
        <w:rPr>
          <w:rFonts w:hint="eastAsia" w:ascii="宋体" w:hAnsi="宋体" w:cs="Arial"/>
        </w:rPr>
        <w:t>“</w:t>
      </w:r>
      <w:r>
        <w:rPr>
          <w:rFonts w:ascii="宋体" w:hAnsi="宋体" w:cs="Arial"/>
        </w:rPr>
        <w:t>基金合同</w:t>
      </w:r>
      <w:r>
        <w:rPr>
          <w:rFonts w:hint="eastAsia" w:ascii="宋体" w:hAnsi="宋体" w:cs="Arial"/>
        </w:rPr>
        <w:t>”或“《基金合同》”</w:t>
      </w:r>
      <w:r>
        <w:rPr>
          <w:rFonts w:ascii="宋体" w:hAnsi="宋体" w:cs="Arial"/>
        </w:rPr>
        <w:t>）编写。</w:t>
      </w:r>
    </w:p>
    <w:p w14:paraId="45DAA029">
      <w:pPr>
        <w:adjustRightInd w:val="0"/>
        <w:snapToGrid w:val="0"/>
        <w:spacing w:line="360" w:lineRule="auto"/>
        <w:ind w:firstLine="420" w:firstLineChars="200"/>
        <w:rPr>
          <w:rFonts w:ascii="宋体" w:hAnsi="宋体" w:cs="Arial"/>
        </w:rPr>
      </w:pPr>
      <w:r>
        <w:rPr>
          <w:rFonts w:hint="eastAsia" w:ascii="宋体" w:hAnsi="宋体" w:cs="Arial"/>
        </w:rPr>
        <w:t>本招募说明书阐述了博时恒生港股通</w:t>
      </w:r>
      <w:r>
        <w:rPr>
          <w:rFonts w:hint="eastAsia" w:ascii="宋体" w:hAnsi="宋体" w:cs="Arial"/>
          <w:lang w:eastAsia="zh-CN"/>
        </w:rPr>
        <w:t>红利</w:t>
      </w:r>
      <w:r>
        <w:rPr>
          <w:rFonts w:hint="eastAsia" w:ascii="宋体" w:hAnsi="宋体" w:cs="Arial"/>
        </w:rPr>
        <w:t>低波动交易型开放式指数证券投资基金的投资目标、策略、风险、费率等与投资人投资决策有关的必要事项，投资人在作出投资决策前应仔细阅读本招募说明书。</w:t>
      </w:r>
    </w:p>
    <w:p w14:paraId="30D84307">
      <w:pPr>
        <w:adjustRightInd w:val="0"/>
        <w:snapToGrid w:val="0"/>
        <w:spacing w:line="360" w:lineRule="auto"/>
        <w:ind w:firstLine="420" w:firstLineChars="200"/>
        <w:rPr>
          <w:rFonts w:ascii="宋体" w:hAnsi="宋体" w:cs="Arial"/>
        </w:rPr>
      </w:pPr>
      <w:r>
        <w:rPr>
          <w:rFonts w:ascii="宋体" w:hAnsi="宋体" w:cs="Arial"/>
        </w:rPr>
        <w:t>基金管理人承诺本招募说明书不存在任何虚假记载、误导性陈述或重大遗漏，并对其真实性、准确性、完整性承担法律责任。</w:t>
      </w:r>
    </w:p>
    <w:p w14:paraId="022A7AF5">
      <w:pPr>
        <w:adjustRightInd w:val="0"/>
        <w:snapToGrid w:val="0"/>
        <w:spacing w:line="360" w:lineRule="auto"/>
        <w:ind w:firstLine="420" w:firstLineChars="200"/>
        <w:rPr>
          <w:rFonts w:ascii="宋体" w:hAnsi="宋体" w:cs="Arial"/>
        </w:rPr>
      </w:pPr>
      <w:r>
        <w:rPr>
          <w:rFonts w:hint="eastAsia" w:ascii="宋体" w:hAnsi="宋体" w:cs="Arial"/>
        </w:rPr>
        <w:t>博时恒生港股通</w:t>
      </w:r>
      <w:r>
        <w:rPr>
          <w:rFonts w:hint="eastAsia" w:ascii="宋体" w:hAnsi="宋体" w:cs="Arial"/>
          <w:lang w:eastAsia="zh-CN"/>
        </w:rPr>
        <w:t>红利</w:t>
      </w:r>
      <w:r>
        <w:rPr>
          <w:rFonts w:hint="eastAsia" w:ascii="宋体" w:hAnsi="宋体" w:cs="Arial"/>
        </w:rPr>
        <w:t>低波动交易型开放式指数证券投资基金</w:t>
      </w:r>
      <w:r>
        <w:rPr>
          <w:rFonts w:ascii="宋体" w:hAnsi="宋体" w:cs="Arial"/>
        </w:rPr>
        <w:t>（以下简称“基金”或“本基金”）是根据本招募说明书所载明的资料申请募集的。本基金管理人没有委托或授权任何其他人提供未在本招募说明书中载明的信息，或对本招募说明书作任何解释或者说明。</w:t>
      </w:r>
    </w:p>
    <w:p w14:paraId="3DBFB4DF">
      <w:pPr>
        <w:spacing w:line="360" w:lineRule="auto"/>
        <w:ind w:firstLine="420" w:firstLineChars="200"/>
        <w:rPr>
          <w:rFonts w:ascii="宋体" w:hAnsi="宋体" w:cs="Arial"/>
        </w:rPr>
      </w:pPr>
      <w:r>
        <w:rPr>
          <w:rFonts w:ascii="宋体" w:hAnsi="宋体" w:cs="Arial"/>
        </w:rPr>
        <w:t>本招募说明书根据本基金的基金合同编写，并经中国证券监督管理委员会（以下简称</w:t>
      </w:r>
      <w:r>
        <w:rPr>
          <w:rFonts w:hint="eastAsia" w:ascii="宋体" w:hAnsi="宋体" w:cs="Arial"/>
        </w:rPr>
        <w:t>“</w:t>
      </w:r>
      <w:r>
        <w:rPr>
          <w:rFonts w:ascii="宋体" w:hAnsi="宋体" w:cs="Arial"/>
        </w:rPr>
        <w:t>中国证监会</w:t>
      </w:r>
      <w:r>
        <w:rPr>
          <w:rFonts w:hint="eastAsia" w:ascii="宋体" w:hAnsi="宋体" w:cs="Arial"/>
        </w:rPr>
        <w:t>”</w:t>
      </w:r>
      <w:r>
        <w:rPr>
          <w:rFonts w:ascii="宋体" w:hAnsi="宋体" w:cs="Arial"/>
        </w:rPr>
        <w:t>）</w:t>
      </w:r>
      <w:r>
        <w:rPr>
          <w:rFonts w:hint="eastAsia" w:ascii="宋体" w:hAnsi="宋体" w:cs="Arial"/>
        </w:rPr>
        <w:t>注册</w:t>
      </w:r>
      <w:r>
        <w:rPr>
          <w:rFonts w:ascii="宋体" w:hAnsi="宋体" w:cs="Arial"/>
        </w:rPr>
        <w:t>。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14:paraId="7962BC9C">
      <w:pPr>
        <w:spacing w:line="360" w:lineRule="auto"/>
        <w:ind w:firstLine="562" w:firstLineChars="200"/>
        <w:rPr>
          <w:rFonts w:ascii="宋体" w:hAnsi="宋体" w:cs="Arial"/>
          <w:b/>
          <w:bCs/>
          <w:sz w:val="28"/>
          <w:szCs w:val="28"/>
        </w:rPr>
        <w:sectPr>
          <w:headerReference r:id="rId10" w:type="first"/>
          <w:footerReference r:id="rId11" w:type="first"/>
          <w:pgSz w:w="11906" w:h="16838"/>
          <w:pgMar w:top="1440" w:right="1800" w:bottom="1440" w:left="1800" w:header="851" w:footer="992" w:gutter="0"/>
          <w:pgNumType w:start="1"/>
          <w:cols w:space="720" w:num="1"/>
          <w:titlePg/>
          <w:docGrid w:linePitch="312" w:charSpace="0"/>
        </w:sectPr>
      </w:pPr>
      <w:bookmarkStart w:id="3" w:name="_Toc214873591"/>
    </w:p>
    <w:p w14:paraId="1680EDE7">
      <w:pPr>
        <w:pStyle w:val="2"/>
        <w:snapToGrid w:val="0"/>
        <w:spacing w:before="0" w:after="0" w:line="360" w:lineRule="auto"/>
        <w:ind w:firstLine="141" w:firstLineChars="50"/>
        <w:rPr>
          <w:rFonts w:hAnsi="宋体" w:eastAsia="宋体" w:cs="Arial"/>
          <w:b/>
          <w:bCs/>
          <w:sz w:val="28"/>
          <w:szCs w:val="28"/>
        </w:rPr>
      </w:pPr>
      <w:bookmarkStart w:id="4" w:name="_Toc26474"/>
      <w:r>
        <w:rPr>
          <w:rFonts w:hAnsi="宋体" w:eastAsia="宋体" w:cs="Arial"/>
          <w:b/>
          <w:bCs/>
          <w:sz w:val="28"/>
          <w:szCs w:val="28"/>
        </w:rPr>
        <w:t>第二部分  释义</w:t>
      </w:r>
      <w:bookmarkEnd w:id="3"/>
      <w:bookmarkEnd w:id="4"/>
    </w:p>
    <w:p w14:paraId="386F4014">
      <w:pPr>
        <w:spacing w:line="360" w:lineRule="auto"/>
        <w:rPr>
          <w:rFonts w:ascii="宋体" w:hAnsi="宋体"/>
        </w:rPr>
      </w:pPr>
    </w:p>
    <w:p w14:paraId="57C17ECF">
      <w:pPr>
        <w:autoSpaceDE w:val="0"/>
        <w:autoSpaceDN w:val="0"/>
        <w:adjustRightInd w:val="0"/>
        <w:snapToGrid w:val="0"/>
        <w:spacing w:line="360" w:lineRule="auto"/>
        <w:ind w:firstLine="420" w:firstLineChars="200"/>
        <w:rPr>
          <w:rFonts w:ascii="宋体" w:hAnsi="宋体" w:cs="Arial"/>
          <w:szCs w:val="21"/>
        </w:rPr>
      </w:pPr>
      <w:r>
        <w:rPr>
          <w:rFonts w:ascii="宋体" w:hAnsi="宋体" w:cs="Arial"/>
          <w:szCs w:val="21"/>
        </w:rPr>
        <w:t>在本招募说明书中，除非文</w:t>
      </w:r>
      <w:r>
        <w:rPr>
          <w:rFonts w:hint="eastAsia" w:ascii="宋体" w:hAnsi="宋体" w:cs="Arial"/>
          <w:szCs w:val="21"/>
        </w:rPr>
        <w:t>意</w:t>
      </w:r>
      <w:r>
        <w:rPr>
          <w:rFonts w:ascii="宋体" w:hAnsi="宋体" w:cs="Arial"/>
          <w:szCs w:val="21"/>
        </w:rPr>
        <w:t>另有所指，下列词语</w:t>
      </w:r>
      <w:r>
        <w:rPr>
          <w:rFonts w:hint="eastAsia" w:ascii="宋体" w:hAnsi="宋体" w:cs="Arial"/>
          <w:szCs w:val="21"/>
        </w:rPr>
        <w:t>或简称</w:t>
      </w:r>
      <w:r>
        <w:rPr>
          <w:rFonts w:ascii="宋体" w:hAnsi="宋体" w:cs="Arial"/>
          <w:szCs w:val="21"/>
        </w:rPr>
        <w:t>具有以下含义：</w:t>
      </w:r>
    </w:p>
    <w:p w14:paraId="56EE4994">
      <w:pPr>
        <w:autoSpaceDE w:val="0"/>
        <w:autoSpaceDN w:val="0"/>
        <w:adjustRightInd w:val="0"/>
        <w:snapToGrid w:val="0"/>
        <w:spacing w:line="360" w:lineRule="auto"/>
        <w:ind w:firstLine="420" w:firstLineChars="200"/>
        <w:rPr>
          <w:rFonts w:ascii="宋体" w:hAnsi="宋体" w:cs="Arial"/>
          <w:szCs w:val="21"/>
        </w:rPr>
      </w:pPr>
      <w:r>
        <w:rPr>
          <w:rFonts w:hint="eastAsia" w:ascii="宋体" w:hAnsi="宋体" w:cs="Arial"/>
          <w:szCs w:val="21"/>
        </w:rPr>
        <w:t>1.基金或本基金：指博时恒生港股通</w:t>
      </w:r>
      <w:r>
        <w:rPr>
          <w:rFonts w:hint="eastAsia" w:ascii="宋体" w:hAnsi="宋体" w:cs="Arial"/>
          <w:szCs w:val="21"/>
          <w:lang w:eastAsia="zh-CN"/>
        </w:rPr>
        <w:t>红利</w:t>
      </w:r>
      <w:r>
        <w:rPr>
          <w:rFonts w:hint="eastAsia" w:ascii="宋体" w:hAnsi="宋体" w:cs="Arial"/>
          <w:szCs w:val="21"/>
        </w:rPr>
        <w:t>低波动交易型开放式指数证券投资基金</w:t>
      </w:r>
    </w:p>
    <w:p w14:paraId="0B84F1E9">
      <w:pPr>
        <w:autoSpaceDE w:val="0"/>
        <w:autoSpaceDN w:val="0"/>
        <w:adjustRightInd w:val="0"/>
        <w:snapToGrid w:val="0"/>
        <w:spacing w:line="360" w:lineRule="auto"/>
        <w:ind w:firstLine="420" w:firstLineChars="200"/>
        <w:rPr>
          <w:rFonts w:ascii="宋体" w:hAnsi="宋体" w:cs="Arial"/>
          <w:szCs w:val="21"/>
        </w:rPr>
      </w:pPr>
      <w:r>
        <w:rPr>
          <w:rFonts w:hint="eastAsia" w:ascii="宋体" w:hAnsi="宋体" w:cs="Arial"/>
          <w:szCs w:val="21"/>
        </w:rPr>
        <w:t>2.基金管理人：指博时基金管理有限公司</w:t>
      </w:r>
    </w:p>
    <w:p w14:paraId="39DA27CB">
      <w:pPr>
        <w:autoSpaceDE w:val="0"/>
        <w:autoSpaceDN w:val="0"/>
        <w:adjustRightInd w:val="0"/>
        <w:snapToGrid w:val="0"/>
        <w:spacing w:line="360" w:lineRule="auto"/>
        <w:ind w:firstLine="420" w:firstLineChars="200"/>
        <w:rPr>
          <w:rFonts w:ascii="宋体" w:hAnsi="宋体" w:cs="Arial"/>
          <w:szCs w:val="21"/>
        </w:rPr>
      </w:pPr>
      <w:r>
        <w:rPr>
          <w:rFonts w:hint="eastAsia" w:ascii="宋体" w:hAnsi="宋体" w:cs="Arial"/>
          <w:szCs w:val="21"/>
        </w:rPr>
        <w:t>3.基金托管人：指广发银行股份有限公司</w:t>
      </w:r>
    </w:p>
    <w:p w14:paraId="6A9CB836">
      <w:pPr>
        <w:autoSpaceDE w:val="0"/>
        <w:autoSpaceDN w:val="0"/>
        <w:adjustRightInd w:val="0"/>
        <w:snapToGrid w:val="0"/>
        <w:spacing w:line="360" w:lineRule="auto"/>
        <w:ind w:firstLine="420" w:firstLineChars="200"/>
        <w:rPr>
          <w:rFonts w:ascii="宋体" w:hAnsi="宋体" w:cs="Arial"/>
          <w:szCs w:val="21"/>
        </w:rPr>
      </w:pPr>
      <w:r>
        <w:rPr>
          <w:rFonts w:hint="eastAsia" w:ascii="宋体" w:hAnsi="宋体" w:cs="Arial"/>
          <w:szCs w:val="21"/>
        </w:rPr>
        <w:t>4.基金合同：指《博时恒生港股通</w:t>
      </w:r>
      <w:r>
        <w:rPr>
          <w:rFonts w:hint="eastAsia" w:ascii="宋体" w:hAnsi="宋体" w:cs="Arial"/>
          <w:szCs w:val="21"/>
          <w:lang w:eastAsia="zh-CN"/>
        </w:rPr>
        <w:t>红利</w:t>
      </w:r>
      <w:r>
        <w:rPr>
          <w:rFonts w:hint="eastAsia" w:ascii="宋体" w:hAnsi="宋体" w:cs="Arial"/>
          <w:szCs w:val="21"/>
        </w:rPr>
        <w:t>低波动交易型开放式指数证券投资基金基金合同》及对基金合同的任何有效修订和补充</w:t>
      </w:r>
    </w:p>
    <w:p w14:paraId="11156A04">
      <w:pPr>
        <w:autoSpaceDE w:val="0"/>
        <w:autoSpaceDN w:val="0"/>
        <w:adjustRightInd w:val="0"/>
        <w:snapToGrid w:val="0"/>
        <w:spacing w:line="360" w:lineRule="auto"/>
        <w:ind w:firstLine="420" w:firstLineChars="200"/>
        <w:rPr>
          <w:rFonts w:ascii="宋体" w:hAnsi="宋体" w:cs="Arial"/>
          <w:szCs w:val="21"/>
        </w:rPr>
      </w:pPr>
      <w:r>
        <w:rPr>
          <w:rFonts w:hint="eastAsia" w:ascii="宋体" w:hAnsi="宋体" w:cs="Arial"/>
          <w:szCs w:val="21"/>
        </w:rPr>
        <w:t>5.托管协议：指基金管理人与基金托管人就本基金签订之《博时恒生港股通</w:t>
      </w:r>
      <w:r>
        <w:rPr>
          <w:rFonts w:hint="eastAsia" w:ascii="宋体" w:hAnsi="宋体" w:cs="Arial"/>
          <w:szCs w:val="21"/>
          <w:lang w:eastAsia="zh-CN"/>
        </w:rPr>
        <w:t>红利</w:t>
      </w:r>
      <w:r>
        <w:rPr>
          <w:rFonts w:hint="eastAsia" w:ascii="宋体" w:hAnsi="宋体" w:cs="Arial"/>
          <w:szCs w:val="21"/>
        </w:rPr>
        <w:t>低波动交易型开放式指数证券投资基金托管协议》及对该托管协议的任何有效修订和补充</w:t>
      </w:r>
    </w:p>
    <w:p w14:paraId="2956ECCC">
      <w:pPr>
        <w:autoSpaceDE w:val="0"/>
        <w:autoSpaceDN w:val="0"/>
        <w:adjustRightInd w:val="0"/>
        <w:snapToGrid w:val="0"/>
        <w:spacing w:line="360" w:lineRule="auto"/>
        <w:ind w:firstLine="420" w:firstLineChars="200"/>
        <w:rPr>
          <w:rFonts w:ascii="宋体" w:hAnsi="宋体" w:cs="Arial"/>
          <w:szCs w:val="21"/>
        </w:rPr>
      </w:pPr>
      <w:r>
        <w:rPr>
          <w:rFonts w:hint="eastAsia" w:ascii="宋体" w:hAnsi="宋体" w:cs="Arial"/>
          <w:szCs w:val="21"/>
        </w:rPr>
        <w:t>6.招募说明书或本</w:t>
      </w:r>
      <w:r>
        <w:rPr>
          <w:rFonts w:ascii="宋体" w:hAnsi="宋体" w:cs="Arial"/>
          <w:szCs w:val="21"/>
        </w:rPr>
        <w:t>招募说明书</w:t>
      </w:r>
      <w:r>
        <w:rPr>
          <w:rFonts w:hint="eastAsia" w:ascii="宋体" w:hAnsi="宋体" w:cs="Arial"/>
          <w:szCs w:val="21"/>
        </w:rPr>
        <w:t>：指《博时恒生港股通</w:t>
      </w:r>
      <w:r>
        <w:rPr>
          <w:rFonts w:hint="eastAsia" w:ascii="宋体" w:hAnsi="宋体" w:cs="Arial"/>
          <w:szCs w:val="21"/>
          <w:lang w:eastAsia="zh-CN"/>
        </w:rPr>
        <w:t>红利</w:t>
      </w:r>
      <w:r>
        <w:rPr>
          <w:rFonts w:hint="eastAsia" w:ascii="宋体" w:hAnsi="宋体" w:cs="Arial"/>
          <w:szCs w:val="21"/>
        </w:rPr>
        <w:t>低波动交易型开放式指数证券投资基金招募说明书》及其更新</w:t>
      </w:r>
    </w:p>
    <w:p w14:paraId="504F17E1">
      <w:pPr>
        <w:autoSpaceDE w:val="0"/>
        <w:autoSpaceDN w:val="0"/>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宋体" w:hAnsi="宋体" w:cs="Arial"/>
          <w:szCs w:val="21"/>
        </w:rPr>
        <w:t>7.</w:t>
      </w:r>
      <w:r>
        <w:rPr>
          <w:rFonts w:hint="eastAsia" w:asciiTheme="minorEastAsia" w:hAnsiTheme="minorEastAsia"/>
          <w:color w:val="0D0D0D" w:themeColor="text1" w:themeTint="F2"/>
          <w14:textFill>
            <w14:solidFill>
              <w14:schemeClr w14:val="tx1">
                <w14:lumMod w14:val="95000"/>
                <w14:lumOff w14:val="5000"/>
              </w14:schemeClr>
            </w14:solidFill>
          </w14:textFill>
        </w:rPr>
        <w:t>基金产品资料概要：指《博时恒生港股通</w:t>
      </w:r>
      <w:r>
        <w:rPr>
          <w:rFonts w:hint="eastAsia" w:asciiTheme="minorEastAsia" w:hAnsiTheme="minorEastAsia"/>
          <w:color w:val="0D0D0D" w:themeColor="text1" w:themeTint="F2"/>
          <w:lang w:eastAsia="zh-CN"/>
          <w14:textFill>
            <w14:solidFill>
              <w14:schemeClr w14:val="tx1">
                <w14:lumMod w14:val="95000"/>
                <w14:lumOff w14:val="5000"/>
              </w14:schemeClr>
            </w14:solidFill>
          </w14:textFill>
        </w:rPr>
        <w:t>红利</w:t>
      </w:r>
      <w:r>
        <w:rPr>
          <w:rFonts w:hint="eastAsia" w:asciiTheme="minorEastAsia" w:hAnsiTheme="minorEastAsia"/>
          <w:color w:val="0D0D0D" w:themeColor="text1" w:themeTint="F2"/>
          <w14:textFill>
            <w14:solidFill>
              <w14:schemeClr w14:val="tx1">
                <w14:lumMod w14:val="95000"/>
                <w14:lumOff w14:val="5000"/>
              </w14:schemeClr>
            </w14:solidFill>
          </w14:textFill>
        </w:rPr>
        <w:t>低波动交易型开放式指数证券投资基金基金产品资料概要》及其更新</w:t>
      </w:r>
    </w:p>
    <w:p w14:paraId="79D7694A">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8.基金份额发售公告：指</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《博时恒生港股通</w:t>
      </w:r>
      <w:r>
        <w:rPr>
          <w:rFonts w:hint="eastAsia" w:cs="Arial" w:asciiTheme="minorEastAsia" w:hAnsiTheme="minorEastAsia" w:eastAsiaTheme="minorEastAsia"/>
          <w:bCs/>
          <w:color w:val="0D0D0D" w:themeColor="text1" w:themeTint="F2"/>
          <w:szCs w:val="21"/>
          <w:lang w:eastAsia="zh-CN"/>
          <w14:textFill>
            <w14:solidFill>
              <w14:schemeClr w14:val="tx1">
                <w14:lumMod w14:val="95000"/>
                <w14:lumOff w14:val="5000"/>
              </w14:schemeClr>
            </w14:solidFill>
          </w14:textFill>
        </w:rPr>
        <w:t>红利</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低波动交易型开放式指数证券投资基金基金份额发售公告》</w:t>
      </w:r>
    </w:p>
    <w:p w14:paraId="5B12C0C6">
      <w:pPr>
        <w:snapToGrid w:val="0"/>
        <w:spacing w:line="360" w:lineRule="auto"/>
        <w:ind w:firstLine="420" w:firstLineChars="20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9.上市交易公告书：指《博时恒生港股通</w:t>
      </w:r>
      <w:r>
        <w:rPr>
          <w:rFonts w:hint="eastAsia" w:cs="Arial" w:asciiTheme="minorEastAsia" w:hAnsiTheme="minorEastAsia" w:eastAsiaTheme="minorEastAsia"/>
          <w:bCs/>
          <w:color w:val="0D0D0D" w:themeColor="text1" w:themeTint="F2"/>
          <w:szCs w:val="21"/>
          <w:lang w:eastAsia="zh-CN"/>
          <w14:textFill>
            <w14:solidFill>
              <w14:schemeClr w14:val="tx1">
                <w14:lumMod w14:val="95000"/>
                <w14:lumOff w14:val="5000"/>
              </w14:schemeClr>
            </w14:solidFill>
          </w14:textFill>
        </w:rPr>
        <w:t>红利</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低波动交易型开放式指数证券投资基金基金份额上市交易公告书》</w:t>
      </w:r>
    </w:p>
    <w:p w14:paraId="39EC063C">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10.法律法规：指中国现行有效并公布实施的法律、行政法规、规范性文件、司法解释、行政规章以及其他对基金合同当事人有约束力的决定、决议、通知等</w:t>
      </w:r>
    </w:p>
    <w:p w14:paraId="773C8B3E">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11.《基金法》：指</w:t>
      </w:r>
      <w:r>
        <w:rPr>
          <w:rFonts w:asciiTheme="minorEastAsia" w:hAnsiTheme="minorEastAsia"/>
          <w:color w:val="0D0D0D" w:themeColor="text1" w:themeTint="F2"/>
          <w14:textFill>
            <w14:solidFill>
              <w14:schemeClr w14:val="tx1">
                <w14:lumMod w14:val="95000"/>
                <w14:lumOff w14:val="5000"/>
              </w14:schemeClr>
            </w14:solidFill>
          </w14:textFill>
        </w:rPr>
        <w:t>2003</w:t>
      </w:r>
      <w:r>
        <w:rPr>
          <w:rFonts w:hint="eastAsia" w:asciiTheme="minorEastAsia" w:hAnsiTheme="minorEastAsia"/>
          <w:color w:val="0D0D0D" w:themeColor="text1" w:themeTint="F2"/>
          <w14:textFill>
            <w14:solidFill>
              <w14:schemeClr w14:val="tx1">
                <w14:lumMod w14:val="95000"/>
                <w14:lumOff w14:val="5000"/>
              </w14:schemeClr>
            </w14:solidFill>
          </w14:textFill>
        </w:rPr>
        <w:t>年</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月</w:t>
      </w:r>
      <w:r>
        <w:rPr>
          <w:rFonts w:asciiTheme="minorEastAsia" w:hAnsiTheme="minorEastAsia"/>
          <w:color w:val="0D0D0D" w:themeColor="text1" w:themeTint="F2"/>
          <w14:textFill>
            <w14:solidFill>
              <w14:schemeClr w14:val="tx1">
                <w14:lumMod w14:val="95000"/>
                <w14:lumOff w14:val="5000"/>
              </w14:schemeClr>
            </w14:solidFill>
          </w14:textFill>
        </w:rPr>
        <w:t>28</w:t>
      </w:r>
      <w:r>
        <w:rPr>
          <w:rFonts w:hint="eastAsia" w:asciiTheme="minorEastAsia" w:hAnsiTheme="minorEastAsia"/>
          <w:color w:val="0D0D0D" w:themeColor="text1" w:themeTint="F2"/>
          <w14:textFill>
            <w14:solidFill>
              <w14:schemeClr w14:val="tx1">
                <w14:lumMod w14:val="95000"/>
                <w14:lumOff w14:val="5000"/>
              </w14:schemeClr>
            </w14:solidFill>
          </w14:textFill>
        </w:rPr>
        <w:t>日经第十届全国人民代表大会常务委员会第五次会议通过，经</w:t>
      </w:r>
      <w:r>
        <w:rPr>
          <w:rFonts w:asciiTheme="minorEastAsia" w:hAnsiTheme="minorEastAsia"/>
          <w:color w:val="0D0D0D" w:themeColor="text1" w:themeTint="F2"/>
          <w14:textFill>
            <w14:solidFill>
              <w14:schemeClr w14:val="tx1">
                <w14:lumMod w14:val="95000"/>
                <w14:lumOff w14:val="5000"/>
              </w14:schemeClr>
            </w14:solidFill>
          </w14:textFill>
        </w:rPr>
        <w:t>2012</w:t>
      </w:r>
      <w:r>
        <w:rPr>
          <w:rFonts w:hint="eastAsia" w:asciiTheme="minorEastAsia" w:hAnsiTheme="minorEastAsia"/>
          <w:color w:val="0D0D0D" w:themeColor="text1" w:themeTint="F2"/>
          <w14:textFill>
            <w14:solidFill>
              <w14:schemeClr w14:val="tx1">
                <w14:lumMod w14:val="95000"/>
                <w14:lumOff w14:val="5000"/>
              </w14:schemeClr>
            </w14:solidFill>
          </w14:textFill>
        </w:rPr>
        <w:t>年</w:t>
      </w:r>
      <w:r>
        <w:rPr>
          <w:rFonts w:asciiTheme="minorEastAsia" w:hAnsiTheme="minorEastAsia"/>
          <w:color w:val="0D0D0D" w:themeColor="text1" w:themeTint="F2"/>
          <w14:textFill>
            <w14:solidFill>
              <w14:schemeClr w14:val="tx1">
                <w14:lumMod w14:val="95000"/>
                <w14:lumOff w14:val="5000"/>
              </w14:schemeClr>
            </w14:solidFill>
          </w14:textFill>
        </w:rPr>
        <w:t>12</w:t>
      </w:r>
      <w:r>
        <w:rPr>
          <w:rFonts w:hint="eastAsia" w:asciiTheme="minorEastAsia" w:hAnsiTheme="minorEastAsia"/>
          <w:color w:val="0D0D0D" w:themeColor="text1" w:themeTint="F2"/>
          <w14:textFill>
            <w14:solidFill>
              <w14:schemeClr w14:val="tx1">
                <w14:lumMod w14:val="95000"/>
                <w14:lumOff w14:val="5000"/>
              </w14:schemeClr>
            </w14:solidFill>
          </w14:textFill>
        </w:rPr>
        <w:t>月</w:t>
      </w:r>
      <w:r>
        <w:rPr>
          <w:rFonts w:asciiTheme="minorEastAsia" w:hAnsiTheme="minorEastAsia"/>
          <w:color w:val="0D0D0D" w:themeColor="text1" w:themeTint="F2"/>
          <w14:textFill>
            <w14:solidFill>
              <w14:schemeClr w14:val="tx1">
                <w14:lumMod w14:val="95000"/>
                <w14:lumOff w14:val="5000"/>
              </w14:schemeClr>
            </w14:solidFill>
          </w14:textFill>
        </w:rPr>
        <w:t>28</w:t>
      </w:r>
      <w:r>
        <w:rPr>
          <w:rFonts w:hint="eastAsia" w:asciiTheme="minorEastAsia" w:hAnsiTheme="minorEastAsia"/>
          <w:color w:val="0D0D0D" w:themeColor="text1" w:themeTint="F2"/>
          <w14:textFill>
            <w14:solidFill>
              <w14:schemeClr w14:val="tx1">
                <w14:lumMod w14:val="95000"/>
                <w14:lumOff w14:val="5000"/>
              </w14:schemeClr>
            </w14:solidFill>
          </w14:textFill>
        </w:rPr>
        <w:t>日第十一届全国人民代表大会常务委员会第三十次会议修订，自</w:t>
      </w:r>
      <w:r>
        <w:rPr>
          <w:rFonts w:asciiTheme="minorEastAsia" w:hAnsiTheme="minorEastAsia"/>
          <w:color w:val="0D0D0D" w:themeColor="text1" w:themeTint="F2"/>
          <w14:textFill>
            <w14:solidFill>
              <w14:schemeClr w14:val="tx1">
                <w14:lumMod w14:val="95000"/>
                <w14:lumOff w14:val="5000"/>
              </w14:schemeClr>
            </w14:solidFill>
          </w14:textFill>
        </w:rPr>
        <w:t>2013</w:t>
      </w:r>
      <w:r>
        <w:rPr>
          <w:rFonts w:hint="eastAsia" w:asciiTheme="minorEastAsia" w:hAnsiTheme="minorEastAsia"/>
          <w:color w:val="0D0D0D" w:themeColor="text1" w:themeTint="F2"/>
          <w14:textFill>
            <w14:solidFill>
              <w14:schemeClr w14:val="tx1">
                <w14:lumMod w14:val="95000"/>
                <w14:lumOff w14:val="5000"/>
              </w14:schemeClr>
            </w14:solidFill>
          </w14:textFill>
        </w:rPr>
        <w:t>年</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月</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日起实施，并经</w:t>
      </w:r>
      <w:r>
        <w:rPr>
          <w:rFonts w:asciiTheme="minorEastAsia" w:hAnsiTheme="minorEastAsia"/>
          <w:color w:val="0D0D0D" w:themeColor="text1" w:themeTint="F2"/>
          <w14:textFill>
            <w14:solidFill>
              <w14:schemeClr w14:val="tx1">
                <w14:lumMod w14:val="95000"/>
                <w14:lumOff w14:val="5000"/>
              </w14:schemeClr>
            </w14:solidFill>
          </w14:textFill>
        </w:rPr>
        <w:t>2015</w:t>
      </w:r>
      <w:r>
        <w:rPr>
          <w:rFonts w:hint="eastAsia" w:asciiTheme="minorEastAsia" w:hAnsiTheme="minorEastAsia"/>
          <w:color w:val="0D0D0D" w:themeColor="text1" w:themeTint="F2"/>
          <w14:textFill>
            <w14:solidFill>
              <w14:schemeClr w14:val="tx1">
                <w14:lumMod w14:val="95000"/>
                <w14:lumOff w14:val="5000"/>
              </w14:schemeClr>
            </w14:solidFill>
          </w14:textFill>
        </w:rPr>
        <w:t>年</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月</w:t>
      </w:r>
      <w:r>
        <w:rPr>
          <w:rFonts w:asciiTheme="minorEastAsia" w:hAnsiTheme="minorEastAsia"/>
          <w:color w:val="0D0D0D" w:themeColor="text1" w:themeTint="F2"/>
          <w14:textFill>
            <w14:solidFill>
              <w14:schemeClr w14:val="tx1">
                <w14:lumMod w14:val="95000"/>
                <w14:lumOff w14:val="5000"/>
              </w14:schemeClr>
            </w14:solidFill>
          </w14:textFill>
        </w:rPr>
        <w:t>24</w:t>
      </w:r>
      <w:r>
        <w:rPr>
          <w:rFonts w:hint="eastAsia" w:asciiTheme="minorEastAsia" w:hAnsiTheme="minorEastAsia"/>
          <w:color w:val="0D0D0D" w:themeColor="text1" w:themeTint="F2"/>
          <w14:textFill>
            <w14:solidFill>
              <w14:schemeClr w14:val="tx1">
                <w14:lumMod w14:val="95000"/>
                <w14:lumOff w14:val="5000"/>
              </w14:schemeClr>
            </w14:solidFill>
          </w14:textFill>
        </w:rPr>
        <w:t>日第十二届全国人民代表大会常务委员会第十四次会议《全国人民代表大会常务委员会关于修改</w:t>
      </w:r>
      <w:r>
        <w:rPr>
          <w:rFonts w:asciiTheme="minorEastAsia" w:hAnsiTheme="minorEastAsia"/>
          <w:color w:val="0D0D0D" w:themeColor="text1" w:themeTint="F2"/>
          <w14:textFill>
            <w14:solidFill>
              <w14:schemeClr w14:val="tx1">
                <w14:lumMod w14:val="95000"/>
                <w14:lumOff w14:val="5000"/>
              </w14:schemeClr>
            </w14:solidFill>
          </w14:textFill>
        </w:rPr>
        <w:t>&lt;</w:t>
      </w:r>
      <w:r>
        <w:rPr>
          <w:rFonts w:hint="eastAsia" w:asciiTheme="minorEastAsia" w:hAnsiTheme="minorEastAsia"/>
          <w:color w:val="0D0D0D" w:themeColor="text1" w:themeTint="F2"/>
          <w14:textFill>
            <w14:solidFill>
              <w14:schemeClr w14:val="tx1">
                <w14:lumMod w14:val="95000"/>
                <w14:lumOff w14:val="5000"/>
              </w14:schemeClr>
            </w14:solidFill>
          </w14:textFill>
        </w:rPr>
        <w:t>中华人民共和国港口法</w:t>
      </w:r>
      <w:r>
        <w:rPr>
          <w:rFonts w:asciiTheme="minorEastAsia" w:hAnsiTheme="minorEastAsia"/>
          <w:color w:val="0D0D0D" w:themeColor="text1" w:themeTint="F2"/>
          <w14:textFill>
            <w14:solidFill>
              <w14:schemeClr w14:val="tx1">
                <w14:lumMod w14:val="95000"/>
                <w14:lumOff w14:val="5000"/>
              </w14:schemeClr>
            </w14:solidFill>
          </w14:textFill>
        </w:rPr>
        <w:t>&gt;</w:t>
      </w:r>
      <w:r>
        <w:rPr>
          <w:rFonts w:hint="eastAsia" w:asciiTheme="minorEastAsia" w:hAnsiTheme="minorEastAsia"/>
          <w:color w:val="0D0D0D" w:themeColor="text1" w:themeTint="F2"/>
          <w14:textFill>
            <w14:solidFill>
              <w14:schemeClr w14:val="tx1">
                <w14:lumMod w14:val="95000"/>
                <w14:lumOff w14:val="5000"/>
              </w14:schemeClr>
            </w14:solidFill>
          </w14:textFill>
        </w:rPr>
        <w:t>等七部法律的决定》修正的《中华人民共和国证券投资基金法》及颁布机关对其不时做出的修订</w:t>
      </w:r>
    </w:p>
    <w:p w14:paraId="52A55761">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12.《销售办法》：指中国证监会</w:t>
      </w:r>
      <w:r>
        <w:rPr>
          <w:rFonts w:asciiTheme="minorEastAsia" w:hAnsiTheme="minorEastAsia"/>
          <w:color w:val="0D0D0D" w:themeColor="text1" w:themeTint="F2"/>
          <w14:textFill>
            <w14:solidFill>
              <w14:schemeClr w14:val="tx1">
                <w14:lumMod w14:val="95000"/>
                <w14:lumOff w14:val="5000"/>
              </w14:schemeClr>
            </w14:solidFill>
          </w14:textFill>
        </w:rPr>
        <w:t>20</w:t>
      </w:r>
      <w:r>
        <w:rPr>
          <w:rFonts w:hint="eastAsia" w:asciiTheme="minorEastAsia" w:hAnsiTheme="minorEastAsia"/>
          <w:color w:val="0D0D0D" w:themeColor="text1" w:themeTint="F2"/>
          <w14:textFill>
            <w14:solidFill>
              <w14:schemeClr w14:val="tx1">
                <w14:lumMod w14:val="95000"/>
                <w14:lumOff w14:val="5000"/>
              </w14:schemeClr>
            </w14:solidFill>
          </w14:textFill>
        </w:rPr>
        <w:t>20年8月28日颁布、同年10月</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日实施的《公开募集证券投资基金销售机构监督管理办法》及颁布机关对其不时做出的修订</w:t>
      </w:r>
    </w:p>
    <w:p w14:paraId="5538A368">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13.《信息披露办法》：指中国证监会2019年7月26日颁布、同年</w:t>
      </w:r>
      <w:r>
        <w:rPr>
          <w:rFonts w:asciiTheme="minorEastAsia" w:hAnsiTheme="minorEastAsia"/>
          <w:color w:val="0D0D0D" w:themeColor="text1" w:themeTint="F2"/>
          <w14:textFill>
            <w14:solidFill>
              <w14:schemeClr w14:val="tx1">
                <w14:lumMod w14:val="95000"/>
                <w14:lumOff w14:val="5000"/>
              </w14:schemeClr>
            </w14:solidFill>
          </w14:textFill>
        </w:rPr>
        <w:t>9</w:t>
      </w:r>
      <w:r>
        <w:rPr>
          <w:rFonts w:hint="eastAsia" w:asciiTheme="minorEastAsia" w:hAnsiTheme="minorEastAsia"/>
          <w:color w:val="0D0D0D" w:themeColor="text1" w:themeTint="F2"/>
          <w14:textFill>
            <w14:solidFill>
              <w14:schemeClr w14:val="tx1">
                <w14:lumMod w14:val="95000"/>
                <w14:lumOff w14:val="5000"/>
              </w14:schemeClr>
            </w14:solidFill>
          </w14:textFill>
        </w:rPr>
        <w:t>月</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日实施，并经2020年3月20日中国证监会《关于修改部分证券期货规章的决定》修正的《公开募集证券投资基金信息披露管理办法》及颁布机关对其不时做出的修订</w:t>
      </w:r>
    </w:p>
    <w:p w14:paraId="6FCE434C">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14.《运作办法》：指中国证监会</w:t>
      </w:r>
      <w:r>
        <w:rPr>
          <w:rFonts w:asciiTheme="minorEastAsia" w:hAnsiTheme="minorEastAsia"/>
          <w:color w:val="0D0D0D" w:themeColor="text1" w:themeTint="F2"/>
          <w14:textFill>
            <w14:solidFill>
              <w14:schemeClr w14:val="tx1">
                <w14:lumMod w14:val="95000"/>
                <w14:lumOff w14:val="5000"/>
              </w14:schemeClr>
            </w14:solidFill>
          </w14:textFill>
        </w:rPr>
        <w:t>2014</w:t>
      </w:r>
      <w:r>
        <w:rPr>
          <w:rFonts w:hint="eastAsia" w:asciiTheme="minorEastAsia" w:hAnsiTheme="minorEastAsia"/>
          <w:color w:val="0D0D0D" w:themeColor="text1" w:themeTint="F2"/>
          <w14:textFill>
            <w14:solidFill>
              <w14:schemeClr w14:val="tx1">
                <w14:lumMod w14:val="95000"/>
                <w14:lumOff w14:val="5000"/>
              </w14:schemeClr>
            </w14:solidFill>
          </w14:textFill>
        </w:rPr>
        <w:t>年</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月</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日颁布、同年</w:t>
      </w: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月</w:t>
      </w: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日实施的《公开募集证券投资基金运作管理办法》及颁布机关对其不时做出的修订</w:t>
      </w:r>
    </w:p>
    <w:p w14:paraId="7BBB1A43">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15.《流动性风险管理规定》：指中国证监会</w:t>
      </w:r>
      <w:r>
        <w:rPr>
          <w:rFonts w:asciiTheme="minorEastAsia" w:hAnsiTheme="minorEastAsia"/>
          <w:color w:val="0D0D0D" w:themeColor="text1" w:themeTint="F2"/>
          <w14:textFill>
            <w14:solidFill>
              <w14:schemeClr w14:val="tx1">
                <w14:lumMod w14:val="95000"/>
                <w14:lumOff w14:val="5000"/>
              </w14:schemeClr>
            </w14:solidFill>
          </w14:textFill>
        </w:rPr>
        <w:t>2017</w:t>
      </w:r>
      <w:r>
        <w:rPr>
          <w:rFonts w:hint="eastAsia" w:asciiTheme="minorEastAsia" w:hAnsiTheme="minorEastAsia"/>
          <w:color w:val="0D0D0D" w:themeColor="text1" w:themeTint="F2"/>
          <w14:textFill>
            <w14:solidFill>
              <w14:schemeClr w14:val="tx1">
                <w14:lumMod w14:val="95000"/>
                <w14:lumOff w14:val="5000"/>
              </w14:schemeClr>
            </w14:solidFill>
          </w14:textFill>
        </w:rPr>
        <w:t>年</w:t>
      </w: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月</w:t>
      </w:r>
      <w:r>
        <w:rPr>
          <w:rFonts w:asciiTheme="minorEastAsia" w:hAnsiTheme="minorEastAsia"/>
          <w:color w:val="0D0D0D" w:themeColor="text1" w:themeTint="F2"/>
          <w14:textFill>
            <w14:solidFill>
              <w14:schemeClr w14:val="tx1">
                <w14:lumMod w14:val="95000"/>
                <w14:lumOff w14:val="5000"/>
              </w14:schemeClr>
            </w14:solidFill>
          </w14:textFill>
        </w:rPr>
        <w:t>31</w:t>
      </w:r>
      <w:r>
        <w:rPr>
          <w:rFonts w:hint="eastAsia" w:asciiTheme="minorEastAsia" w:hAnsiTheme="minorEastAsia"/>
          <w:color w:val="0D0D0D" w:themeColor="text1" w:themeTint="F2"/>
          <w14:textFill>
            <w14:solidFill>
              <w14:schemeClr w14:val="tx1">
                <w14:lumMod w14:val="95000"/>
                <w14:lumOff w14:val="5000"/>
              </w14:schemeClr>
            </w14:solidFill>
          </w14:textFill>
        </w:rPr>
        <w:t>日颁布、同年</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月</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日实施的《公开募集开放式证券投资基金流动性风险管理规定》及颁布机关对其不时做出的修订</w:t>
      </w:r>
    </w:p>
    <w:p w14:paraId="5383EDFE">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16.《指数基金指引》：指中国证监会2021年1月22日颁布、同年2月1日实施的《公开募集证券投资基金运作指引第3号——指数基金指引》及颁布机关对其不时做出的修订</w:t>
      </w:r>
    </w:p>
    <w:p w14:paraId="3FE93F51">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17.业务规则：指上海证券交易所、登记机构、基金管理人及销售机构的相关业务规则及其不时做出的修订</w:t>
      </w:r>
    </w:p>
    <w:p w14:paraId="00D6CDE7">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18.中国证监会：指中国证券监督管理委员会</w:t>
      </w:r>
    </w:p>
    <w:p w14:paraId="398B4B78">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19.银行业监督管理机构：指中国人民银行和/或国家金融监督管理总局</w:t>
      </w:r>
    </w:p>
    <w:p w14:paraId="7A1F9CB7">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20.</w:t>
      </w:r>
      <w:r>
        <w:rPr>
          <w:rFonts w:hint="eastAsia" w:asciiTheme="minorEastAsia" w:hAnsiTheme="minorEastAsia"/>
          <w:color w:val="0D0D0D" w:themeColor="text1" w:themeTint="F2"/>
          <w14:textFill>
            <w14:solidFill>
              <w14:schemeClr w14:val="tx1">
                <w14:lumMod w14:val="95000"/>
                <w14:lumOff w14:val="5000"/>
              </w14:schemeClr>
            </w14:solidFill>
          </w14:textFill>
        </w:rPr>
        <w:t>基金合同当事人：指受基金合同约束，根据基金合同享有权利并承担义务的法律主体，包括基金管理人、基金托管人和基金份额持有人</w:t>
      </w:r>
    </w:p>
    <w:p w14:paraId="2AB840D6">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.个人投资者：指依据有关法律法规规定可投资于证券投资基金的自然人</w:t>
      </w:r>
    </w:p>
    <w:p w14:paraId="310C287E">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.机构投资者：指依法可以投资证券投资基金的、在中华人民共和国境内合法登记并存续或经有关政府部门批准设立并存续的企业法人、事业法人、社会团体或其他组织</w:t>
      </w:r>
    </w:p>
    <w:p w14:paraId="0E61B844">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合格境外投资者：指符合《合格境外机构投资者和人民币合格境外机构投资者境内证券期货投资管理办法》（及颁布机关对其不时做出的修订）及相关法律法规规定，经中国证监会批准，使用来自境外的资金进行境内证券期货投资的境外机构投资者，包括合格境外机构投资者和人民币合格境外机构投资者。</w:t>
      </w:r>
    </w:p>
    <w:p w14:paraId="2F843A43">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.投资人、投资者：指个人投资者、机构投资者、合格境外投资者以及法律法规或中国证监会允许购买证券投资基金的其他投资人的合称</w:t>
      </w:r>
    </w:p>
    <w:p w14:paraId="5C4DE670">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.基金份额持有人：指依基金合同和招募说明书合法取得基金份额的投资人</w:t>
      </w:r>
    </w:p>
    <w:p w14:paraId="46E01A6D">
      <w:pPr>
        <w:snapToGrid w:val="0"/>
        <w:spacing w:line="360" w:lineRule="auto"/>
        <w:ind w:firstLine="420" w:firstLineChars="20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2</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6</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.发售代理机构</w:t>
      </w:r>
      <w:r>
        <w:rPr>
          <w:rFonts w:hint="eastAsia" w:asciiTheme="minorEastAsia" w:hAnsiTheme="minorEastAsia"/>
          <w:color w:val="0D0D0D" w:themeColor="text1" w:themeTint="F2"/>
          <w14:textFill>
            <w14:solidFill>
              <w14:schemeClr w14:val="tx1">
                <w14:lumMod w14:val="95000"/>
                <w14:lumOff w14:val="5000"/>
              </w14:schemeClr>
            </w14:solidFill>
          </w14:textFill>
        </w:rPr>
        <w:t>：指</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符合《销售办法》和中国证监会规定的其他条件，由</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指定的代理本基金发售业务的</w:t>
      </w:r>
      <w:r>
        <w:rPr>
          <w:rFonts w:hint="eastAsia" w:asciiTheme="minorEastAsia" w:hAnsiTheme="minorEastAsia"/>
          <w:color w:val="0D0D0D" w:themeColor="text1" w:themeTint="F2"/>
          <w14:textFill>
            <w14:solidFill>
              <w14:schemeClr w14:val="tx1">
                <w14:lumMod w14:val="95000"/>
                <w14:lumOff w14:val="5000"/>
              </w14:schemeClr>
            </w14:solidFill>
          </w14:textFill>
        </w:rPr>
        <w:t>机构</w:t>
      </w:r>
    </w:p>
    <w:p w14:paraId="3D5E7C31">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2</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7</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.申购、赎回代理券商：指</w:t>
      </w:r>
      <w:r>
        <w:rPr>
          <w:rFonts w:hint="eastAsia" w:asciiTheme="minorEastAsia" w:hAnsiTheme="minorEastAsia"/>
          <w:color w:val="0D0D0D" w:themeColor="text1" w:themeTint="F2"/>
          <w14:textFill>
            <w14:solidFill>
              <w14:schemeClr w14:val="tx1">
                <w14:lumMod w14:val="95000"/>
                <w14:lumOff w14:val="5000"/>
              </w14:schemeClr>
            </w14:solidFill>
          </w14:textFill>
        </w:rPr>
        <w:t>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管理人指定的，在</w:t>
      </w:r>
      <w:r>
        <w:rPr>
          <w:rFonts w:hint="eastAsia" w:asciiTheme="minorEastAsia" w:hAnsiTheme="minorEastAsia"/>
          <w:color w:val="0D0D0D" w:themeColor="text1" w:themeTint="F2"/>
          <w14:textFill>
            <w14:solidFill>
              <w14:schemeClr w14:val="tx1">
                <w14:lumMod w14:val="95000"/>
                <w14:lumOff w14:val="5000"/>
              </w14:schemeClr>
            </w14:solidFill>
          </w14:textFill>
        </w:rPr>
        <w:t>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合同生效后代理</w:t>
      </w:r>
      <w:r>
        <w:rPr>
          <w:rFonts w:hint="eastAsia" w:asciiTheme="minorEastAsia" w:hAnsiTheme="minorEastAsia"/>
          <w:color w:val="0D0D0D" w:themeColor="text1" w:themeTint="F2"/>
          <w14:textFill>
            <w14:solidFill>
              <w14:schemeClr w14:val="tx1">
                <w14:lumMod w14:val="95000"/>
                <w14:lumOff w14:val="5000"/>
              </w14:schemeClr>
            </w14:solidFill>
          </w14:textFill>
        </w:rPr>
        <w:t>办理</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本</w:t>
      </w:r>
      <w:r>
        <w:rPr>
          <w:rFonts w:hint="eastAsia" w:asciiTheme="minorEastAsia" w:hAnsiTheme="minorEastAsia"/>
          <w:color w:val="0D0D0D" w:themeColor="text1" w:themeTint="F2"/>
          <w14:textFill>
            <w14:solidFill>
              <w14:schemeClr w14:val="tx1">
                <w14:lumMod w14:val="95000"/>
                <w14:lumOff w14:val="5000"/>
              </w14:schemeClr>
            </w14:solidFill>
          </w14:textFill>
        </w:rPr>
        <w:t>基金申购、赎回业务</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的证券公司，又称为代办证券公司</w:t>
      </w:r>
    </w:p>
    <w:p w14:paraId="34C709FE">
      <w:pPr>
        <w:snapToGrid w:val="0"/>
        <w:spacing w:line="360" w:lineRule="auto"/>
        <w:ind w:firstLine="420" w:firstLineChars="20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2</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8</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.直销</w:t>
      </w:r>
      <w:r>
        <w:rPr>
          <w:rFonts w:hint="eastAsia" w:asciiTheme="minorEastAsia" w:hAnsiTheme="minorEastAsia"/>
          <w:color w:val="0D0D0D" w:themeColor="text1" w:themeTint="F2"/>
          <w14:textFill>
            <w14:solidFill>
              <w14:schemeClr w14:val="tx1">
                <w14:lumMod w14:val="95000"/>
                <w14:lumOff w14:val="5000"/>
              </w14:schemeClr>
            </w14:solidFill>
          </w14:textFill>
        </w:rPr>
        <w:t>机构：指</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博时</w:t>
      </w:r>
      <w:r>
        <w:rPr>
          <w:rFonts w:hint="eastAsia" w:asciiTheme="minorEastAsia" w:hAnsiTheme="minorEastAsia"/>
          <w:color w:val="0D0D0D" w:themeColor="text1" w:themeTint="F2"/>
          <w14:textFill>
            <w14:solidFill>
              <w14:schemeClr w14:val="tx1">
                <w14:lumMod w14:val="95000"/>
                <w14:lumOff w14:val="5000"/>
              </w14:schemeClr>
            </w14:solidFill>
          </w14:textFill>
        </w:rPr>
        <w:t>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管理有限公司</w:t>
      </w:r>
    </w:p>
    <w:p w14:paraId="4BB01B10">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2</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9</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.代销机构：指</w:t>
      </w:r>
      <w:r>
        <w:rPr>
          <w:rFonts w:hint="eastAsia" w:asciiTheme="minorEastAsia" w:hAnsiTheme="minorEastAsia"/>
          <w:color w:val="0D0D0D" w:themeColor="text1" w:themeTint="F2"/>
          <w14:textFill>
            <w14:solidFill>
              <w14:schemeClr w14:val="tx1">
                <w14:lumMod w14:val="95000"/>
                <w14:lumOff w14:val="5000"/>
              </w14:schemeClr>
            </w14:solidFill>
          </w14:textFill>
        </w:rPr>
        <w:t>符合《销售办法》和中国证监会规定的其他条件，取得基金销售业务资格并与基金管理人签订了基金销售服务协议，办理基金销售业务的机构</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，包括发售代理机构和申购、赎回代理券商（代办证券公司）</w:t>
      </w:r>
    </w:p>
    <w:p w14:paraId="1F1DC1CE">
      <w:pPr>
        <w:snapToGrid w:val="0"/>
        <w:spacing w:line="360" w:lineRule="auto"/>
        <w:ind w:firstLine="420" w:firstLineChars="20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30</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.销售机构：指直销机构与代销机构</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 xml:space="preserve"> </w:t>
      </w:r>
    </w:p>
    <w:p w14:paraId="142782EB">
      <w:pPr>
        <w:snapToGrid w:val="0"/>
        <w:spacing w:line="360" w:lineRule="auto"/>
        <w:ind w:firstLine="420" w:firstLineChars="20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.登记机构：指办理登记业务的机构。</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本基金的登记机构为中国证券登记结算有限责任公司</w:t>
      </w:r>
    </w:p>
    <w:p w14:paraId="3897F849">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.登记业务：指基金登记、存管、过户、清算和结算业务，具体内容包括</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投资者</w:t>
      </w:r>
      <w:r>
        <w:rPr>
          <w:rFonts w:hint="eastAsia" w:asciiTheme="minorEastAsia" w:hAnsiTheme="minorEastAsia"/>
          <w:color w:val="0D0D0D" w:themeColor="text1" w:themeTint="F2"/>
          <w14:textFill>
            <w14:solidFill>
              <w14:schemeClr w14:val="tx1">
                <w14:lumMod w14:val="95000"/>
                <w14:lumOff w14:val="5000"/>
              </w14:schemeClr>
            </w14:solidFill>
          </w14:textFill>
        </w:rPr>
        <w:t>账户的建立和管理、基金份额登记、基金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交易</w:t>
      </w:r>
      <w:r>
        <w:rPr>
          <w:rFonts w:hint="eastAsia" w:asciiTheme="minorEastAsia" w:hAnsiTheme="minorEastAsia"/>
          <w:color w:val="0D0D0D" w:themeColor="text1" w:themeTint="F2"/>
          <w14:textFill>
            <w14:solidFill>
              <w14:schemeClr w14:val="tx1">
                <w14:lumMod w14:val="95000"/>
                <w14:lumOff w14:val="5000"/>
              </w14:schemeClr>
            </w14:solidFill>
          </w14:textFill>
        </w:rPr>
        <w:t>的确认、清算和结算、代理发放红利、建立并保管基金份额持有人名册和办理非交易过户等</w:t>
      </w:r>
    </w:p>
    <w:p w14:paraId="696ED30F">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.基金合同生效日：指基金募集达到法律法规规定及基金合同规定的条件，基金管理人向中国证监会办理基金备案手续完毕，并获得中国证监会书面确认的日期</w:t>
      </w:r>
    </w:p>
    <w:p w14:paraId="00B5F762">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.基金合同终止日：指基金合同规定的基金合同终止事由出现后，基金财产清算完毕，清算结果报中国证监会备案并予以公告的日期</w:t>
      </w:r>
    </w:p>
    <w:p w14:paraId="5EB198F1">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.基金募集期：指自基金份额发售之日起至发售结束之日止的期间，最长不得超过</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个月</w:t>
      </w:r>
    </w:p>
    <w:p w14:paraId="5F3F1B73">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.存续期：指基金合同生效至终止之间的不定期期限</w:t>
      </w:r>
    </w:p>
    <w:p w14:paraId="4238AB9F">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.工作日：指上海证券交易所、深圳证券交易所的正常交易日</w:t>
      </w:r>
    </w:p>
    <w:p w14:paraId="062A1031">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w:t>
      </w: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T</w:t>
      </w:r>
      <w:r>
        <w:rPr>
          <w:rFonts w:hint="eastAsia" w:asciiTheme="minorEastAsia" w:hAnsiTheme="minorEastAsia"/>
          <w:color w:val="0D0D0D" w:themeColor="text1" w:themeTint="F2"/>
          <w14:textFill>
            <w14:solidFill>
              <w14:schemeClr w14:val="tx1">
                <w14:lumMod w14:val="95000"/>
                <w14:lumOff w14:val="5000"/>
              </w14:schemeClr>
            </w14:solidFill>
          </w14:textFill>
        </w:rPr>
        <w:t>日：指销售机构在规定时间受理投资人申购、赎回或其他业务申请的开放日</w:t>
      </w:r>
    </w:p>
    <w:p w14:paraId="021EA948">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w:t>
      </w:r>
      <w:r>
        <w:rPr>
          <w:rFonts w:asciiTheme="minorEastAsia" w:hAnsiTheme="minorEastAsia"/>
          <w:color w:val="0D0D0D" w:themeColor="text1" w:themeTint="F2"/>
          <w14:textFill>
            <w14:solidFill>
              <w14:schemeClr w14:val="tx1">
                <w14:lumMod w14:val="95000"/>
                <w14:lumOff w14:val="5000"/>
              </w14:schemeClr>
            </w14:solidFill>
          </w14:textFill>
        </w:rPr>
        <w:t>9</w:t>
      </w: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T+n</w:t>
      </w:r>
      <w:r>
        <w:rPr>
          <w:rFonts w:hint="eastAsia" w:asciiTheme="minorEastAsia" w:hAnsiTheme="minorEastAsia"/>
          <w:color w:val="0D0D0D" w:themeColor="text1" w:themeTint="F2"/>
          <w14:textFill>
            <w14:solidFill>
              <w14:schemeClr w14:val="tx1">
                <w14:lumMod w14:val="95000"/>
                <w14:lumOff w14:val="5000"/>
              </w14:schemeClr>
            </w14:solidFill>
          </w14:textFill>
        </w:rPr>
        <w:t>日：指自</w:t>
      </w:r>
      <w:r>
        <w:rPr>
          <w:rFonts w:asciiTheme="minorEastAsia" w:hAnsiTheme="minorEastAsia"/>
          <w:color w:val="0D0D0D" w:themeColor="text1" w:themeTint="F2"/>
          <w14:textFill>
            <w14:solidFill>
              <w14:schemeClr w14:val="tx1">
                <w14:lumMod w14:val="95000"/>
                <w14:lumOff w14:val="5000"/>
              </w14:schemeClr>
            </w14:solidFill>
          </w14:textFill>
        </w:rPr>
        <w:t>T</w:t>
      </w:r>
      <w:r>
        <w:rPr>
          <w:rFonts w:hint="eastAsia" w:asciiTheme="minorEastAsia" w:hAnsiTheme="minorEastAsia"/>
          <w:color w:val="0D0D0D" w:themeColor="text1" w:themeTint="F2"/>
          <w14:textFill>
            <w14:solidFill>
              <w14:schemeClr w14:val="tx1">
                <w14:lumMod w14:val="95000"/>
                <w14:lumOff w14:val="5000"/>
              </w14:schemeClr>
            </w14:solidFill>
          </w14:textFill>
        </w:rPr>
        <w:t>日起第</w:t>
      </w:r>
      <w:r>
        <w:rPr>
          <w:rFonts w:asciiTheme="minorEastAsia" w:hAnsiTheme="minorEastAsia"/>
          <w:color w:val="0D0D0D" w:themeColor="text1" w:themeTint="F2"/>
          <w14:textFill>
            <w14:solidFill>
              <w14:schemeClr w14:val="tx1">
                <w14:lumMod w14:val="95000"/>
                <w14:lumOff w14:val="5000"/>
              </w14:schemeClr>
            </w14:solidFill>
          </w14:textFill>
        </w:rPr>
        <w:t>n</w:t>
      </w:r>
      <w:r>
        <w:rPr>
          <w:rFonts w:hint="eastAsia" w:asciiTheme="minorEastAsia" w:hAnsiTheme="minorEastAsia"/>
          <w:color w:val="0D0D0D" w:themeColor="text1" w:themeTint="F2"/>
          <w14:textFill>
            <w14:solidFill>
              <w14:schemeClr w14:val="tx1">
                <w14:lumMod w14:val="95000"/>
                <w14:lumOff w14:val="5000"/>
              </w14:schemeClr>
            </w14:solidFill>
          </w14:textFill>
        </w:rPr>
        <w:t>个工作日（不包含</w:t>
      </w:r>
      <w:r>
        <w:rPr>
          <w:rFonts w:asciiTheme="minorEastAsia" w:hAnsiTheme="minorEastAsia"/>
          <w:color w:val="0D0D0D" w:themeColor="text1" w:themeTint="F2"/>
          <w14:textFill>
            <w14:solidFill>
              <w14:schemeClr w14:val="tx1">
                <w14:lumMod w14:val="95000"/>
                <w14:lumOff w14:val="5000"/>
              </w14:schemeClr>
            </w14:solidFill>
          </w14:textFill>
        </w:rPr>
        <w:t>T</w:t>
      </w:r>
      <w:r>
        <w:rPr>
          <w:rFonts w:hint="eastAsia" w:asciiTheme="minorEastAsia" w:hAnsiTheme="minorEastAsia"/>
          <w:color w:val="0D0D0D" w:themeColor="text1" w:themeTint="F2"/>
          <w14:textFill>
            <w14:solidFill>
              <w14:schemeClr w14:val="tx1">
                <w14:lumMod w14:val="95000"/>
                <w14:lumOff w14:val="5000"/>
              </w14:schemeClr>
            </w14:solidFill>
          </w14:textFill>
        </w:rPr>
        <w:t>日）</w:t>
      </w:r>
    </w:p>
    <w:p w14:paraId="454BF672">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40</w:t>
      </w:r>
      <w:r>
        <w:rPr>
          <w:rFonts w:hint="eastAsia" w:asciiTheme="minorEastAsia" w:hAnsiTheme="minorEastAsia"/>
          <w:color w:val="0D0D0D" w:themeColor="text1" w:themeTint="F2"/>
          <w14:textFill>
            <w14:solidFill>
              <w14:schemeClr w14:val="tx1">
                <w14:lumMod w14:val="95000"/>
                <w14:lumOff w14:val="5000"/>
              </w14:schemeClr>
            </w14:solidFill>
          </w14:textFill>
        </w:rPr>
        <w:t>.开放日：指为投资人办理基金份额申购、赎回或其他业务的港股通、上海证券交易所同时正常开放交易的工作日</w:t>
      </w:r>
    </w:p>
    <w:p w14:paraId="760A6585">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.开放时间：指开放日基金接受申购、赎回或其他交易的时间段</w:t>
      </w:r>
    </w:p>
    <w:p w14:paraId="76429B12">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.认购：指在基金募集期内，投资人</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根据基金合同和招募说明书的规定</w:t>
      </w:r>
      <w:r>
        <w:rPr>
          <w:rFonts w:hint="eastAsia" w:asciiTheme="minorEastAsia" w:hAnsiTheme="minorEastAsia"/>
          <w:color w:val="0D0D0D" w:themeColor="text1" w:themeTint="F2"/>
          <w14:textFill>
            <w14:solidFill>
              <w14:schemeClr w14:val="tx1">
                <w14:lumMod w14:val="95000"/>
                <w14:lumOff w14:val="5000"/>
              </w14:schemeClr>
            </w14:solidFill>
          </w14:textFill>
        </w:rPr>
        <w:t>申请购买基金份额的行为</w:t>
      </w:r>
    </w:p>
    <w:p w14:paraId="70A6F0B4">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.申购：指基金合同生效后，投资人根据基金合同和招募说明书的规定</w:t>
      </w:r>
      <w:r>
        <w:rPr>
          <w:rFonts w:hint="eastAsia" w:asciiTheme="minorEastAsia" w:hAnsiTheme="minorEastAsia"/>
          <w:bCs/>
          <w:color w:val="0D0D0D" w:themeColor="text1" w:themeTint="F2"/>
          <w14:textFill>
            <w14:solidFill>
              <w14:schemeClr w14:val="tx1">
                <w14:lumMod w14:val="95000"/>
                <w14:lumOff w14:val="5000"/>
              </w14:schemeClr>
            </w14:solidFill>
          </w14:textFill>
        </w:rPr>
        <w:t>，以申购赎回清单规定的申购对价向基金管理人</w:t>
      </w:r>
      <w:r>
        <w:rPr>
          <w:rFonts w:hint="eastAsia" w:asciiTheme="minorEastAsia" w:hAnsiTheme="minorEastAsia"/>
          <w:color w:val="0D0D0D" w:themeColor="text1" w:themeTint="F2"/>
          <w14:textFill>
            <w14:solidFill>
              <w14:schemeClr w14:val="tx1">
                <w14:lumMod w14:val="95000"/>
                <w14:lumOff w14:val="5000"/>
              </w14:schemeClr>
            </w14:solidFill>
          </w14:textFill>
        </w:rPr>
        <w:t>申请购买基金份额的行为</w:t>
      </w:r>
    </w:p>
    <w:p w14:paraId="2D712FC1">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.赎回：指基金合同生效后，基金份额持有人按基金合同和招募说明书的规定，将基金份额兑换为申购赎回清单规定的赎回对价的行为</w:t>
      </w:r>
    </w:p>
    <w:p w14:paraId="108C5C83">
      <w:pPr>
        <w:snapToGrid w:val="0"/>
        <w:spacing w:line="360" w:lineRule="auto"/>
        <w:ind w:firstLine="420" w:firstLineChars="20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4</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5</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.申购、赎回清单</w:t>
      </w:r>
      <w:r>
        <w:rPr>
          <w:rFonts w:hint="eastAsia" w:asciiTheme="minorEastAsia" w:hAnsiTheme="minorEastAsia"/>
          <w:color w:val="0D0D0D" w:themeColor="text1" w:themeTint="F2"/>
          <w14:textFill>
            <w14:solidFill>
              <w14:schemeClr w14:val="tx1">
                <w14:lumMod w14:val="95000"/>
                <w14:lumOff w14:val="5000"/>
              </w14:schemeClr>
            </w14:solidFill>
          </w14:textFill>
        </w:rPr>
        <w:t>：指</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 xml:space="preserve">由基金管理人编制的用以公告申购对价、赎回对价等信息的文件 </w:t>
      </w:r>
    </w:p>
    <w:p w14:paraId="0B701507">
      <w:pPr>
        <w:snapToGrid w:val="0"/>
        <w:spacing w:line="360" w:lineRule="auto"/>
        <w:ind w:firstLine="420" w:firstLineChars="20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4</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6</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.申购对价：指投资人申购</w:t>
      </w:r>
      <w:r>
        <w:rPr>
          <w:rFonts w:hint="eastAsia" w:asciiTheme="minorEastAsia" w:hAnsiTheme="minorEastAsia"/>
          <w:color w:val="0D0D0D" w:themeColor="text1" w:themeTint="F2"/>
          <w14:textFill>
            <w14:solidFill>
              <w14:schemeClr w14:val="tx1">
                <w14:lumMod w14:val="95000"/>
                <w14:lumOff w14:val="5000"/>
              </w14:schemeClr>
            </w14:solidFill>
          </w14:textFill>
        </w:rPr>
        <w:t>基金份额</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时，按</w:t>
      </w:r>
      <w:r>
        <w:rPr>
          <w:rFonts w:hint="eastAsia" w:asciiTheme="minorEastAsia" w:hAnsiTheme="minorEastAsia"/>
          <w:color w:val="0D0D0D" w:themeColor="text1" w:themeTint="F2"/>
          <w14:textFill>
            <w14:solidFill>
              <w14:schemeClr w14:val="tx1">
                <w14:lumMod w14:val="95000"/>
                <w14:lumOff w14:val="5000"/>
              </w14:schemeClr>
            </w14:solidFill>
          </w14:textFill>
        </w:rPr>
        <w:t>基金合同和</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招募说明书规定应交付的现金替代、现金差额及其他对价</w:t>
      </w:r>
    </w:p>
    <w:p w14:paraId="4F499455">
      <w:pPr>
        <w:snapToGrid w:val="0"/>
        <w:spacing w:line="360" w:lineRule="auto"/>
        <w:ind w:firstLine="420" w:firstLineChars="20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4</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7</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.赎回对价：指投资人赎回</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基金份额</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时，</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按</w:t>
      </w:r>
      <w:r>
        <w:rPr>
          <w:rFonts w:hint="eastAsia" w:asciiTheme="minorEastAsia" w:hAnsiTheme="minorEastAsia"/>
          <w:color w:val="0D0D0D" w:themeColor="text1" w:themeTint="F2"/>
          <w14:textFill>
            <w14:solidFill>
              <w14:schemeClr w14:val="tx1">
                <w14:lumMod w14:val="95000"/>
                <w14:lumOff w14:val="5000"/>
              </w14:schemeClr>
            </w14:solidFill>
          </w14:textFill>
        </w:rPr>
        <w:t>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合同和招募说明书规定应交付给赎回人的现金替代、现金差额和/或其他对价</w:t>
      </w:r>
    </w:p>
    <w:p w14:paraId="1614F92E">
      <w:pPr>
        <w:snapToGrid w:val="0"/>
        <w:spacing w:line="360" w:lineRule="auto"/>
        <w:ind w:firstLine="420" w:firstLineChars="20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4</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8</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.组合证券：指本基金标的指数所包含的全部或部分证券</w:t>
      </w:r>
    </w:p>
    <w:p w14:paraId="6C644DD3">
      <w:pPr>
        <w:snapToGrid w:val="0"/>
        <w:spacing w:line="360" w:lineRule="auto"/>
        <w:ind w:firstLine="420" w:firstLineChars="20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4</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9</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.标的指数：指恒生指数有限公司编制并发布的</w:t>
      </w:r>
      <w:r>
        <w:rPr>
          <w:rFonts w:hint="eastAsia" w:cs="Arial" w:asciiTheme="minorEastAsia" w:hAnsiTheme="minorEastAsia" w:eastAsiaTheme="minorEastAsia"/>
          <w:bCs/>
          <w:color w:val="0D0D0D" w:themeColor="text1" w:themeTint="F2"/>
          <w:szCs w:val="21"/>
          <w:lang w:eastAsia="zh-CN"/>
          <w14:textFill>
            <w14:solidFill>
              <w14:schemeClr w14:val="tx1">
                <w14:lumMod w14:val="95000"/>
                <w14:lumOff w14:val="5000"/>
              </w14:schemeClr>
            </w14:solidFill>
          </w14:textFill>
        </w:rPr>
        <w:t>恒生港股通红利低波动指数</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及其未来可能发生的变更</w:t>
      </w:r>
    </w:p>
    <w:p w14:paraId="1653680F">
      <w:pPr>
        <w:snapToGrid w:val="0"/>
        <w:spacing w:line="360" w:lineRule="auto"/>
        <w:ind w:firstLine="420" w:firstLineChars="20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50</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.完全复制法：指一种跟踪指数的方法。通过购买标的指数中的所有成份证券，并且按照每种成份证券在标的指数中的权重确定购买的比例以构建指数组合，达到复制指数的目的</w:t>
      </w:r>
    </w:p>
    <w:p w14:paraId="315AC0C1">
      <w:pPr>
        <w:snapToGrid w:val="0"/>
        <w:spacing w:line="360" w:lineRule="auto"/>
        <w:ind w:firstLine="420" w:firstLineChars="20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5</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1</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.现金替代：指申购、赎回过程中，投资人按基金合同和招募说明书的规定，用于替代组合证券中部分证券的一定数量的现金</w:t>
      </w:r>
    </w:p>
    <w:p w14:paraId="38954F44">
      <w:pPr>
        <w:snapToGrid w:val="0"/>
        <w:spacing w:line="360" w:lineRule="auto"/>
        <w:ind w:firstLine="420" w:firstLineChars="20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5</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2</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现金替代退补款：指投资人支付的现金替代与基金购入被替代成份证券的成本及相关费用的差额。若现金替代大于本基金购入被替代成份证券的成本及相关费用，则本基金需向投资人退还差额，若现金替代小于本基金购入被替代成份证券的成本及相关费用，则投资人需向本基金补缴差额</w:t>
      </w:r>
    </w:p>
    <w:p w14:paraId="63C194F9">
      <w:pPr>
        <w:snapToGrid w:val="0"/>
        <w:spacing w:line="360" w:lineRule="auto"/>
        <w:ind w:firstLine="420" w:firstLineChars="20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5</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3</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现金差额：指最小申购、赎回单位的资产净值与按当日收盘价计算的最小申购、赎回单位中的组合证券市值和现金替代之差；投资人申购、赎回时应支付或应获得的现金差额根据最小申购、赎回单位对应的现金差额、申购或赎回</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的基金份额</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数计算</w:t>
      </w:r>
    </w:p>
    <w:p w14:paraId="79E7B96F">
      <w:pPr>
        <w:snapToGrid w:val="0"/>
        <w:spacing w:line="360" w:lineRule="auto"/>
        <w:ind w:firstLine="420" w:firstLineChars="20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5</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4</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.最小申购、赎回单位：指本基金申购、赎回</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份额</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的最低数量，投资人申购、赎回的</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基金份额</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应</w:t>
      </w:r>
      <w:r>
        <w:rPr>
          <w:rFonts w:hint="eastAsia" w:asciiTheme="minorEastAsia" w:hAnsiTheme="minorEastAsia"/>
          <w:color w:val="0D0D0D" w:themeColor="text1" w:themeTint="F2"/>
          <w14:textFill>
            <w14:solidFill>
              <w14:schemeClr w14:val="tx1">
                <w14:lumMod w14:val="95000"/>
                <w14:lumOff w14:val="5000"/>
              </w14:schemeClr>
            </w14:solidFill>
          </w14:textFill>
        </w:rPr>
        <w:t>为</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最小申购、赎回单位的整数倍</w:t>
      </w:r>
    </w:p>
    <w:p w14:paraId="6E6F93B8">
      <w:pPr>
        <w:snapToGrid w:val="0"/>
        <w:spacing w:line="360" w:lineRule="auto"/>
        <w:ind w:firstLine="420" w:firstLineChars="20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5</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5</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.基金份额参考净值：指基金管理人或基金管理人委托其他机构在交易时间内根据申购、赎回清单和组合证券内各只证券的实时成交数据及汇率数据计算并</w:t>
      </w:r>
      <w:bookmarkStart w:id="5" w:name="_Hlk3643393"/>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由上海证券交易所在交易时间内</w:t>
      </w:r>
      <w:bookmarkEnd w:id="5"/>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发布的基金份额参考净值，简称IOPV</w:t>
      </w:r>
    </w:p>
    <w:p w14:paraId="5F084599">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5</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6</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.预估现金部分：指为便于计算基金份额参考净值及申购赎回代理券商预先冻结申请申购、赎回的投资人的相应资金，由基金</w:t>
      </w:r>
      <w:r>
        <w:rPr>
          <w:rFonts w:hint="eastAsia" w:asciiTheme="minorEastAsia" w:hAnsiTheme="minorEastAsia"/>
          <w:color w:val="0D0D0D" w:themeColor="text1" w:themeTint="F2"/>
          <w14:textFill>
            <w14:solidFill>
              <w14:schemeClr w14:val="tx1">
                <w14:lumMod w14:val="95000"/>
                <w14:lumOff w14:val="5000"/>
              </w14:schemeClr>
            </w14:solidFill>
          </w14:textFill>
        </w:rPr>
        <w:t>管理</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人计算并公布</w:t>
      </w:r>
      <w:r>
        <w:rPr>
          <w:rFonts w:hint="eastAsia" w:asciiTheme="minorEastAsia" w:hAnsiTheme="minorEastAsia"/>
          <w:color w:val="0D0D0D" w:themeColor="text1" w:themeTint="F2"/>
          <w14:textFill>
            <w14:solidFill>
              <w14:schemeClr w14:val="tx1">
                <w14:lumMod w14:val="95000"/>
                <w14:lumOff w14:val="5000"/>
              </w14:schemeClr>
            </w14:solidFill>
          </w14:textFill>
        </w:rPr>
        <w:t>的</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现金数额</w:t>
      </w:r>
    </w:p>
    <w:p w14:paraId="591990BA">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5</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.元：指人民币元</w:t>
      </w:r>
    </w:p>
    <w:p w14:paraId="4C19B11B">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5</w:t>
      </w: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.基金收益：指基金投资所得红利、股息、债券利息、买卖证券价差、银行存款利息、已实现的其他合法收入及因运用基金财产带来的成本和费用的节约</w:t>
      </w:r>
    </w:p>
    <w:p w14:paraId="399F501B">
      <w:pPr>
        <w:snapToGrid w:val="0"/>
        <w:spacing w:line="360" w:lineRule="auto"/>
        <w:ind w:firstLine="420" w:firstLineChars="20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5</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9</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份额折算</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：指基金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管理人根据</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合同规定将投资人的基金份额进行变更登记</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的</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行为</w:t>
      </w:r>
    </w:p>
    <w:p w14:paraId="38A02861">
      <w:pPr>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60</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.收益评价日：指基金管理人计算本基金份额净值增长率与标的指数同期增长率差额之日</w:t>
      </w:r>
    </w:p>
    <w:p w14:paraId="36D2CB80">
      <w:pPr>
        <w:snapToGrid w:val="0"/>
        <w:spacing w:line="360" w:lineRule="auto"/>
        <w:ind w:firstLine="420" w:firstLineChars="20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6</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1</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基金份额净值增长率：指收益评价日基金份额净值与基金上市前一日基金份额净值之比减去1乘以100%（期间发生基金份额折算、拆分或合并，则以基金份额折算日、经拆分或合并调整后的基金份额折算日为初始日重新计算）</w:t>
      </w:r>
    </w:p>
    <w:p w14:paraId="5026A2CE">
      <w:pPr>
        <w:snapToGrid w:val="0"/>
        <w:spacing w:line="360" w:lineRule="auto"/>
        <w:ind w:firstLine="420" w:firstLineChars="20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6</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2</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.标的指数同期增长率：指收益评价日标的指数收盘价与基金上市前一日标的指数收盘价之比减去</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1</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乘以</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100%</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（期间发生基金份额折算、拆分或合并，则以基金份额折算日、经拆分或合并调整后的基金份额折算日为初始日重新计算）</w:t>
      </w:r>
    </w:p>
    <w:p w14:paraId="297967EF">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6</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.基金资产总值：指基金拥有的各类有价证券、银行存款本息、基金应收申购款及其他资产的价值总和</w:t>
      </w:r>
    </w:p>
    <w:p w14:paraId="59BF3DB8">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6</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.基金资产净值：指基金资产总值减去基金负债后的价值</w:t>
      </w:r>
    </w:p>
    <w:p w14:paraId="1EDE6325">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6</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.基金份额净值：指计算日基金资产净值除以计算日基金份额总数</w:t>
      </w:r>
    </w:p>
    <w:p w14:paraId="37C365A1">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6</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.基金资产估值：指计算评估基金资产和负债的价值，以确定基金资产净值和基金份额净值的过程</w:t>
      </w:r>
    </w:p>
    <w:p w14:paraId="2568AB7A">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6</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.规定媒介：指符合中国证监会规定条件的用以进行信息披露的全国性报刊及《信息披露办法》规定的互联网网站（包括基金管理人网站、基金托管人网站、中国证监会基金电子披露网站）等媒介</w:t>
      </w:r>
    </w:p>
    <w:p w14:paraId="7FE28273">
      <w:pPr>
        <w:snapToGrid w:val="0"/>
        <w:spacing w:line="360" w:lineRule="auto"/>
        <w:ind w:firstLine="420" w:firstLineChars="20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6</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8</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.交易型开放式指数证券投资基金</w:t>
      </w:r>
      <w:r>
        <w:rPr>
          <w:rFonts w:hint="eastAsia" w:asciiTheme="minorEastAsia" w:hAnsiTheme="minorEastAsia"/>
          <w:color w:val="0D0D0D" w:themeColor="text1" w:themeTint="F2"/>
          <w14:textFill>
            <w14:solidFill>
              <w14:schemeClr w14:val="tx1">
                <w14:lumMod w14:val="95000"/>
                <w14:lumOff w14:val="5000"/>
              </w14:schemeClr>
            </w14:solidFill>
          </w14:textFill>
        </w:rPr>
        <w:t>：指</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《上海证券交易所交易型开放式指数基金业务实施细则》定义</w:t>
      </w:r>
      <w:r>
        <w:rPr>
          <w:rFonts w:hint="eastAsia" w:asciiTheme="minorEastAsia" w:hAnsiTheme="minorEastAsia"/>
          <w:color w:val="0D0D0D" w:themeColor="text1" w:themeTint="F2"/>
          <w14:textFill>
            <w14:solidFill>
              <w14:schemeClr w14:val="tx1">
                <w14:lumMod w14:val="95000"/>
                <w14:lumOff w14:val="5000"/>
              </w14:schemeClr>
            </w14:solidFill>
          </w14:textFill>
        </w:rPr>
        <w:t>的</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“交易型开放式指数</w:t>
      </w:r>
      <w:r>
        <w:rPr>
          <w:rFonts w:hint="eastAsia" w:asciiTheme="minorEastAsia" w:hAnsiTheme="minorEastAsia"/>
          <w:color w:val="0D0D0D" w:themeColor="text1" w:themeTint="F2"/>
          <w14:textFill>
            <w14:solidFill>
              <w14:schemeClr w14:val="tx1">
                <w14:lumMod w14:val="95000"/>
                <w14:lumOff w14:val="5000"/>
              </w14:schemeClr>
            </w14:solidFill>
          </w14:textFill>
        </w:rPr>
        <w:t>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”，简称“ETF”</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 xml:space="preserve"> </w:t>
      </w:r>
    </w:p>
    <w:p w14:paraId="588C4765">
      <w:pPr>
        <w:snapToGrid w:val="0"/>
        <w:spacing w:line="360" w:lineRule="auto"/>
        <w:ind w:firstLine="420" w:firstLineChars="20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6</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9</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.联接</w:t>
      </w:r>
      <w:r>
        <w:rPr>
          <w:rFonts w:hint="eastAsia" w:asciiTheme="minorEastAsia" w:hAnsiTheme="minorEastAsia"/>
          <w:color w:val="0D0D0D" w:themeColor="text1" w:themeTint="F2"/>
          <w14:textFill>
            <w14:solidFill>
              <w14:schemeClr w14:val="tx1">
                <w14:lumMod w14:val="95000"/>
                <w14:lumOff w14:val="5000"/>
              </w14:schemeClr>
            </w14:solidFill>
          </w14:textFill>
        </w:rPr>
        <w:t>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：指将绝大部分基金财产投资于博时恒生港股通</w:t>
      </w:r>
      <w:r>
        <w:rPr>
          <w:rFonts w:hint="eastAsia" w:cs="Arial" w:asciiTheme="minorEastAsia" w:hAnsiTheme="minorEastAsia" w:eastAsiaTheme="minorEastAsia"/>
          <w:bCs/>
          <w:color w:val="0D0D0D" w:themeColor="text1" w:themeTint="F2"/>
          <w:szCs w:val="21"/>
          <w:lang w:eastAsia="zh-CN"/>
          <w14:textFill>
            <w14:solidFill>
              <w14:schemeClr w14:val="tx1">
                <w14:lumMod w14:val="95000"/>
                <w14:lumOff w14:val="5000"/>
              </w14:schemeClr>
            </w14:solidFill>
          </w14:textFill>
        </w:rPr>
        <w:t>红利</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低波动交易型开放式指数证券投资基金（目标</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ETF</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），紧密跟踪标的指数表现，追求跟踪偏离度和跟踪误差最小化，获得与指数收益相似的回报，采用开放式运作方式的基金</w:t>
      </w:r>
    </w:p>
    <w:p w14:paraId="5F242165">
      <w:pPr>
        <w:snapToGrid w:val="0"/>
        <w:spacing w:line="360" w:lineRule="auto"/>
        <w:ind w:firstLine="420" w:firstLineChars="20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70</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内地与香港股票市场交易互联互通机制：指上海证券交易所、深圳证券交易所分别和香港联合交易所有限公司（以下简称香港联合交易所）建立技术连接，使内地和香港投资者可以通过当地证券公司或经纪商买卖规定范围内的对方交易所上市的股票。内地与香港股票市场交易互联互通机制包括沪港股票市场交易互联互通机制（以下简称沪港通）和深港股票市场交易互联互通机制（以下简称深港通）</w:t>
      </w:r>
    </w:p>
    <w:p w14:paraId="5422ACFA">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7</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1</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.港股通：指内地投资者委托内地证券公司，经由上海证券交易所、深圳证券交易所或经中国证监会认可的机构设立的证券交易</w:t>
      </w:r>
      <w:r>
        <w:rPr>
          <w:rFonts w:hint="eastAsia" w:asciiTheme="minorEastAsia" w:hAnsiTheme="minorEastAsia"/>
          <w:color w:val="0D0D0D" w:themeColor="text1" w:themeTint="F2"/>
          <w14:textFill>
            <w14:solidFill>
              <w14:schemeClr w14:val="tx1">
                <w14:lumMod w14:val="95000"/>
                <w14:lumOff w14:val="5000"/>
              </w14:schemeClr>
            </w14:solidFill>
          </w14:textFill>
        </w:rPr>
        <w:t>服务</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公司，向香港联合交易所有限公司进行申报，买卖沪港通、深港通规定范围内的香港联合交易所上市的股票</w:t>
      </w:r>
    </w:p>
    <w:p w14:paraId="7188E7A5">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7</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.流动性受限资产：指由于法律法规、监管、合同或操作障碍等原因无法以合理价格予以变现的资产，包括但不限于到期日在</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个交易日以上的逆回购与银行定期存款（含协议约定有条件提前支取的银行存款）、停牌股票、流通受限的新股及非公开发行股票、资产支持证券、因发行人债务违约无法进行转让或交易的债券等</w:t>
      </w:r>
    </w:p>
    <w:p w14:paraId="69CE6F25">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7</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转融通证券出借</w:t>
      </w:r>
      <w:r>
        <w:rPr>
          <w:rFonts w:hint="eastAsia" w:asciiTheme="minorEastAsia" w:hAnsiTheme="minorEastAsia"/>
          <w:color w:val="0D0D0D" w:themeColor="text1" w:themeTint="F2"/>
          <w14:textFill>
            <w14:solidFill>
              <w14:schemeClr w14:val="tx1">
                <w14:lumMod w14:val="95000"/>
                <w14:lumOff w14:val="5000"/>
              </w14:schemeClr>
            </w14:solidFill>
          </w14:textFill>
        </w:rPr>
        <w:t>业务：指基金以一定的费率通过证券交易所综合业务平台向中国证券金融股份有限公司（以下简称证券金融公司）出借证券，证券金融公司到期归还所借证券及相应权益补偿并支付费用的业务</w:t>
      </w:r>
    </w:p>
    <w:p w14:paraId="3292F545">
      <w:pPr>
        <w:snapToGrid w:val="0"/>
        <w:spacing w:line="360" w:lineRule="auto"/>
        <w:ind w:firstLine="420" w:firstLineChars="20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7</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4</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.特定机构投资者：指根据上海证券交易所颁布的《特定机构投资者参与证券投资基金申购赎回业务指引》所定义的特定机构投资者</w:t>
      </w:r>
    </w:p>
    <w:p w14:paraId="5C2C041C">
      <w:pPr>
        <w:snapToGrid w:val="0"/>
        <w:spacing w:line="360" w:lineRule="auto"/>
        <w:ind w:firstLine="420" w:firstLineChars="20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7</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5</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.中国法律：指中华人民共和国法律，就基金合同而言，不包括香港特别行政区、澳门特别行政区法律和台湾地区的有关规定</w:t>
      </w:r>
    </w:p>
    <w:p w14:paraId="79F1F663">
      <w:pPr>
        <w:snapToGrid w:val="0"/>
        <w:spacing w:line="360" w:lineRule="auto"/>
        <w:ind w:firstLine="420" w:firstLineChars="200"/>
        <w:rPr>
          <w:rFonts w:ascii="宋体" w:hAnsi="宋体" w:cs="Arial"/>
          <w:szCs w:val="21"/>
        </w:rPr>
      </w:pPr>
      <w:r>
        <w:rPr>
          <w:rFonts w:hint="eastAsia" w:asciiTheme="minorEastAsia" w:hAnsiTheme="minorEastAsia"/>
          <w:color w:val="0D0D0D" w:themeColor="text1" w:themeTint="F2"/>
          <w14:textFill>
            <w14:solidFill>
              <w14:schemeClr w14:val="tx1">
                <w14:lumMod w14:val="95000"/>
                <w14:lumOff w14:val="5000"/>
              </w14:schemeClr>
            </w14:solidFill>
          </w14:textFill>
        </w:rPr>
        <w:t>7</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.不可抗力：指基金合同当事人不能预见、不能避免且不能克服的客观事件</w:t>
      </w:r>
    </w:p>
    <w:p w14:paraId="0C403B9D">
      <w:pPr>
        <w:autoSpaceDE w:val="0"/>
        <w:autoSpaceDN w:val="0"/>
        <w:adjustRightInd w:val="0"/>
        <w:snapToGrid w:val="0"/>
        <w:spacing w:line="360" w:lineRule="auto"/>
        <w:ind w:firstLine="420" w:firstLineChars="200"/>
        <w:rPr>
          <w:rFonts w:ascii="宋体" w:hAnsi="宋体" w:cs="Arial"/>
          <w:szCs w:val="21"/>
        </w:rPr>
        <w:sectPr>
          <w:footerReference r:id="rId13" w:type="first"/>
          <w:footerReference r:id="rId12" w:type="default"/>
          <w:pgSz w:w="11906" w:h="16838"/>
          <w:pgMar w:top="1440" w:right="1800" w:bottom="1440" w:left="1800" w:header="851" w:footer="992" w:gutter="0"/>
          <w:pgNumType w:start="1"/>
          <w:cols w:space="720" w:num="1"/>
          <w:titlePg/>
          <w:docGrid w:linePitch="312" w:charSpace="0"/>
        </w:sectPr>
      </w:pPr>
      <w:bookmarkStart w:id="6" w:name="_Toc12357173"/>
      <w:bookmarkStart w:id="7" w:name="_Toc21073393"/>
      <w:bookmarkStart w:id="8" w:name="_Toc214873592"/>
      <w:bookmarkStart w:id="9" w:name="_Toc147463120"/>
    </w:p>
    <w:p w14:paraId="74EA5CB7">
      <w:pPr>
        <w:pStyle w:val="2"/>
        <w:snapToGrid w:val="0"/>
        <w:spacing w:before="0" w:after="0" w:line="360" w:lineRule="auto"/>
        <w:ind w:firstLine="422" w:firstLineChars="150"/>
        <w:rPr>
          <w:rFonts w:hAnsi="宋体" w:eastAsia="宋体" w:cs="Arial"/>
          <w:b/>
          <w:bCs/>
          <w:sz w:val="28"/>
          <w:szCs w:val="28"/>
        </w:rPr>
      </w:pPr>
      <w:bookmarkStart w:id="10" w:name="_Toc13041"/>
      <w:r>
        <w:rPr>
          <w:rFonts w:hAnsi="宋体" w:eastAsia="宋体" w:cs="Arial"/>
          <w:b/>
          <w:bCs/>
          <w:sz w:val="28"/>
          <w:szCs w:val="28"/>
        </w:rPr>
        <w:t>第三部分  基金管理人</w:t>
      </w:r>
      <w:bookmarkEnd w:id="6"/>
      <w:bookmarkEnd w:id="7"/>
      <w:bookmarkEnd w:id="8"/>
      <w:bookmarkEnd w:id="9"/>
      <w:bookmarkEnd w:id="10"/>
    </w:p>
    <w:p w14:paraId="151F9E23">
      <w:pPr>
        <w:spacing w:line="360" w:lineRule="auto"/>
        <w:rPr>
          <w:rFonts w:ascii="宋体" w:hAnsi="宋体"/>
        </w:rPr>
      </w:pPr>
    </w:p>
    <w:p w14:paraId="2513F9E0">
      <w:pPr>
        <w:pStyle w:val="37"/>
        <w:spacing w:before="0" w:beforeAutospacing="0" w:after="0" w:afterAutospacing="0" w:line="360" w:lineRule="auto"/>
        <w:ind w:firstLine="420"/>
        <w:rPr>
          <w:rStyle w:val="49"/>
          <w:rFonts w:hint="eastAsia"/>
          <w:b/>
          <w:bCs/>
          <w:sz w:val="21"/>
          <w:szCs w:val="21"/>
        </w:rPr>
      </w:pPr>
      <w:bookmarkStart w:id="11" w:name="_Toc524923215"/>
      <w:bookmarkStart w:id="12" w:name="_Toc214873593"/>
      <w:r>
        <w:rPr>
          <w:rStyle w:val="49"/>
          <w:rFonts w:hint="eastAsia"/>
          <w:b/>
          <w:bCs/>
          <w:sz w:val="21"/>
          <w:szCs w:val="21"/>
        </w:rPr>
        <w:t>一、基金管理人概况</w:t>
      </w:r>
    </w:p>
    <w:p w14:paraId="0F3D12E6">
      <w:pPr>
        <w:pStyle w:val="37"/>
        <w:spacing w:before="0" w:beforeAutospacing="0" w:after="0" w:afterAutospacing="0" w:line="360" w:lineRule="auto"/>
        <w:ind w:firstLine="420"/>
        <w:rPr>
          <w:rStyle w:val="49"/>
          <w:rFonts w:hint="eastAsia"/>
          <w:b w:val="0"/>
          <w:bCs w:val="0"/>
          <w:sz w:val="21"/>
          <w:szCs w:val="21"/>
        </w:rPr>
      </w:pPr>
      <w:r>
        <w:rPr>
          <w:rStyle w:val="49"/>
          <w:rFonts w:hint="eastAsia"/>
          <w:b w:val="0"/>
          <w:bCs w:val="0"/>
          <w:sz w:val="21"/>
          <w:szCs w:val="21"/>
        </w:rPr>
        <w:t>名称：</w:t>
      </w:r>
      <w:r>
        <w:rPr>
          <w:rStyle w:val="49"/>
          <w:rFonts w:hint="eastAsia"/>
          <w:b w:val="0"/>
          <w:bCs w:val="0"/>
          <w:sz w:val="21"/>
          <w:szCs w:val="21"/>
        </w:rPr>
        <w:tab/>
      </w:r>
      <w:r>
        <w:rPr>
          <w:rStyle w:val="49"/>
          <w:rFonts w:hint="eastAsia"/>
          <w:b w:val="0"/>
          <w:bCs w:val="0"/>
          <w:sz w:val="21"/>
          <w:szCs w:val="21"/>
        </w:rPr>
        <w:t>博时基金管理有限公司</w:t>
      </w:r>
    </w:p>
    <w:p w14:paraId="243851E2">
      <w:pPr>
        <w:pStyle w:val="37"/>
        <w:spacing w:before="0" w:beforeAutospacing="0" w:after="0" w:afterAutospacing="0" w:line="360" w:lineRule="auto"/>
        <w:ind w:firstLine="420"/>
        <w:rPr>
          <w:rStyle w:val="49"/>
          <w:rFonts w:hint="eastAsia"/>
          <w:b w:val="0"/>
          <w:bCs w:val="0"/>
          <w:sz w:val="21"/>
          <w:szCs w:val="21"/>
        </w:rPr>
      </w:pPr>
      <w:r>
        <w:rPr>
          <w:rStyle w:val="49"/>
          <w:rFonts w:hint="eastAsia"/>
          <w:b w:val="0"/>
          <w:bCs w:val="0"/>
          <w:sz w:val="21"/>
          <w:szCs w:val="21"/>
        </w:rPr>
        <w:t>住所：</w:t>
      </w:r>
      <w:r>
        <w:rPr>
          <w:rStyle w:val="49"/>
          <w:rFonts w:hint="eastAsia"/>
          <w:b w:val="0"/>
          <w:bCs w:val="0"/>
          <w:sz w:val="21"/>
          <w:szCs w:val="21"/>
        </w:rPr>
        <w:tab/>
      </w:r>
      <w:r>
        <w:rPr>
          <w:rStyle w:val="49"/>
          <w:rFonts w:hint="eastAsia"/>
          <w:b w:val="0"/>
          <w:bCs w:val="0"/>
          <w:sz w:val="21"/>
          <w:szCs w:val="21"/>
        </w:rPr>
        <w:t>深圳市福田区莲花街道福新社区益田路5999号基金大厦21层</w:t>
      </w:r>
    </w:p>
    <w:p w14:paraId="3E248A38">
      <w:pPr>
        <w:pStyle w:val="37"/>
        <w:spacing w:before="0" w:beforeAutospacing="0" w:after="0" w:afterAutospacing="0" w:line="360" w:lineRule="auto"/>
        <w:ind w:firstLine="420"/>
        <w:rPr>
          <w:rStyle w:val="49"/>
          <w:rFonts w:hint="eastAsia"/>
          <w:b w:val="0"/>
          <w:bCs w:val="0"/>
          <w:sz w:val="21"/>
          <w:szCs w:val="21"/>
        </w:rPr>
      </w:pPr>
      <w:r>
        <w:rPr>
          <w:rStyle w:val="49"/>
          <w:rFonts w:hint="eastAsia"/>
          <w:b w:val="0"/>
          <w:bCs w:val="0"/>
          <w:sz w:val="21"/>
          <w:szCs w:val="21"/>
        </w:rPr>
        <w:t>办公地址：</w:t>
      </w:r>
      <w:r>
        <w:rPr>
          <w:rStyle w:val="49"/>
          <w:rFonts w:hint="eastAsia"/>
          <w:b w:val="0"/>
          <w:bCs w:val="0"/>
          <w:sz w:val="21"/>
          <w:szCs w:val="21"/>
        </w:rPr>
        <w:tab/>
      </w:r>
      <w:r>
        <w:rPr>
          <w:rStyle w:val="49"/>
          <w:rFonts w:hint="eastAsia"/>
          <w:b w:val="0"/>
          <w:bCs w:val="0"/>
          <w:sz w:val="21"/>
          <w:szCs w:val="21"/>
        </w:rPr>
        <w:t>广东省深圳市福田区益田路5999号基金大厦21层</w:t>
      </w:r>
    </w:p>
    <w:p w14:paraId="01F3CB6C">
      <w:pPr>
        <w:pStyle w:val="37"/>
        <w:spacing w:before="0" w:beforeAutospacing="0" w:after="0" w:afterAutospacing="0" w:line="360" w:lineRule="auto"/>
        <w:ind w:firstLine="420"/>
        <w:rPr>
          <w:rStyle w:val="49"/>
          <w:rFonts w:hint="eastAsia"/>
          <w:b w:val="0"/>
          <w:bCs w:val="0"/>
          <w:sz w:val="21"/>
          <w:szCs w:val="21"/>
        </w:rPr>
      </w:pPr>
      <w:r>
        <w:rPr>
          <w:rStyle w:val="49"/>
          <w:rFonts w:hint="eastAsia"/>
          <w:b w:val="0"/>
          <w:bCs w:val="0"/>
          <w:sz w:val="21"/>
          <w:szCs w:val="21"/>
        </w:rPr>
        <w:t>法定代表人：张东</w:t>
      </w:r>
    </w:p>
    <w:p w14:paraId="2E8B21C5">
      <w:pPr>
        <w:pStyle w:val="37"/>
        <w:spacing w:before="0" w:beforeAutospacing="0" w:after="0" w:afterAutospacing="0" w:line="360" w:lineRule="auto"/>
        <w:ind w:firstLine="420"/>
        <w:rPr>
          <w:rStyle w:val="49"/>
          <w:rFonts w:hint="eastAsia"/>
          <w:b w:val="0"/>
          <w:bCs w:val="0"/>
          <w:sz w:val="21"/>
          <w:szCs w:val="21"/>
        </w:rPr>
      </w:pPr>
      <w:r>
        <w:rPr>
          <w:rStyle w:val="49"/>
          <w:rFonts w:hint="eastAsia"/>
          <w:b w:val="0"/>
          <w:bCs w:val="0"/>
          <w:sz w:val="21"/>
          <w:szCs w:val="21"/>
        </w:rPr>
        <w:t>成立时间：</w:t>
      </w:r>
      <w:r>
        <w:rPr>
          <w:rStyle w:val="49"/>
          <w:rFonts w:hint="eastAsia"/>
          <w:b w:val="0"/>
          <w:bCs w:val="0"/>
          <w:sz w:val="21"/>
          <w:szCs w:val="21"/>
        </w:rPr>
        <w:tab/>
      </w:r>
      <w:r>
        <w:rPr>
          <w:rStyle w:val="49"/>
          <w:rFonts w:hint="eastAsia"/>
          <w:b w:val="0"/>
          <w:bCs w:val="0"/>
          <w:sz w:val="21"/>
          <w:szCs w:val="21"/>
        </w:rPr>
        <w:t>1998年7月13日</w:t>
      </w:r>
    </w:p>
    <w:p w14:paraId="03BC48F3">
      <w:pPr>
        <w:pStyle w:val="37"/>
        <w:spacing w:before="0" w:beforeAutospacing="0" w:after="0" w:afterAutospacing="0" w:line="360" w:lineRule="auto"/>
        <w:ind w:firstLine="420"/>
        <w:rPr>
          <w:rStyle w:val="49"/>
          <w:rFonts w:hint="eastAsia"/>
          <w:b w:val="0"/>
          <w:bCs w:val="0"/>
          <w:sz w:val="21"/>
          <w:szCs w:val="21"/>
        </w:rPr>
      </w:pPr>
      <w:r>
        <w:rPr>
          <w:rStyle w:val="49"/>
          <w:rFonts w:hint="eastAsia"/>
          <w:b w:val="0"/>
          <w:bCs w:val="0"/>
          <w:sz w:val="21"/>
          <w:szCs w:val="21"/>
        </w:rPr>
        <w:t>注册资本：</w:t>
      </w:r>
      <w:r>
        <w:rPr>
          <w:rStyle w:val="49"/>
          <w:rFonts w:hint="eastAsia"/>
          <w:b w:val="0"/>
          <w:bCs w:val="0"/>
          <w:sz w:val="21"/>
          <w:szCs w:val="21"/>
        </w:rPr>
        <w:tab/>
      </w:r>
      <w:r>
        <w:rPr>
          <w:rStyle w:val="49"/>
          <w:rFonts w:hint="eastAsia"/>
          <w:b w:val="0"/>
          <w:bCs w:val="0"/>
          <w:sz w:val="21"/>
          <w:szCs w:val="21"/>
        </w:rPr>
        <w:t>2.5亿元人民币</w:t>
      </w:r>
    </w:p>
    <w:p w14:paraId="5FF250AC">
      <w:pPr>
        <w:pStyle w:val="37"/>
        <w:spacing w:before="0" w:beforeAutospacing="0" w:after="0" w:afterAutospacing="0" w:line="360" w:lineRule="auto"/>
        <w:ind w:firstLine="420"/>
        <w:rPr>
          <w:rStyle w:val="49"/>
          <w:rFonts w:hint="eastAsia"/>
          <w:b w:val="0"/>
          <w:bCs w:val="0"/>
          <w:sz w:val="21"/>
          <w:szCs w:val="21"/>
        </w:rPr>
      </w:pPr>
      <w:r>
        <w:rPr>
          <w:rStyle w:val="49"/>
          <w:rFonts w:hint="eastAsia"/>
          <w:b w:val="0"/>
          <w:bCs w:val="0"/>
          <w:sz w:val="21"/>
          <w:szCs w:val="21"/>
        </w:rPr>
        <w:t>存续期间：</w:t>
      </w:r>
      <w:r>
        <w:rPr>
          <w:rStyle w:val="49"/>
          <w:rFonts w:hint="eastAsia"/>
          <w:b w:val="0"/>
          <w:bCs w:val="0"/>
          <w:sz w:val="21"/>
          <w:szCs w:val="21"/>
        </w:rPr>
        <w:tab/>
      </w:r>
      <w:r>
        <w:rPr>
          <w:rStyle w:val="49"/>
          <w:rFonts w:hint="eastAsia"/>
          <w:b w:val="0"/>
          <w:bCs w:val="0"/>
          <w:sz w:val="21"/>
          <w:szCs w:val="21"/>
        </w:rPr>
        <w:t>持续经营</w:t>
      </w:r>
    </w:p>
    <w:p w14:paraId="6A90652E">
      <w:pPr>
        <w:pStyle w:val="37"/>
        <w:spacing w:before="0" w:beforeAutospacing="0" w:after="0" w:afterAutospacing="0" w:line="360" w:lineRule="auto"/>
        <w:ind w:firstLine="420"/>
        <w:rPr>
          <w:rStyle w:val="49"/>
          <w:rFonts w:hint="eastAsia"/>
          <w:b w:val="0"/>
          <w:bCs w:val="0"/>
          <w:sz w:val="21"/>
          <w:szCs w:val="21"/>
        </w:rPr>
      </w:pPr>
      <w:r>
        <w:rPr>
          <w:rStyle w:val="49"/>
          <w:rFonts w:hint="eastAsia"/>
          <w:b w:val="0"/>
          <w:bCs w:val="0"/>
          <w:sz w:val="21"/>
          <w:szCs w:val="21"/>
        </w:rPr>
        <w:t>联系人：    杜松岭</w:t>
      </w:r>
    </w:p>
    <w:p w14:paraId="15DA7294">
      <w:pPr>
        <w:pStyle w:val="37"/>
        <w:spacing w:before="0" w:beforeAutospacing="0" w:after="0" w:afterAutospacing="0" w:line="360" w:lineRule="auto"/>
        <w:ind w:firstLine="420"/>
        <w:rPr>
          <w:rStyle w:val="49"/>
          <w:rFonts w:hint="eastAsia"/>
          <w:b w:val="0"/>
          <w:bCs w:val="0"/>
          <w:sz w:val="21"/>
          <w:szCs w:val="21"/>
        </w:rPr>
      </w:pPr>
      <w:r>
        <w:rPr>
          <w:rStyle w:val="49"/>
          <w:rFonts w:hint="eastAsia"/>
          <w:b w:val="0"/>
          <w:bCs w:val="0"/>
          <w:sz w:val="21"/>
          <w:szCs w:val="21"/>
        </w:rPr>
        <w:t>联系电话：  （0755）8316 9999</w:t>
      </w:r>
    </w:p>
    <w:p w14:paraId="17E6D8D6">
      <w:pPr>
        <w:pStyle w:val="37"/>
        <w:spacing w:before="0" w:beforeAutospacing="0" w:after="0" w:afterAutospacing="0" w:line="360" w:lineRule="auto"/>
        <w:ind w:firstLine="420"/>
        <w:rPr>
          <w:rStyle w:val="49"/>
          <w:rFonts w:hint="eastAsia"/>
          <w:b w:val="0"/>
          <w:bCs w:val="0"/>
          <w:sz w:val="21"/>
          <w:szCs w:val="21"/>
        </w:rPr>
      </w:pPr>
      <w:r>
        <w:rPr>
          <w:rStyle w:val="49"/>
          <w:rFonts w:hint="eastAsia"/>
          <w:b w:val="0"/>
          <w:bCs w:val="0"/>
          <w:sz w:val="21"/>
          <w:szCs w:val="21"/>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42F23750">
      <w:pPr>
        <w:pStyle w:val="37"/>
        <w:spacing w:before="0" w:beforeAutospacing="0" w:after="0" w:afterAutospacing="0" w:line="360" w:lineRule="auto"/>
        <w:ind w:firstLine="420"/>
        <w:rPr>
          <w:rStyle w:val="49"/>
          <w:rFonts w:hint="eastAsia"/>
          <w:b w:val="0"/>
          <w:bCs w:val="0"/>
          <w:sz w:val="21"/>
          <w:szCs w:val="21"/>
        </w:rPr>
      </w:pPr>
      <w:r>
        <w:rPr>
          <w:rStyle w:val="49"/>
          <w:rFonts w:hint="eastAsia"/>
          <w:b w:val="0"/>
          <w:bCs w:val="0"/>
          <w:sz w:val="21"/>
          <w:szCs w:val="21"/>
        </w:rPr>
        <w:t>公司设立了投资决策委员会。投资决策委员会负责指导基金资产的运作、确定基本的投资策略和投资组合的原则。</w:t>
      </w:r>
    </w:p>
    <w:p w14:paraId="31835CA0">
      <w:pPr>
        <w:pStyle w:val="37"/>
        <w:spacing w:before="0" w:beforeAutospacing="0" w:after="0" w:afterAutospacing="0" w:line="360" w:lineRule="auto"/>
        <w:ind w:firstLine="420"/>
        <w:rPr>
          <w:rStyle w:val="49"/>
          <w:rFonts w:hint="eastAsia"/>
          <w:b w:val="0"/>
          <w:bCs w:val="0"/>
          <w:sz w:val="21"/>
          <w:szCs w:val="21"/>
        </w:rPr>
      </w:pPr>
      <w:r>
        <w:rPr>
          <w:rStyle w:val="49"/>
          <w:rFonts w:hint="eastAsia"/>
          <w:b w:val="0"/>
          <w:bCs w:val="0"/>
          <w:sz w:val="21"/>
          <w:szCs w:val="21"/>
        </w:rPr>
        <w:t xml:space="preserve">公司已经建立健全投资管理制度、风险控制制度、内部监察制度、财务管理制度、人事管理制度、信息披露制度和员工行为准则等公司管理制度体系。   </w:t>
      </w:r>
    </w:p>
    <w:p w14:paraId="3DB1558F">
      <w:pPr>
        <w:pStyle w:val="37"/>
        <w:spacing w:before="0" w:beforeAutospacing="0" w:after="0" w:afterAutospacing="0" w:line="360" w:lineRule="auto"/>
        <w:ind w:firstLine="420"/>
        <w:rPr>
          <w:rStyle w:val="49"/>
          <w:rFonts w:hint="eastAsia"/>
          <w:b w:val="0"/>
          <w:bCs w:val="0"/>
          <w:sz w:val="21"/>
          <w:szCs w:val="21"/>
        </w:rPr>
      </w:pPr>
      <w:r>
        <w:rPr>
          <w:rStyle w:val="49"/>
          <w:rFonts w:hint="eastAsia"/>
          <w:b w:val="0"/>
          <w:bCs w:val="0"/>
          <w:sz w:val="21"/>
          <w:szCs w:val="21"/>
        </w:rPr>
        <w:t>二、主要成员情况</w:t>
      </w:r>
    </w:p>
    <w:p w14:paraId="690A12F2">
      <w:pPr>
        <w:pStyle w:val="37"/>
        <w:spacing w:before="0" w:beforeAutospacing="0" w:after="0" w:afterAutospacing="0" w:line="360" w:lineRule="auto"/>
        <w:ind w:firstLine="420"/>
        <w:rPr>
          <w:rStyle w:val="49"/>
          <w:rFonts w:hint="eastAsia"/>
          <w:b w:val="0"/>
          <w:bCs w:val="0"/>
          <w:sz w:val="21"/>
          <w:szCs w:val="21"/>
        </w:rPr>
      </w:pPr>
      <w:r>
        <w:rPr>
          <w:rStyle w:val="49"/>
          <w:rFonts w:hint="eastAsia"/>
          <w:b w:val="0"/>
          <w:bCs w:val="0"/>
          <w:sz w:val="21"/>
          <w:szCs w:val="21"/>
        </w:rPr>
        <w:t>1、基金管理人董事会成员</w:t>
      </w:r>
    </w:p>
    <w:p w14:paraId="2D8FEE27">
      <w:pPr>
        <w:pStyle w:val="37"/>
        <w:spacing w:before="0" w:beforeAutospacing="0" w:after="0" w:afterAutospacing="0" w:line="360" w:lineRule="auto"/>
        <w:ind w:firstLine="420"/>
        <w:rPr>
          <w:rStyle w:val="49"/>
          <w:rFonts w:hint="eastAsia"/>
          <w:b w:val="0"/>
          <w:bCs w:val="0"/>
          <w:sz w:val="21"/>
          <w:szCs w:val="21"/>
        </w:rPr>
      </w:pPr>
      <w:r>
        <w:rPr>
          <w:rStyle w:val="49"/>
          <w:rFonts w:hint="eastAsia"/>
          <w:b w:val="0"/>
          <w:bCs w:val="0"/>
          <w:sz w:val="21"/>
          <w:szCs w:val="21"/>
        </w:rPr>
        <w:t>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自2026年2月12日起代为履行博时基金管理有限公司首席信息官职责。</w:t>
      </w:r>
    </w:p>
    <w:p w14:paraId="6300FFA6">
      <w:pPr>
        <w:pStyle w:val="37"/>
        <w:spacing w:before="0" w:beforeAutospacing="0" w:after="0" w:afterAutospacing="0" w:line="360" w:lineRule="auto"/>
        <w:ind w:firstLine="420"/>
        <w:rPr>
          <w:rStyle w:val="49"/>
          <w:rFonts w:hint="eastAsia"/>
          <w:b w:val="0"/>
          <w:bCs w:val="0"/>
          <w:sz w:val="21"/>
          <w:szCs w:val="21"/>
        </w:rPr>
      </w:pPr>
      <w:r>
        <w:rPr>
          <w:rStyle w:val="49"/>
          <w:rFonts w:hint="eastAsia"/>
          <w:b w:val="0"/>
          <w:bCs w:val="0"/>
          <w:sz w:val="21"/>
          <w:szCs w:val="21"/>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0D471DD6">
      <w:pPr>
        <w:pStyle w:val="37"/>
        <w:spacing w:before="0" w:beforeAutospacing="0" w:after="0" w:afterAutospacing="0" w:line="360" w:lineRule="auto"/>
        <w:ind w:firstLine="420"/>
        <w:rPr>
          <w:rStyle w:val="49"/>
          <w:rFonts w:hint="eastAsia"/>
          <w:b w:val="0"/>
          <w:bCs w:val="0"/>
          <w:sz w:val="21"/>
          <w:szCs w:val="21"/>
        </w:rPr>
      </w:pPr>
      <w:r>
        <w:rPr>
          <w:rStyle w:val="49"/>
          <w:rFonts w:hint="eastAsia"/>
          <w:b w:val="0"/>
          <w:bCs w:val="0"/>
          <w:sz w:val="21"/>
          <w:szCs w:val="21"/>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4D16C20D">
      <w:pPr>
        <w:pStyle w:val="37"/>
        <w:spacing w:before="0" w:beforeAutospacing="0" w:after="0" w:afterAutospacing="0" w:line="360" w:lineRule="auto"/>
        <w:ind w:firstLine="420"/>
        <w:rPr>
          <w:rStyle w:val="49"/>
          <w:rFonts w:hint="eastAsia"/>
          <w:b w:val="0"/>
          <w:bCs w:val="0"/>
          <w:sz w:val="21"/>
          <w:szCs w:val="21"/>
        </w:rPr>
      </w:pPr>
      <w:r>
        <w:rPr>
          <w:rStyle w:val="49"/>
          <w:rFonts w:hint="eastAsia"/>
          <w:b w:val="0"/>
          <w:bCs w:val="0"/>
          <w:sz w:val="21"/>
          <w:szCs w:val="21"/>
        </w:rPr>
        <w:t>郝宇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1CA0A6CF">
      <w:pPr>
        <w:pStyle w:val="37"/>
        <w:spacing w:before="0" w:beforeAutospacing="0" w:after="0" w:afterAutospacing="0" w:line="360" w:lineRule="auto"/>
        <w:ind w:firstLine="420"/>
        <w:rPr>
          <w:rStyle w:val="49"/>
          <w:rFonts w:hint="eastAsia"/>
          <w:b w:val="0"/>
          <w:bCs w:val="0"/>
          <w:sz w:val="21"/>
          <w:szCs w:val="21"/>
        </w:rPr>
      </w:pPr>
      <w:r>
        <w:rPr>
          <w:rStyle w:val="49"/>
          <w:rFonts w:hint="eastAsia"/>
          <w:b w:val="0"/>
          <w:bCs w:val="0"/>
          <w:sz w:val="21"/>
          <w:szCs w:val="21"/>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7FB5A8E1">
      <w:pPr>
        <w:pStyle w:val="37"/>
        <w:spacing w:before="0" w:beforeAutospacing="0" w:after="0" w:afterAutospacing="0" w:line="360" w:lineRule="auto"/>
        <w:ind w:firstLine="420"/>
        <w:rPr>
          <w:rStyle w:val="49"/>
          <w:rFonts w:hint="eastAsia"/>
          <w:b w:val="0"/>
          <w:bCs w:val="0"/>
          <w:sz w:val="21"/>
          <w:szCs w:val="21"/>
        </w:rPr>
      </w:pPr>
      <w:r>
        <w:rPr>
          <w:rStyle w:val="49"/>
          <w:rFonts w:hint="eastAsia"/>
          <w:b w:val="0"/>
          <w:bCs w:val="0"/>
          <w:sz w:val="21"/>
          <w:szCs w:val="21"/>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1D108740">
      <w:pPr>
        <w:pStyle w:val="37"/>
        <w:spacing w:before="0" w:beforeAutospacing="0" w:after="0" w:afterAutospacing="0" w:line="360" w:lineRule="auto"/>
        <w:ind w:firstLine="420"/>
        <w:rPr>
          <w:rStyle w:val="49"/>
          <w:rFonts w:hint="eastAsia"/>
          <w:b w:val="0"/>
          <w:bCs w:val="0"/>
          <w:sz w:val="21"/>
          <w:szCs w:val="21"/>
        </w:rPr>
      </w:pPr>
      <w:r>
        <w:rPr>
          <w:rStyle w:val="49"/>
          <w:rFonts w:hint="eastAsia"/>
          <w:b w:val="0"/>
          <w:bCs w:val="0"/>
          <w:sz w:val="21"/>
          <w:szCs w:val="21"/>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7C11745E">
      <w:pPr>
        <w:pStyle w:val="37"/>
        <w:spacing w:before="0" w:beforeAutospacing="0" w:after="0" w:afterAutospacing="0" w:line="360" w:lineRule="auto"/>
        <w:ind w:firstLine="420"/>
        <w:rPr>
          <w:rStyle w:val="49"/>
          <w:rFonts w:hint="eastAsia"/>
          <w:b w:val="0"/>
          <w:bCs w:val="0"/>
          <w:sz w:val="21"/>
          <w:szCs w:val="21"/>
        </w:rPr>
      </w:pPr>
      <w:r>
        <w:rPr>
          <w:rStyle w:val="49"/>
          <w:rFonts w:hint="eastAsia"/>
          <w:b w:val="0"/>
          <w:bCs w:val="0"/>
          <w:sz w:val="21"/>
          <w:szCs w:val="21"/>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0AED222E">
      <w:pPr>
        <w:pStyle w:val="37"/>
        <w:spacing w:before="0" w:beforeAutospacing="0" w:after="0" w:afterAutospacing="0" w:line="360" w:lineRule="auto"/>
        <w:ind w:firstLine="420"/>
        <w:rPr>
          <w:rStyle w:val="49"/>
          <w:rFonts w:hint="eastAsia"/>
          <w:b w:val="0"/>
          <w:bCs w:val="0"/>
          <w:sz w:val="21"/>
          <w:szCs w:val="21"/>
        </w:rPr>
      </w:pPr>
      <w:r>
        <w:rPr>
          <w:rStyle w:val="49"/>
          <w:rFonts w:hint="eastAsia"/>
          <w:b w:val="0"/>
          <w:bCs w:val="0"/>
          <w:sz w:val="21"/>
          <w:szCs w:val="21"/>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757FA778">
      <w:pPr>
        <w:pStyle w:val="37"/>
        <w:spacing w:before="0" w:beforeAutospacing="0" w:after="0" w:afterAutospacing="0" w:line="360" w:lineRule="auto"/>
        <w:ind w:firstLine="420"/>
        <w:rPr>
          <w:rStyle w:val="49"/>
          <w:rFonts w:hint="eastAsia"/>
          <w:b w:val="0"/>
          <w:bCs w:val="0"/>
          <w:sz w:val="21"/>
          <w:szCs w:val="21"/>
        </w:rPr>
      </w:pPr>
      <w:r>
        <w:rPr>
          <w:rStyle w:val="49"/>
          <w:rFonts w:hint="eastAsia"/>
          <w:b w:val="0"/>
          <w:bCs w:val="0"/>
          <w:sz w:val="21"/>
          <w:szCs w:val="21"/>
        </w:rPr>
        <w:t>方芳女士，上海财经大学国民经济学专业博士、加拿大不列颠哥伦比亚大学访问学者。1985年7月至今，就职于上海财经大学。历任上海财经大学公共经济与管理学院副院长 、上海财经大学公共经济与管理学院党委书记。2023年2月至今，任上海财经大学财税投资学院投资发展研究院院长、金融硕士（首席投资官）教育项目中心主任。同时，任世界华人不动产学会副秘书长、中国基本建设优化研究会理事、上海市投资学会会员等社会职务。</w:t>
      </w:r>
    </w:p>
    <w:p w14:paraId="29183325">
      <w:pPr>
        <w:pStyle w:val="37"/>
        <w:spacing w:before="0" w:beforeAutospacing="0" w:after="0" w:afterAutospacing="0" w:line="360" w:lineRule="auto"/>
        <w:ind w:firstLine="420"/>
        <w:rPr>
          <w:rStyle w:val="49"/>
          <w:rFonts w:hint="eastAsia"/>
          <w:b w:val="0"/>
          <w:bCs w:val="0"/>
          <w:sz w:val="21"/>
          <w:szCs w:val="21"/>
        </w:rPr>
      </w:pPr>
      <w:r>
        <w:rPr>
          <w:rStyle w:val="49"/>
          <w:rFonts w:hint="eastAsia"/>
          <w:b w:val="0"/>
          <w:bCs w:val="0"/>
          <w:sz w:val="21"/>
          <w:szCs w:val="21"/>
        </w:rPr>
        <w:t>贺春临女士，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1204F0B8">
      <w:pPr>
        <w:pStyle w:val="37"/>
        <w:spacing w:before="0" w:beforeAutospacing="0" w:after="0" w:afterAutospacing="0" w:line="360" w:lineRule="auto"/>
        <w:ind w:firstLine="420"/>
        <w:rPr>
          <w:rStyle w:val="49"/>
          <w:rFonts w:hint="eastAsia"/>
          <w:b w:val="0"/>
          <w:bCs w:val="0"/>
          <w:sz w:val="21"/>
          <w:szCs w:val="21"/>
        </w:rPr>
      </w:pPr>
      <w:r>
        <w:rPr>
          <w:rStyle w:val="49"/>
          <w:rFonts w:hint="eastAsia"/>
          <w:b w:val="0"/>
          <w:bCs w:val="0"/>
          <w:sz w:val="21"/>
          <w:szCs w:val="21"/>
        </w:rPr>
        <w:t>2、高级管理人员</w:t>
      </w:r>
    </w:p>
    <w:p w14:paraId="0DE1FC6C">
      <w:pPr>
        <w:pStyle w:val="37"/>
        <w:spacing w:before="0" w:beforeAutospacing="0" w:after="0" w:afterAutospacing="0" w:line="360" w:lineRule="auto"/>
        <w:ind w:firstLine="420"/>
        <w:rPr>
          <w:rStyle w:val="49"/>
          <w:rFonts w:hint="eastAsia"/>
          <w:b w:val="0"/>
          <w:bCs w:val="0"/>
          <w:sz w:val="21"/>
          <w:szCs w:val="21"/>
        </w:rPr>
      </w:pPr>
      <w:r>
        <w:rPr>
          <w:rStyle w:val="49"/>
          <w:rFonts w:hint="eastAsia"/>
          <w:b w:val="0"/>
          <w:bCs w:val="0"/>
          <w:sz w:val="21"/>
          <w:szCs w:val="21"/>
        </w:rPr>
        <w:t>张东先生，简历同上。</w:t>
      </w:r>
    </w:p>
    <w:p w14:paraId="53ED67B9">
      <w:pPr>
        <w:pStyle w:val="37"/>
        <w:spacing w:before="0" w:beforeAutospacing="0" w:after="0" w:afterAutospacing="0" w:line="360" w:lineRule="auto"/>
        <w:ind w:firstLine="420"/>
        <w:rPr>
          <w:rStyle w:val="49"/>
          <w:rFonts w:hint="eastAsia"/>
          <w:b w:val="0"/>
          <w:bCs w:val="0"/>
          <w:sz w:val="21"/>
          <w:szCs w:val="21"/>
        </w:rPr>
      </w:pPr>
      <w:r>
        <w:rPr>
          <w:rStyle w:val="49"/>
          <w:rFonts w:hint="eastAsia"/>
          <w:b w:val="0"/>
          <w:bCs w:val="0"/>
          <w:sz w:val="21"/>
          <w:szCs w:val="21"/>
        </w:rPr>
        <w:t>陈宇先生，简历同上。</w:t>
      </w:r>
    </w:p>
    <w:p w14:paraId="41DAD361">
      <w:pPr>
        <w:pStyle w:val="37"/>
        <w:spacing w:before="0" w:beforeAutospacing="0" w:after="0" w:afterAutospacing="0" w:line="360" w:lineRule="auto"/>
        <w:ind w:firstLine="420"/>
        <w:rPr>
          <w:rStyle w:val="49"/>
          <w:rFonts w:hint="eastAsia"/>
          <w:b w:val="0"/>
          <w:bCs w:val="0"/>
          <w:sz w:val="21"/>
          <w:szCs w:val="21"/>
        </w:rPr>
      </w:pPr>
      <w:r>
        <w:rPr>
          <w:rStyle w:val="49"/>
          <w:rFonts w:hint="eastAsia"/>
          <w:b w:val="0"/>
          <w:bCs w:val="0"/>
          <w:sz w:val="21"/>
          <w:szCs w:val="21"/>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资本管理有限公司董事长和博时财富基金销售有限公司董事。</w:t>
      </w:r>
    </w:p>
    <w:p w14:paraId="1AEBF5E5">
      <w:pPr>
        <w:pStyle w:val="37"/>
        <w:spacing w:before="0" w:beforeAutospacing="0" w:after="0" w:afterAutospacing="0" w:line="360" w:lineRule="auto"/>
        <w:ind w:firstLine="420"/>
        <w:rPr>
          <w:rStyle w:val="49"/>
          <w:rFonts w:hint="eastAsia"/>
          <w:b w:val="0"/>
          <w:bCs w:val="0"/>
          <w:sz w:val="21"/>
          <w:szCs w:val="21"/>
        </w:rPr>
      </w:pPr>
      <w:r>
        <w:rPr>
          <w:rStyle w:val="49"/>
          <w:rFonts w:hint="eastAsia"/>
          <w:b w:val="0"/>
          <w:bCs w:val="0"/>
          <w:sz w:val="21"/>
          <w:szCs w:val="21"/>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 </w:t>
      </w:r>
    </w:p>
    <w:p w14:paraId="495A7870">
      <w:pPr>
        <w:pStyle w:val="37"/>
        <w:spacing w:before="0" w:beforeAutospacing="0" w:after="0" w:afterAutospacing="0" w:line="360" w:lineRule="auto"/>
        <w:ind w:firstLine="420"/>
        <w:rPr>
          <w:rStyle w:val="49"/>
          <w:rFonts w:hint="eastAsia"/>
          <w:b w:val="0"/>
          <w:bCs w:val="0"/>
          <w:sz w:val="21"/>
          <w:szCs w:val="21"/>
        </w:rPr>
      </w:pPr>
      <w:r>
        <w:rPr>
          <w:rStyle w:val="49"/>
          <w:rFonts w:hint="eastAsia"/>
          <w:b w:val="0"/>
          <w:bCs w:val="0"/>
          <w:sz w:val="21"/>
          <w:szCs w:val="21"/>
        </w:rPr>
        <w:t>于善辉先生，硕士，副总经理。 2001年至2023年先后在天相投资顾问有限公司、民生加银基金管理有限公司工作。2023年加入博时基金管理有限公司，现任公司副总经理兼公司投资决策委员会专职委员、年金投资部总经理。</w:t>
      </w:r>
    </w:p>
    <w:p w14:paraId="1B88066B">
      <w:pPr>
        <w:pStyle w:val="37"/>
        <w:spacing w:before="0" w:beforeAutospacing="0" w:after="0" w:afterAutospacing="0" w:line="360" w:lineRule="auto"/>
        <w:ind w:firstLine="420"/>
        <w:rPr>
          <w:sz w:val="21"/>
          <w:szCs w:val="21"/>
        </w:rPr>
      </w:pPr>
      <w:r>
        <w:rPr>
          <w:rFonts w:hint="eastAsia"/>
          <w:sz w:val="21"/>
          <w:szCs w:val="21"/>
          <w:lang w:val="en-US" w:eastAsia="zh-CN"/>
        </w:rPr>
        <w:t>3</w:t>
      </w:r>
      <w:r>
        <w:rPr>
          <w:rFonts w:hint="eastAsia"/>
          <w:sz w:val="21"/>
          <w:szCs w:val="21"/>
        </w:rPr>
        <w:t xml:space="preserve">、本基金基金经理  </w:t>
      </w:r>
    </w:p>
    <w:p w14:paraId="43AE1E77">
      <w:pPr>
        <w:pStyle w:val="37"/>
        <w:spacing w:before="0" w:beforeAutospacing="0" w:after="0" w:afterAutospacing="0" w:line="360" w:lineRule="auto"/>
        <w:ind w:firstLine="420"/>
        <w:rPr>
          <w:rFonts w:hint="eastAsia"/>
          <w:sz w:val="21"/>
          <w:szCs w:val="21"/>
        </w:rPr>
      </w:pPr>
      <w:r>
        <w:rPr>
          <w:rFonts w:hint="eastAsia"/>
          <w:sz w:val="21"/>
          <w:szCs w:val="21"/>
        </w:rPr>
        <w:t>王萌先生，博士。2016年毕业后加入博时基金管理有限公司。现任博时恒生港股通红利交易型开放式指数证券投资基金(2025年4月16日—至今)、博时中证全指自由现金流交易型开放式指数证券投资基金(2025年6月30日—至今)、博时恒生港股通创新药精选交易型开放式指数证券投资基金(2025年7月23日—至今)、博时中证全指自由现金流交易型开放式指数证券投资基金联接基金(2025年9月1日—至今)、博时国证工业软件主题交易型开放式指数证券投资基金(2025年11月12日—至今)、博时中证光伏产业交易型开放式指数证券投资基金(2026年2月11日—至今)、博时中证全指红利质量交易型开放式指数证券投资基金(2026年6月17日—至今)、博时国证储能电池指数型证券投资基金(2026年6月26日—至今)、博时中证工程机械主题交易型开放式指数证券投资基金(2026年8月14日—至今)的基金经理。</w:t>
      </w:r>
    </w:p>
    <w:p w14:paraId="6995A690">
      <w:pPr>
        <w:snapToGrid w:val="0"/>
        <w:spacing w:line="360" w:lineRule="auto"/>
        <w:ind w:firstLine="420" w:firstLineChars="200"/>
        <w:rPr>
          <w:rFonts w:hint="eastAsia"/>
          <w:kern w:val="0"/>
          <w:szCs w:val="21"/>
        </w:rPr>
      </w:pPr>
      <w:r>
        <w:rPr>
          <w:rFonts w:hint="eastAsia"/>
          <w:kern w:val="0"/>
          <w:szCs w:val="21"/>
        </w:rPr>
        <w:t xml:space="preserve">4、投资决策委员会成员 </w:t>
      </w:r>
    </w:p>
    <w:p w14:paraId="357EDD09">
      <w:pPr>
        <w:snapToGrid w:val="0"/>
        <w:spacing w:line="360" w:lineRule="auto"/>
        <w:ind w:firstLine="420" w:firstLineChars="200"/>
        <w:rPr>
          <w:rFonts w:hint="eastAsia"/>
          <w:kern w:val="0"/>
          <w:szCs w:val="21"/>
        </w:rPr>
      </w:pPr>
      <w:r>
        <w:rPr>
          <w:rFonts w:hint="eastAsia"/>
          <w:kern w:val="0"/>
          <w:szCs w:val="21"/>
        </w:rPr>
        <w:t>公司首席资产配置官黄健斌先生。</w:t>
      </w:r>
    </w:p>
    <w:p w14:paraId="6393F389">
      <w:pPr>
        <w:snapToGrid w:val="0"/>
        <w:spacing w:line="360" w:lineRule="auto"/>
        <w:ind w:firstLine="420" w:firstLineChars="200"/>
        <w:rPr>
          <w:rFonts w:hint="eastAsia"/>
          <w:kern w:val="0"/>
          <w:szCs w:val="21"/>
        </w:rPr>
      </w:pPr>
      <w:r>
        <w:rPr>
          <w:rFonts w:hint="eastAsia"/>
          <w:kern w:val="0"/>
          <w:szCs w:val="21"/>
        </w:rPr>
        <w:t>公司副总经理兼公司投资决策委员会专职委员、年金投资部总经理于善辉先生。</w:t>
      </w:r>
    </w:p>
    <w:p w14:paraId="4C5906A1">
      <w:pPr>
        <w:snapToGrid w:val="0"/>
        <w:spacing w:line="360" w:lineRule="auto"/>
        <w:ind w:firstLine="420" w:firstLineChars="200"/>
        <w:rPr>
          <w:rFonts w:hint="eastAsia"/>
          <w:kern w:val="0"/>
          <w:szCs w:val="21"/>
        </w:rPr>
      </w:pPr>
      <w:r>
        <w:rPr>
          <w:rFonts w:hint="eastAsia"/>
          <w:kern w:val="0"/>
          <w:szCs w:val="21"/>
        </w:rPr>
        <w:t xml:space="preserve">首席基金经理过钧先生。 </w:t>
      </w:r>
    </w:p>
    <w:p w14:paraId="774DF847">
      <w:pPr>
        <w:snapToGrid w:val="0"/>
        <w:spacing w:line="360" w:lineRule="auto"/>
        <w:ind w:firstLine="420" w:firstLineChars="200"/>
        <w:rPr>
          <w:rFonts w:hint="eastAsia"/>
          <w:kern w:val="0"/>
          <w:szCs w:val="21"/>
        </w:rPr>
      </w:pPr>
      <w:r>
        <w:rPr>
          <w:rFonts w:hint="eastAsia"/>
          <w:kern w:val="0"/>
          <w:szCs w:val="21"/>
        </w:rPr>
        <w:t xml:space="preserve">首席投资官兼权益投研一体化总监、境外投资部总经理曾鹏先生。 </w:t>
      </w:r>
    </w:p>
    <w:p w14:paraId="04D0197E">
      <w:pPr>
        <w:snapToGrid w:val="0"/>
        <w:spacing w:line="360" w:lineRule="auto"/>
        <w:ind w:firstLine="420" w:firstLineChars="200"/>
        <w:rPr>
          <w:rFonts w:hint="eastAsia"/>
          <w:kern w:val="0"/>
          <w:szCs w:val="21"/>
        </w:rPr>
      </w:pPr>
      <w:r>
        <w:rPr>
          <w:rFonts w:hint="eastAsia"/>
          <w:kern w:val="0"/>
          <w:szCs w:val="21"/>
        </w:rPr>
        <w:t xml:space="preserve">董事总经理兼权益投资三部总经理、权益投资三部投资总监蔡滨先生。 </w:t>
      </w:r>
    </w:p>
    <w:p w14:paraId="3A702795">
      <w:pPr>
        <w:snapToGrid w:val="0"/>
        <w:spacing w:line="360" w:lineRule="auto"/>
        <w:ind w:firstLine="420" w:firstLineChars="200"/>
        <w:rPr>
          <w:rFonts w:hint="eastAsia"/>
          <w:kern w:val="0"/>
          <w:szCs w:val="21"/>
        </w:rPr>
      </w:pPr>
      <w:r>
        <w:rPr>
          <w:rFonts w:hint="eastAsia"/>
          <w:kern w:val="0"/>
          <w:szCs w:val="21"/>
        </w:rPr>
        <w:t xml:space="preserve">行业研究部总经理魏立先生。 </w:t>
      </w:r>
    </w:p>
    <w:p w14:paraId="06041D40">
      <w:pPr>
        <w:snapToGrid w:val="0"/>
        <w:spacing w:line="360" w:lineRule="auto"/>
        <w:ind w:firstLine="420" w:firstLineChars="200"/>
        <w:rPr>
          <w:rFonts w:hint="eastAsia"/>
          <w:kern w:val="0"/>
          <w:szCs w:val="21"/>
        </w:rPr>
      </w:pPr>
      <w:r>
        <w:rPr>
          <w:rFonts w:hint="eastAsia"/>
          <w:kern w:val="0"/>
          <w:szCs w:val="21"/>
        </w:rPr>
        <w:t xml:space="preserve">指数与量化投资部总经理兼指数与量化投资部投资总监赵云阳先生。  </w:t>
      </w:r>
    </w:p>
    <w:p w14:paraId="1040E7AA">
      <w:pPr>
        <w:snapToGrid w:val="0"/>
        <w:spacing w:line="360" w:lineRule="auto"/>
        <w:ind w:firstLine="420" w:firstLineChars="200"/>
        <w:rPr>
          <w:rFonts w:hint="eastAsia"/>
          <w:kern w:val="0"/>
          <w:szCs w:val="21"/>
        </w:rPr>
      </w:pPr>
      <w:r>
        <w:rPr>
          <w:rFonts w:hint="eastAsia"/>
          <w:kern w:val="0"/>
          <w:szCs w:val="21"/>
        </w:rPr>
        <w:t>宏观策略部总经理助理（主持工作）兼首席策略分析师陈显顺先生。</w:t>
      </w:r>
    </w:p>
    <w:p w14:paraId="5B88E657">
      <w:pPr>
        <w:snapToGrid w:val="0"/>
        <w:spacing w:line="360" w:lineRule="auto"/>
        <w:ind w:firstLine="420" w:firstLineChars="200"/>
        <w:rPr>
          <w:rFonts w:hint="eastAsia"/>
          <w:kern w:val="0"/>
          <w:szCs w:val="21"/>
        </w:rPr>
      </w:pPr>
      <w:r>
        <w:rPr>
          <w:rFonts w:hint="eastAsia"/>
          <w:kern w:val="0"/>
          <w:szCs w:val="21"/>
        </w:rPr>
        <w:t>5、上述人员之间均不存在</w:t>
      </w:r>
      <w:bookmarkStart w:id="232" w:name="_GoBack"/>
      <w:bookmarkEnd w:id="232"/>
      <w:r>
        <w:rPr>
          <w:rFonts w:hint="eastAsia"/>
          <w:kern w:val="0"/>
          <w:szCs w:val="21"/>
        </w:rPr>
        <w:t>近亲属关系。</w:t>
      </w:r>
    </w:p>
    <w:p w14:paraId="2541D137">
      <w:pPr>
        <w:snapToGrid w:val="0"/>
        <w:spacing w:line="360" w:lineRule="auto"/>
        <w:ind w:firstLine="422" w:firstLineChars="200"/>
        <w:rPr>
          <w:rFonts w:ascii="宋体" w:hAnsi="宋体" w:cs="Arial"/>
          <w:b/>
          <w:bCs/>
          <w:szCs w:val="21"/>
        </w:rPr>
      </w:pPr>
      <w:r>
        <w:rPr>
          <w:rFonts w:hint="eastAsia" w:ascii="宋体" w:hAnsi="宋体" w:cs="Arial"/>
          <w:b/>
          <w:bCs/>
          <w:szCs w:val="21"/>
        </w:rPr>
        <w:t>三</w:t>
      </w:r>
      <w:r>
        <w:rPr>
          <w:rFonts w:ascii="宋体" w:hAnsi="宋体" w:cs="Arial"/>
          <w:b/>
          <w:bCs/>
          <w:szCs w:val="21"/>
        </w:rPr>
        <w:t>、基金管理人的职责</w:t>
      </w:r>
    </w:p>
    <w:p w14:paraId="4CE66C08">
      <w:pPr>
        <w:snapToGrid w:val="0"/>
        <w:spacing w:line="360" w:lineRule="auto"/>
        <w:ind w:firstLine="420" w:firstLineChars="200"/>
        <w:rPr>
          <w:rFonts w:ascii="宋体" w:hAnsi="宋体" w:cs="Arial"/>
          <w:bCs/>
          <w:szCs w:val="21"/>
        </w:rPr>
      </w:pPr>
      <w:r>
        <w:rPr>
          <w:rFonts w:hint="eastAsia" w:ascii="宋体" w:hAnsi="宋体" w:cs="Arial"/>
          <w:bCs/>
          <w:szCs w:val="21"/>
        </w:rPr>
        <w:t>1、</w:t>
      </w:r>
      <w:r>
        <w:rPr>
          <w:rFonts w:ascii="宋体" w:hAnsi="宋体" w:cs="Arial"/>
          <w:bCs/>
          <w:szCs w:val="21"/>
        </w:rPr>
        <w:t>依法募集</w:t>
      </w:r>
      <w:r>
        <w:rPr>
          <w:rFonts w:hint="eastAsia" w:ascii="宋体" w:hAnsi="宋体" w:cs="Arial"/>
          <w:bCs/>
          <w:szCs w:val="21"/>
        </w:rPr>
        <w:t>资</w:t>
      </w:r>
      <w:r>
        <w:rPr>
          <w:rFonts w:ascii="宋体" w:hAnsi="宋体" w:cs="Arial"/>
          <w:bCs/>
          <w:szCs w:val="21"/>
        </w:rPr>
        <w:t>金，办理或者委托经中国证监会认定的其他机构代为办理基金份额的</w:t>
      </w:r>
      <w:r>
        <w:rPr>
          <w:rFonts w:hint="eastAsia" w:ascii="宋体" w:hAnsi="宋体" w:cs="Arial"/>
          <w:bCs/>
          <w:szCs w:val="21"/>
        </w:rPr>
        <w:t>发售、</w:t>
      </w:r>
      <w:r>
        <w:rPr>
          <w:rFonts w:ascii="宋体" w:hAnsi="宋体" w:cs="Arial"/>
          <w:bCs/>
          <w:szCs w:val="21"/>
        </w:rPr>
        <w:t>申购、赎回和登记事宜；</w:t>
      </w:r>
    </w:p>
    <w:p w14:paraId="77A0EDFD">
      <w:pPr>
        <w:snapToGrid w:val="0"/>
        <w:spacing w:line="360" w:lineRule="auto"/>
        <w:ind w:firstLine="420" w:firstLineChars="200"/>
        <w:rPr>
          <w:rFonts w:ascii="宋体" w:hAnsi="宋体" w:cs="Arial"/>
          <w:bCs/>
          <w:szCs w:val="21"/>
        </w:rPr>
      </w:pPr>
      <w:r>
        <w:rPr>
          <w:rFonts w:hint="eastAsia" w:ascii="宋体" w:hAnsi="宋体" w:cs="Arial"/>
          <w:bCs/>
          <w:szCs w:val="21"/>
        </w:rPr>
        <w:t>2、</w:t>
      </w:r>
      <w:r>
        <w:rPr>
          <w:rFonts w:ascii="宋体" w:hAnsi="宋体" w:cs="Arial"/>
          <w:bCs/>
          <w:szCs w:val="21"/>
        </w:rPr>
        <w:t>办理基金备案手续；</w:t>
      </w:r>
    </w:p>
    <w:p w14:paraId="192EE0ED">
      <w:pPr>
        <w:snapToGrid w:val="0"/>
        <w:spacing w:line="360" w:lineRule="auto"/>
        <w:ind w:firstLine="420" w:firstLineChars="200"/>
        <w:rPr>
          <w:rFonts w:ascii="宋体" w:hAnsi="宋体" w:cs="Arial"/>
          <w:bCs/>
          <w:szCs w:val="21"/>
        </w:rPr>
      </w:pPr>
      <w:r>
        <w:rPr>
          <w:rFonts w:hint="eastAsia" w:ascii="宋体" w:hAnsi="宋体" w:cs="Arial"/>
          <w:bCs/>
          <w:szCs w:val="21"/>
        </w:rPr>
        <w:t>3、</w:t>
      </w:r>
      <w:r>
        <w:rPr>
          <w:rFonts w:ascii="宋体" w:hAnsi="宋体" w:cs="Arial"/>
          <w:bCs/>
          <w:szCs w:val="21"/>
        </w:rPr>
        <w:t>自《基金合同》生效之日起</w:t>
      </w:r>
      <w:r>
        <w:rPr>
          <w:rFonts w:hint="eastAsia" w:ascii="宋体" w:hAnsi="宋体" w:cs="Arial"/>
          <w:bCs/>
          <w:szCs w:val="21"/>
        </w:rPr>
        <w:t>，</w:t>
      </w:r>
      <w:r>
        <w:rPr>
          <w:rFonts w:ascii="宋体" w:hAnsi="宋体" w:cs="Arial"/>
          <w:bCs/>
          <w:szCs w:val="21"/>
        </w:rPr>
        <w:t>以诚实信用、谨慎勤勉的原则管理和运用基金财产；</w:t>
      </w:r>
    </w:p>
    <w:p w14:paraId="29C8AB1B">
      <w:pPr>
        <w:snapToGrid w:val="0"/>
        <w:spacing w:line="360" w:lineRule="auto"/>
        <w:ind w:firstLine="420" w:firstLineChars="200"/>
        <w:rPr>
          <w:rFonts w:ascii="宋体" w:hAnsi="宋体" w:cs="Arial"/>
          <w:bCs/>
          <w:szCs w:val="21"/>
        </w:rPr>
      </w:pPr>
      <w:r>
        <w:rPr>
          <w:rFonts w:hint="eastAsia" w:ascii="宋体" w:hAnsi="宋体" w:cs="Arial"/>
          <w:bCs/>
          <w:szCs w:val="21"/>
        </w:rPr>
        <w:t>4、</w:t>
      </w:r>
      <w:r>
        <w:rPr>
          <w:rFonts w:ascii="宋体" w:hAnsi="宋体" w:cs="Arial"/>
          <w:bCs/>
          <w:szCs w:val="21"/>
        </w:rPr>
        <w:t>配备足够的具有专业资格的人员进行基金投资分析、决策，以专业化的经营方式管理和运作基金财产；</w:t>
      </w:r>
    </w:p>
    <w:p w14:paraId="12392981">
      <w:pPr>
        <w:snapToGrid w:val="0"/>
        <w:spacing w:line="360" w:lineRule="auto"/>
        <w:ind w:firstLine="420" w:firstLineChars="200"/>
        <w:rPr>
          <w:rFonts w:ascii="宋体" w:hAnsi="宋体" w:cs="Arial"/>
          <w:bCs/>
          <w:szCs w:val="21"/>
        </w:rPr>
      </w:pPr>
      <w:r>
        <w:rPr>
          <w:rFonts w:hint="eastAsia" w:ascii="宋体" w:hAnsi="宋体" w:cs="Arial"/>
          <w:bCs/>
          <w:szCs w:val="21"/>
        </w:rPr>
        <w:t>5、</w:t>
      </w:r>
      <w:r>
        <w:rPr>
          <w:rFonts w:ascii="宋体" w:hAnsi="宋体" w:cs="Arial"/>
          <w:bCs/>
          <w:szCs w:val="21"/>
        </w:rPr>
        <w:t>建立健全内部风险控制、监察与稽核、财务管理及人事管理等制度，保证所管理的基金财产和基金管理人的财产相互独立</w:t>
      </w:r>
      <w:r>
        <w:rPr>
          <w:rFonts w:hint="eastAsia" w:ascii="宋体" w:hAnsi="宋体" w:cs="Arial"/>
          <w:bCs/>
          <w:szCs w:val="21"/>
        </w:rPr>
        <w:t>，</w:t>
      </w:r>
      <w:r>
        <w:rPr>
          <w:rFonts w:ascii="宋体" w:hAnsi="宋体" w:cs="Arial"/>
          <w:bCs/>
          <w:szCs w:val="21"/>
        </w:rPr>
        <w:t>对所管理的不同基金分别管理，分别记账，进行证券投资；</w:t>
      </w:r>
    </w:p>
    <w:p w14:paraId="2E6A97D8">
      <w:pPr>
        <w:snapToGrid w:val="0"/>
        <w:spacing w:line="360" w:lineRule="auto"/>
        <w:ind w:firstLine="420" w:firstLineChars="200"/>
        <w:rPr>
          <w:rFonts w:ascii="宋体" w:hAnsi="宋体" w:cs="Arial"/>
          <w:bCs/>
          <w:szCs w:val="21"/>
        </w:rPr>
      </w:pPr>
      <w:r>
        <w:rPr>
          <w:rFonts w:hint="eastAsia" w:ascii="宋体" w:hAnsi="宋体" w:cs="Arial"/>
          <w:bCs/>
          <w:szCs w:val="21"/>
        </w:rPr>
        <w:t>6、</w:t>
      </w:r>
      <w:r>
        <w:rPr>
          <w:rFonts w:ascii="宋体" w:hAnsi="宋体" w:cs="Arial"/>
          <w:bCs/>
          <w:szCs w:val="21"/>
        </w:rPr>
        <w:t>除依据《基金法》、《基金合同》及其他有关规定外</w:t>
      </w:r>
      <w:r>
        <w:rPr>
          <w:rFonts w:hint="eastAsia" w:ascii="宋体" w:hAnsi="宋体" w:cs="Arial"/>
          <w:bCs/>
          <w:szCs w:val="21"/>
        </w:rPr>
        <w:t>，</w:t>
      </w:r>
      <w:r>
        <w:rPr>
          <w:rFonts w:ascii="宋体" w:hAnsi="宋体" w:cs="Arial"/>
          <w:bCs/>
          <w:szCs w:val="21"/>
        </w:rPr>
        <w:t>不得利用基金财产为自己及任何第三人谋取利益，不得委托第三人运作基金财产；</w:t>
      </w:r>
      <w:bookmarkStart w:id="13" w:name="_Hlt88897298"/>
      <w:bookmarkEnd w:id="13"/>
    </w:p>
    <w:p w14:paraId="387A23E8">
      <w:pPr>
        <w:snapToGrid w:val="0"/>
        <w:spacing w:line="360" w:lineRule="auto"/>
        <w:ind w:firstLine="420" w:firstLineChars="200"/>
        <w:rPr>
          <w:rFonts w:ascii="宋体" w:hAnsi="宋体" w:cs="Arial"/>
          <w:bCs/>
          <w:szCs w:val="21"/>
        </w:rPr>
      </w:pPr>
      <w:r>
        <w:rPr>
          <w:rFonts w:hint="eastAsia" w:ascii="宋体" w:hAnsi="宋体" w:cs="Arial"/>
          <w:bCs/>
          <w:szCs w:val="21"/>
        </w:rPr>
        <w:t>7、</w:t>
      </w:r>
      <w:r>
        <w:rPr>
          <w:rFonts w:ascii="宋体" w:hAnsi="宋体" w:cs="Arial"/>
          <w:bCs/>
          <w:szCs w:val="21"/>
        </w:rPr>
        <w:t>依法接受基金托管人的监督；</w:t>
      </w:r>
    </w:p>
    <w:p w14:paraId="25108159">
      <w:pPr>
        <w:snapToGrid w:val="0"/>
        <w:spacing w:line="360" w:lineRule="auto"/>
        <w:ind w:firstLine="420" w:firstLineChars="200"/>
        <w:rPr>
          <w:rFonts w:ascii="宋体" w:hAnsi="宋体" w:cs="Arial"/>
          <w:bCs/>
          <w:szCs w:val="21"/>
        </w:rPr>
      </w:pPr>
      <w:r>
        <w:rPr>
          <w:rFonts w:hint="eastAsia" w:ascii="宋体" w:hAnsi="宋体" w:cs="Arial"/>
          <w:bCs/>
          <w:szCs w:val="21"/>
        </w:rPr>
        <w:t>8、</w:t>
      </w:r>
      <w:r>
        <w:rPr>
          <w:rFonts w:ascii="宋体" w:hAnsi="宋体" w:cs="Arial"/>
          <w:bCs/>
          <w:szCs w:val="21"/>
        </w:rPr>
        <w:t>采取适当合理的措施使计算基金份额</w:t>
      </w:r>
      <w:r>
        <w:rPr>
          <w:rFonts w:hint="eastAsia" w:ascii="宋体" w:hAnsi="宋体" w:cs="Arial"/>
          <w:bCs/>
          <w:szCs w:val="21"/>
        </w:rPr>
        <w:t>认购价格、申购对价、赎回对价</w:t>
      </w:r>
      <w:r>
        <w:rPr>
          <w:rFonts w:ascii="宋体" w:hAnsi="宋体" w:cs="Arial"/>
          <w:bCs/>
          <w:szCs w:val="21"/>
        </w:rPr>
        <w:t>的方法符合《基金合同》等法律文件的规定，按有关规定计算并公告基金净值</w:t>
      </w:r>
      <w:r>
        <w:rPr>
          <w:rFonts w:hint="eastAsia" w:ascii="宋体" w:hAnsi="宋体" w:cs="Arial"/>
          <w:bCs/>
          <w:szCs w:val="21"/>
        </w:rPr>
        <w:t>信息</w:t>
      </w:r>
      <w:r>
        <w:rPr>
          <w:rFonts w:ascii="宋体" w:hAnsi="宋体" w:cs="Arial"/>
          <w:bCs/>
          <w:szCs w:val="21"/>
        </w:rPr>
        <w:t>，确定基金份额申购、赎回</w:t>
      </w:r>
      <w:r>
        <w:rPr>
          <w:rFonts w:hint="eastAsia" w:ascii="宋体" w:hAnsi="宋体" w:cs="Arial"/>
          <w:bCs/>
          <w:szCs w:val="21"/>
        </w:rPr>
        <w:t>对价，编制申购赎回清单</w:t>
      </w:r>
      <w:r>
        <w:rPr>
          <w:rFonts w:ascii="宋体" w:hAnsi="宋体" w:cs="Arial"/>
          <w:bCs/>
          <w:szCs w:val="21"/>
        </w:rPr>
        <w:t>；</w:t>
      </w:r>
    </w:p>
    <w:p w14:paraId="533FC4F3">
      <w:pPr>
        <w:snapToGrid w:val="0"/>
        <w:spacing w:line="360" w:lineRule="auto"/>
        <w:ind w:firstLine="420" w:firstLineChars="200"/>
        <w:rPr>
          <w:rFonts w:ascii="宋体" w:hAnsi="宋体" w:cs="Arial"/>
          <w:bCs/>
          <w:szCs w:val="21"/>
        </w:rPr>
      </w:pPr>
      <w:r>
        <w:rPr>
          <w:rFonts w:hint="eastAsia" w:ascii="宋体" w:hAnsi="宋体" w:cs="Arial"/>
          <w:bCs/>
          <w:szCs w:val="21"/>
        </w:rPr>
        <w:t>9、</w:t>
      </w:r>
      <w:r>
        <w:rPr>
          <w:rFonts w:ascii="宋体" w:hAnsi="宋体" w:cs="Arial"/>
          <w:bCs/>
          <w:szCs w:val="21"/>
        </w:rPr>
        <w:t>进行基金会计核算并编制基金财务会计报告；</w:t>
      </w:r>
    </w:p>
    <w:p w14:paraId="6D49A346">
      <w:pPr>
        <w:snapToGrid w:val="0"/>
        <w:spacing w:line="360" w:lineRule="auto"/>
        <w:ind w:firstLine="420" w:firstLineChars="200"/>
        <w:rPr>
          <w:rFonts w:ascii="宋体" w:hAnsi="宋体" w:cs="Arial"/>
          <w:bCs/>
          <w:szCs w:val="21"/>
        </w:rPr>
      </w:pPr>
      <w:r>
        <w:rPr>
          <w:rFonts w:hint="eastAsia" w:ascii="宋体" w:hAnsi="宋体" w:cs="Arial"/>
          <w:bCs/>
          <w:szCs w:val="21"/>
        </w:rPr>
        <w:t>10、</w:t>
      </w:r>
      <w:r>
        <w:rPr>
          <w:rFonts w:ascii="宋体" w:hAnsi="宋体" w:cs="Arial"/>
          <w:bCs/>
          <w:szCs w:val="21"/>
        </w:rPr>
        <w:t>编制季度</w:t>
      </w:r>
      <w:r>
        <w:rPr>
          <w:rFonts w:hint="eastAsia" w:ascii="宋体" w:hAnsi="宋体" w:cs="Arial"/>
          <w:bCs/>
          <w:szCs w:val="21"/>
        </w:rPr>
        <w:t>报告</w:t>
      </w:r>
      <w:r>
        <w:rPr>
          <w:rFonts w:ascii="宋体" w:hAnsi="宋体" w:cs="Arial"/>
          <w:bCs/>
          <w:szCs w:val="21"/>
        </w:rPr>
        <w:t>、</w:t>
      </w:r>
      <w:r>
        <w:rPr>
          <w:rFonts w:hint="eastAsia" w:ascii="宋体" w:hAnsi="宋体" w:cs="Arial"/>
          <w:bCs/>
          <w:szCs w:val="21"/>
        </w:rPr>
        <w:t>中期报告</w:t>
      </w:r>
      <w:r>
        <w:rPr>
          <w:rFonts w:ascii="宋体" w:hAnsi="宋体" w:cs="Arial"/>
          <w:bCs/>
          <w:szCs w:val="21"/>
        </w:rPr>
        <w:t>和年度报告；</w:t>
      </w:r>
    </w:p>
    <w:p w14:paraId="6C5AD845">
      <w:pPr>
        <w:snapToGrid w:val="0"/>
        <w:spacing w:line="360" w:lineRule="auto"/>
        <w:ind w:firstLine="420" w:firstLineChars="200"/>
        <w:rPr>
          <w:rFonts w:ascii="宋体" w:hAnsi="宋体" w:cs="Arial"/>
          <w:bCs/>
          <w:szCs w:val="21"/>
        </w:rPr>
      </w:pPr>
      <w:r>
        <w:rPr>
          <w:rFonts w:hint="eastAsia" w:ascii="宋体" w:hAnsi="宋体" w:cs="Arial"/>
          <w:bCs/>
          <w:szCs w:val="21"/>
        </w:rPr>
        <w:t>11、</w:t>
      </w:r>
      <w:r>
        <w:rPr>
          <w:rFonts w:ascii="宋体" w:hAnsi="宋体" w:cs="Arial"/>
          <w:bCs/>
          <w:szCs w:val="21"/>
        </w:rPr>
        <w:t>严格按照《基金法》、《基金合同》及其他有关规定，履行信息披露及报告义务；</w:t>
      </w:r>
    </w:p>
    <w:p w14:paraId="48004273">
      <w:pPr>
        <w:snapToGrid w:val="0"/>
        <w:spacing w:line="360" w:lineRule="auto"/>
        <w:ind w:firstLine="420" w:firstLineChars="200"/>
        <w:rPr>
          <w:rFonts w:ascii="宋体" w:hAnsi="宋体" w:cs="Arial"/>
          <w:bCs/>
          <w:szCs w:val="21"/>
        </w:rPr>
      </w:pPr>
      <w:r>
        <w:rPr>
          <w:rFonts w:hint="eastAsia" w:ascii="宋体" w:hAnsi="宋体" w:cs="Arial"/>
          <w:bCs/>
          <w:szCs w:val="21"/>
        </w:rPr>
        <w:t>12、</w:t>
      </w:r>
      <w:r>
        <w:rPr>
          <w:rFonts w:ascii="宋体" w:hAnsi="宋体" w:cs="Arial"/>
          <w:bCs/>
          <w:szCs w:val="21"/>
        </w:rPr>
        <w:t>保守基金商业秘密，不泄露基金投资计划、投资意向等。除《基金法》、《基金合同》及其他有关规定另有规定外，在基金信息公开披露前应予保密，不向他人泄露</w:t>
      </w:r>
      <w:r>
        <w:rPr>
          <w:rFonts w:hint="eastAsia" w:ascii="宋体" w:hAnsi="宋体" w:cs="Arial"/>
          <w:bCs/>
          <w:szCs w:val="21"/>
        </w:rPr>
        <w:t>，向审计、法律等外部专业顾问提供的情况除外</w:t>
      </w:r>
      <w:r>
        <w:rPr>
          <w:rFonts w:ascii="宋体" w:hAnsi="宋体" w:cs="Arial"/>
          <w:bCs/>
          <w:szCs w:val="21"/>
        </w:rPr>
        <w:t>；</w:t>
      </w:r>
    </w:p>
    <w:p w14:paraId="423B9624">
      <w:pPr>
        <w:snapToGrid w:val="0"/>
        <w:spacing w:line="360" w:lineRule="auto"/>
        <w:ind w:firstLine="420" w:firstLineChars="200"/>
        <w:rPr>
          <w:rFonts w:ascii="宋体" w:hAnsi="宋体" w:cs="Arial"/>
          <w:bCs/>
          <w:szCs w:val="21"/>
        </w:rPr>
      </w:pPr>
      <w:r>
        <w:rPr>
          <w:rFonts w:ascii="宋体" w:hAnsi="宋体" w:cs="Arial"/>
          <w:bCs/>
          <w:szCs w:val="21"/>
        </w:rPr>
        <w:t>13</w:t>
      </w:r>
      <w:r>
        <w:rPr>
          <w:rFonts w:hint="eastAsia" w:ascii="宋体" w:hAnsi="宋体" w:cs="Arial"/>
          <w:bCs/>
          <w:szCs w:val="21"/>
        </w:rPr>
        <w:t>、</w:t>
      </w:r>
      <w:r>
        <w:rPr>
          <w:rFonts w:ascii="宋体" w:hAnsi="宋体" w:cs="Arial"/>
          <w:bCs/>
          <w:szCs w:val="21"/>
        </w:rPr>
        <w:t>按《基金合同》的约定确定基金收益分配方案，及时向基金份额持有人分配基金收益；</w:t>
      </w:r>
    </w:p>
    <w:p w14:paraId="3EBF177F">
      <w:pPr>
        <w:snapToGrid w:val="0"/>
        <w:spacing w:line="360" w:lineRule="auto"/>
        <w:ind w:firstLine="420" w:firstLineChars="200"/>
        <w:rPr>
          <w:rFonts w:ascii="宋体" w:hAnsi="宋体" w:cs="Arial"/>
          <w:bCs/>
          <w:szCs w:val="21"/>
        </w:rPr>
      </w:pPr>
      <w:r>
        <w:rPr>
          <w:rFonts w:ascii="宋体" w:hAnsi="宋体" w:cs="Arial"/>
          <w:bCs/>
          <w:szCs w:val="21"/>
        </w:rPr>
        <w:t>14</w:t>
      </w:r>
      <w:r>
        <w:rPr>
          <w:rFonts w:hint="eastAsia" w:ascii="宋体" w:hAnsi="宋体" w:cs="Arial"/>
          <w:bCs/>
          <w:szCs w:val="21"/>
        </w:rPr>
        <w:t>、</w:t>
      </w:r>
      <w:r>
        <w:rPr>
          <w:rFonts w:ascii="宋体" w:hAnsi="宋体" w:cs="Arial"/>
          <w:bCs/>
          <w:szCs w:val="21"/>
        </w:rPr>
        <w:t>按规定受理申购与赎回申请，及时、足额支付赎回</w:t>
      </w:r>
      <w:r>
        <w:rPr>
          <w:rFonts w:hint="eastAsia" w:ascii="宋体" w:hAnsi="宋体" w:cs="Arial"/>
          <w:bCs/>
          <w:szCs w:val="21"/>
        </w:rPr>
        <w:t>对价</w:t>
      </w:r>
      <w:r>
        <w:rPr>
          <w:rFonts w:ascii="宋体" w:hAnsi="宋体" w:cs="Arial"/>
          <w:bCs/>
          <w:szCs w:val="21"/>
        </w:rPr>
        <w:t>；</w:t>
      </w:r>
    </w:p>
    <w:p w14:paraId="430C2AF5">
      <w:pPr>
        <w:snapToGrid w:val="0"/>
        <w:spacing w:line="360" w:lineRule="auto"/>
        <w:ind w:firstLine="420" w:firstLineChars="200"/>
        <w:rPr>
          <w:rFonts w:ascii="宋体" w:hAnsi="宋体" w:cs="Arial"/>
          <w:bCs/>
          <w:szCs w:val="21"/>
        </w:rPr>
      </w:pPr>
      <w:r>
        <w:rPr>
          <w:rFonts w:ascii="宋体" w:hAnsi="宋体" w:cs="Arial"/>
          <w:bCs/>
          <w:szCs w:val="21"/>
        </w:rPr>
        <w:t>15</w:t>
      </w:r>
      <w:r>
        <w:rPr>
          <w:rFonts w:hint="eastAsia" w:ascii="宋体" w:hAnsi="宋体" w:cs="Arial"/>
          <w:bCs/>
          <w:szCs w:val="21"/>
        </w:rPr>
        <w:t>、</w:t>
      </w:r>
      <w:r>
        <w:rPr>
          <w:rFonts w:ascii="宋体" w:hAnsi="宋体" w:cs="Arial"/>
          <w:bCs/>
          <w:szCs w:val="21"/>
        </w:rPr>
        <w:t>依据《基金法》、《基金合同》及其他有关规定召集基金份额持有人大会或配合基金托管人、基金份额持有人依法召集基金份额持有人大会；</w:t>
      </w:r>
    </w:p>
    <w:p w14:paraId="637FDF27">
      <w:pPr>
        <w:snapToGrid w:val="0"/>
        <w:spacing w:line="360" w:lineRule="auto"/>
        <w:ind w:firstLine="420" w:firstLineChars="200"/>
        <w:rPr>
          <w:rFonts w:ascii="宋体" w:hAnsi="宋体" w:cs="Arial"/>
          <w:bCs/>
          <w:szCs w:val="21"/>
        </w:rPr>
      </w:pPr>
      <w:r>
        <w:rPr>
          <w:rFonts w:ascii="宋体" w:hAnsi="宋体" w:cs="Arial"/>
          <w:bCs/>
          <w:szCs w:val="21"/>
        </w:rPr>
        <w:t>16</w:t>
      </w:r>
      <w:r>
        <w:rPr>
          <w:rFonts w:hint="eastAsia" w:ascii="宋体" w:hAnsi="宋体" w:cs="Arial"/>
          <w:bCs/>
          <w:szCs w:val="21"/>
        </w:rPr>
        <w:t>、</w:t>
      </w:r>
      <w:r>
        <w:rPr>
          <w:rFonts w:ascii="宋体" w:hAnsi="宋体" w:cs="Arial"/>
          <w:bCs/>
          <w:szCs w:val="21"/>
        </w:rPr>
        <w:t>按规定保存基金财产管理业务活动的会计账册、报表、记录和其他相关资料</w:t>
      </w:r>
      <w:r>
        <w:rPr>
          <w:rFonts w:hint="eastAsia" w:ascii="宋体" w:hAnsi="宋体" w:cs="Arial"/>
          <w:bCs/>
          <w:szCs w:val="21"/>
        </w:rPr>
        <w:t>，保存期限不低于法律法规规定</w:t>
      </w:r>
      <w:r>
        <w:rPr>
          <w:rFonts w:ascii="宋体" w:hAnsi="宋体" w:cs="Arial"/>
          <w:bCs/>
          <w:szCs w:val="21"/>
        </w:rPr>
        <w:t>；</w:t>
      </w:r>
    </w:p>
    <w:p w14:paraId="304194A0">
      <w:pPr>
        <w:snapToGrid w:val="0"/>
        <w:spacing w:line="360" w:lineRule="auto"/>
        <w:ind w:firstLine="420" w:firstLineChars="200"/>
        <w:rPr>
          <w:rFonts w:ascii="宋体" w:hAnsi="宋体" w:cs="Arial"/>
          <w:bCs/>
          <w:szCs w:val="21"/>
        </w:rPr>
      </w:pPr>
      <w:r>
        <w:rPr>
          <w:rFonts w:ascii="宋体" w:hAnsi="宋体" w:cs="Arial"/>
          <w:bCs/>
          <w:szCs w:val="21"/>
        </w:rPr>
        <w:t>17</w:t>
      </w:r>
      <w:r>
        <w:rPr>
          <w:rFonts w:hint="eastAsia" w:ascii="宋体" w:hAnsi="宋体" w:cs="Arial"/>
          <w:bCs/>
          <w:szCs w:val="21"/>
        </w:rPr>
        <w:t>、</w:t>
      </w:r>
      <w:r>
        <w:rPr>
          <w:rFonts w:ascii="宋体" w:hAnsi="宋体" w:cs="Arial"/>
          <w:bCs/>
          <w:szCs w:val="21"/>
        </w:rPr>
        <w:t>确保需要向基金投资</w:t>
      </w:r>
      <w:r>
        <w:rPr>
          <w:rFonts w:hint="eastAsia" w:ascii="宋体" w:hAnsi="宋体" w:cs="Arial"/>
          <w:bCs/>
          <w:szCs w:val="21"/>
        </w:rPr>
        <w:t>者</w:t>
      </w:r>
      <w:r>
        <w:rPr>
          <w:rFonts w:ascii="宋体" w:hAnsi="宋体" w:cs="Arial"/>
          <w:bCs/>
          <w:szCs w:val="21"/>
        </w:rPr>
        <w:t>提供的各项文件或资料在规定时间发出，并且保证投资</w:t>
      </w:r>
      <w:r>
        <w:rPr>
          <w:rFonts w:hint="eastAsia" w:ascii="宋体" w:hAnsi="宋体" w:cs="Arial"/>
          <w:bCs/>
          <w:szCs w:val="21"/>
        </w:rPr>
        <w:t>者</w:t>
      </w:r>
      <w:r>
        <w:rPr>
          <w:rFonts w:ascii="宋体" w:hAnsi="宋体" w:cs="Arial"/>
          <w:bCs/>
          <w:szCs w:val="21"/>
        </w:rPr>
        <w:t>能够按照《基金合同》规定的时间和方式，随时查阅到与基金有关的公开资料，并在支付合理成本的条件下得到有关资料的复印件；</w:t>
      </w:r>
    </w:p>
    <w:p w14:paraId="38BDAE2F">
      <w:pPr>
        <w:snapToGrid w:val="0"/>
        <w:spacing w:line="360" w:lineRule="auto"/>
        <w:ind w:firstLine="420" w:firstLineChars="200"/>
        <w:rPr>
          <w:rFonts w:ascii="宋体" w:hAnsi="宋体" w:cs="Arial"/>
          <w:bCs/>
          <w:szCs w:val="21"/>
        </w:rPr>
      </w:pPr>
      <w:r>
        <w:rPr>
          <w:rFonts w:ascii="宋体" w:hAnsi="宋体" w:cs="Arial"/>
          <w:bCs/>
          <w:szCs w:val="21"/>
        </w:rPr>
        <w:t>18</w:t>
      </w:r>
      <w:r>
        <w:rPr>
          <w:rFonts w:hint="eastAsia" w:ascii="宋体" w:hAnsi="宋体" w:cs="Arial"/>
          <w:bCs/>
          <w:szCs w:val="21"/>
        </w:rPr>
        <w:t>、</w:t>
      </w:r>
      <w:r>
        <w:rPr>
          <w:rFonts w:ascii="宋体" w:hAnsi="宋体" w:cs="Arial"/>
          <w:bCs/>
          <w:szCs w:val="21"/>
        </w:rPr>
        <w:t>组织并参加基金财产清算小组</w:t>
      </w:r>
      <w:r>
        <w:rPr>
          <w:rFonts w:hint="eastAsia" w:ascii="宋体" w:hAnsi="宋体" w:cs="Arial"/>
          <w:bCs/>
          <w:szCs w:val="21"/>
        </w:rPr>
        <w:t>，</w:t>
      </w:r>
      <w:r>
        <w:rPr>
          <w:rFonts w:ascii="宋体" w:hAnsi="宋体" w:cs="Arial"/>
          <w:bCs/>
          <w:szCs w:val="21"/>
        </w:rPr>
        <w:t>参与基金财产的保管、清理、估价、变现和分配；</w:t>
      </w:r>
    </w:p>
    <w:p w14:paraId="47C0A2AD">
      <w:pPr>
        <w:snapToGrid w:val="0"/>
        <w:spacing w:line="360" w:lineRule="auto"/>
        <w:ind w:firstLine="420" w:firstLineChars="200"/>
        <w:rPr>
          <w:rFonts w:ascii="宋体" w:hAnsi="宋体" w:cs="Arial"/>
          <w:bCs/>
          <w:szCs w:val="21"/>
        </w:rPr>
      </w:pPr>
      <w:r>
        <w:rPr>
          <w:rFonts w:ascii="宋体" w:hAnsi="宋体" w:cs="Arial"/>
          <w:bCs/>
          <w:szCs w:val="21"/>
        </w:rPr>
        <w:t>19</w:t>
      </w:r>
      <w:r>
        <w:rPr>
          <w:rFonts w:hint="eastAsia" w:ascii="宋体" w:hAnsi="宋体" w:cs="Arial"/>
          <w:bCs/>
          <w:szCs w:val="21"/>
        </w:rPr>
        <w:t>、</w:t>
      </w:r>
      <w:r>
        <w:rPr>
          <w:rFonts w:ascii="宋体" w:hAnsi="宋体" w:cs="Arial"/>
          <w:bCs/>
          <w:szCs w:val="21"/>
        </w:rPr>
        <w:t>面临解散、依法被撤销或者被依法宣告破产时，及时报告中国证监会并通知基金托管人；</w:t>
      </w:r>
    </w:p>
    <w:p w14:paraId="1532C6E7">
      <w:pPr>
        <w:snapToGrid w:val="0"/>
        <w:spacing w:line="360" w:lineRule="auto"/>
        <w:ind w:firstLine="420" w:firstLineChars="200"/>
        <w:rPr>
          <w:rFonts w:ascii="宋体" w:hAnsi="宋体" w:cs="Arial"/>
          <w:bCs/>
          <w:szCs w:val="21"/>
        </w:rPr>
      </w:pPr>
      <w:r>
        <w:rPr>
          <w:rFonts w:ascii="宋体" w:hAnsi="宋体" w:cs="Arial"/>
          <w:bCs/>
          <w:szCs w:val="21"/>
        </w:rPr>
        <w:t>20</w:t>
      </w:r>
      <w:r>
        <w:rPr>
          <w:rFonts w:hint="eastAsia" w:ascii="宋体" w:hAnsi="宋体" w:cs="Arial"/>
          <w:bCs/>
          <w:szCs w:val="21"/>
        </w:rPr>
        <w:t>、</w:t>
      </w:r>
      <w:r>
        <w:rPr>
          <w:rFonts w:ascii="宋体" w:hAnsi="宋体" w:cs="Arial"/>
          <w:bCs/>
          <w:szCs w:val="21"/>
        </w:rPr>
        <w:t>因违反《基金合同》导致基金财产的损失或损害基金份额持有人合法权益时，应当承担赔偿责任，其赔偿责任不因其退任而免除；</w:t>
      </w:r>
    </w:p>
    <w:p w14:paraId="27BEEFB9">
      <w:pPr>
        <w:snapToGrid w:val="0"/>
        <w:spacing w:line="360" w:lineRule="auto"/>
        <w:ind w:firstLine="420" w:firstLineChars="200"/>
        <w:rPr>
          <w:rFonts w:ascii="宋体" w:hAnsi="宋体" w:cs="Arial"/>
          <w:bCs/>
          <w:szCs w:val="21"/>
        </w:rPr>
      </w:pPr>
      <w:r>
        <w:rPr>
          <w:rFonts w:ascii="宋体" w:hAnsi="宋体" w:cs="Arial"/>
          <w:bCs/>
          <w:szCs w:val="21"/>
        </w:rPr>
        <w:t>21</w:t>
      </w:r>
      <w:r>
        <w:rPr>
          <w:rFonts w:hint="eastAsia" w:ascii="宋体" w:hAnsi="宋体" w:cs="Arial"/>
          <w:bCs/>
          <w:szCs w:val="21"/>
        </w:rPr>
        <w:t>、</w:t>
      </w:r>
      <w:r>
        <w:rPr>
          <w:rFonts w:ascii="宋体" w:hAnsi="宋体" w:cs="Arial"/>
          <w:bCs/>
          <w:szCs w:val="21"/>
        </w:rPr>
        <w:t>监督基金托管人按法律法规和《基金合同》规定履行自己的义务，基金托管人违反《基金合同》造成基金财产损失时，基金管理人应为基金份额持有人利益向基金托管人追偿；</w:t>
      </w:r>
    </w:p>
    <w:p w14:paraId="65194F9E">
      <w:pPr>
        <w:snapToGrid w:val="0"/>
        <w:spacing w:line="360" w:lineRule="auto"/>
        <w:ind w:firstLine="420" w:firstLineChars="200"/>
        <w:rPr>
          <w:rFonts w:ascii="宋体" w:hAnsi="宋体" w:cs="Arial"/>
          <w:bCs/>
          <w:szCs w:val="21"/>
        </w:rPr>
      </w:pPr>
      <w:r>
        <w:rPr>
          <w:rFonts w:ascii="宋体" w:hAnsi="宋体" w:cs="Arial"/>
          <w:bCs/>
          <w:szCs w:val="21"/>
        </w:rPr>
        <w:t>22</w:t>
      </w:r>
      <w:r>
        <w:rPr>
          <w:rFonts w:hint="eastAsia" w:ascii="宋体" w:hAnsi="宋体" w:cs="Arial"/>
          <w:bCs/>
          <w:szCs w:val="21"/>
        </w:rPr>
        <w:t>、</w:t>
      </w:r>
      <w:r>
        <w:rPr>
          <w:rFonts w:ascii="宋体" w:hAnsi="宋体" w:cs="Arial"/>
          <w:bCs/>
          <w:szCs w:val="21"/>
        </w:rPr>
        <w:t>当基金管理人将其义务委托第三方处理时，应当对第三方处理有关基金事务的行为承担责任；</w:t>
      </w:r>
    </w:p>
    <w:p w14:paraId="13578B8D">
      <w:pPr>
        <w:snapToGrid w:val="0"/>
        <w:spacing w:line="360" w:lineRule="auto"/>
        <w:ind w:firstLine="420" w:firstLineChars="200"/>
        <w:rPr>
          <w:rFonts w:ascii="宋体" w:hAnsi="宋体" w:cs="Arial"/>
          <w:bCs/>
          <w:szCs w:val="21"/>
        </w:rPr>
      </w:pPr>
      <w:r>
        <w:rPr>
          <w:rFonts w:ascii="宋体" w:hAnsi="宋体" w:cs="Arial"/>
          <w:bCs/>
          <w:szCs w:val="21"/>
        </w:rPr>
        <w:t>23</w:t>
      </w:r>
      <w:r>
        <w:rPr>
          <w:rFonts w:hint="eastAsia" w:ascii="宋体" w:hAnsi="宋体" w:cs="Arial"/>
          <w:bCs/>
          <w:szCs w:val="21"/>
        </w:rPr>
        <w:t>、</w:t>
      </w:r>
      <w:r>
        <w:rPr>
          <w:rFonts w:ascii="宋体" w:hAnsi="宋体" w:cs="Arial"/>
          <w:bCs/>
          <w:szCs w:val="21"/>
        </w:rPr>
        <w:t>以基金管理人名义，代表基金份额持有人利益行使诉讼权利或实施其他法律行为；</w:t>
      </w:r>
    </w:p>
    <w:p w14:paraId="4AC18555">
      <w:pPr>
        <w:snapToGrid w:val="0"/>
        <w:spacing w:line="360" w:lineRule="auto"/>
        <w:ind w:firstLine="420" w:firstLineChars="200"/>
        <w:rPr>
          <w:rFonts w:ascii="宋体" w:hAnsi="宋体" w:cs="Arial"/>
          <w:bCs/>
          <w:szCs w:val="21"/>
        </w:rPr>
      </w:pPr>
      <w:r>
        <w:rPr>
          <w:rFonts w:hint="eastAsia" w:ascii="宋体" w:hAnsi="宋体" w:cs="Arial"/>
          <w:bCs/>
          <w:szCs w:val="21"/>
        </w:rPr>
        <w:t>24、基金在募集期间未能达到基金的备案条件，基金合同不能生效，基金管理人承担全部募集费用，将已募集资金并加计银行同期活期存款利息在基金募集期结束后30日内退还基金认购人；</w:t>
      </w:r>
    </w:p>
    <w:p w14:paraId="6FC19277">
      <w:pPr>
        <w:snapToGrid w:val="0"/>
        <w:spacing w:line="360" w:lineRule="auto"/>
        <w:ind w:firstLine="420" w:firstLineChars="200"/>
        <w:rPr>
          <w:rFonts w:ascii="宋体" w:hAnsi="宋体" w:cs="Arial"/>
          <w:bCs/>
          <w:szCs w:val="21"/>
        </w:rPr>
      </w:pPr>
      <w:r>
        <w:rPr>
          <w:rFonts w:ascii="宋体" w:hAnsi="宋体" w:cs="Arial"/>
          <w:bCs/>
          <w:szCs w:val="21"/>
        </w:rPr>
        <w:t>25</w:t>
      </w:r>
      <w:r>
        <w:rPr>
          <w:rFonts w:hint="eastAsia" w:ascii="宋体" w:hAnsi="宋体" w:cs="Arial"/>
          <w:bCs/>
          <w:szCs w:val="21"/>
        </w:rPr>
        <w:t>、</w:t>
      </w:r>
      <w:r>
        <w:rPr>
          <w:rFonts w:ascii="宋体" w:hAnsi="宋体" w:cs="Arial"/>
          <w:bCs/>
          <w:szCs w:val="21"/>
        </w:rPr>
        <w:t>执行生效的基金份额持有人大会的</w:t>
      </w:r>
      <w:r>
        <w:rPr>
          <w:rFonts w:hint="eastAsia" w:ascii="宋体" w:hAnsi="宋体" w:cs="Arial"/>
          <w:bCs/>
          <w:szCs w:val="21"/>
        </w:rPr>
        <w:t>决议</w:t>
      </w:r>
      <w:r>
        <w:rPr>
          <w:rFonts w:ascii="宋体" w:hAnsi="宋体" w:cs="Arial"/>
          <w:bCs/>
          <w:szCs w:val="21"/>
        </w:rPr>
        <w:t>；</w:t>
      </w:r>
    </w:p>
    <w:p w14:paraId="6F1CF319">
      <w:pPr>
        <w:snapToGrid w:val="0"/>
        <w:spacing w:line="360" w:lineRule="auto"/>
        <w:ind w:firstLine="420" w:firstLineChars="200"/>
        <w:rPr>
          <w:rFonts w:ascii="宋体" w:hAnsi="宋体" w:cs="Arial"/>
          <w:bCs/>
          <w:szCs w:val="21"/>
        </w:rPr>
      </w:pPr>
      <w:r>
        <w:rPr>
          <w:rFonts w:ascii="宋体" w:hAnsi="宋体" w:cs="Arial"/>
          <w:bCs/>
          <w:szCs w:val="21"/>
        </w:rPr>
        <w:t>26</w:t>
      </w:r>
      <w:r>
        <w:rPr>
          <w:rFonts w:hint="eastAsia" w:ascii="宋体" w:hAnsi="宋体" w:cs="Arial"/>
          <w:bCs/>
          <w:szCs w:val="21"/>
        </w:rPr>
        <w:t>、</w:t>
      </w:r>
      <w:r>
        <w:rPr>
          <w:rFonts w:ascii="宋体" w:hAnsi="宋体" w:cs="Arial"/>
          <w:bCs/>
          <w:szCs w:val="21"/>
        </w:rPr>
        <w:t>建立并保存基金份额持有人名册；</w:t>
      </w:r>
    </w:p>
    <w:p w14:paraId="1119EC26">
      <w:pPr>
        <w:snapToGrid w:val="0"/>
        <w:spacing w:line="360" w:lineRule="auto"/>
        <w:ind w:firstLine="420" w:firstLineChars="200"/>
        <w:rPr>
          <w:rFonts w:ascii="宋体" w:hAnsi="宋体" w:cs="Arial"/>
          <w:kern w:val="0"/>
          <w:szCs w:val="21"/>
        </w:rPr>
      </w:pPr>
      <w:r>
        <w:rPr>
          <w:rFonts w:ascii="宋体" w:hAnsi="宋体" w:cs="Arial"/>
          <w:bCs/>
          <w:szCs w:val="21"/>
        </w:rPr>
        <w:t>27</w:t>
      </w:r>
      <w:r>
        <w:rPr>
          <w:rFonts w:hint="eastAsia" w:ascii="宋体" w:hAnsi="宋体" w:cs="Arial"/>
          <w:bCs/>
          <w:szCs w:val="21"/>
        </w:rPr>
        <w:t>、</w:t>
      </w:r>
      <w:r>
        <w:rPr>
          <w:rFonts w:ascii="宋体" w:hAnsi="宋体" w:cs="Arial"/>
          <w:bCs/>
          <w:szCs w:val="21"/>
        </w:rPr>
        <w:t>法律法规及中国证监会规定的和《基金合同》约定的其他义务。</w:t>
      </w:r>
    </w:p>
    <w:p w14:paraId="46671FE9">
      <w:pPr>
        <w:tabs>
          <w:tab w:val="left" w:pos="3780"/>
        </w:tabs>
        <w:autoSpaceDE w:val="0"/>
        <w:autoSpaceDN w:val="0"/>
        <w:adjustRightInd w:val="0"/>
        <w:snapToGrid w:val="0"/>
        <w:spacing w:line="360" w:lineRule="auto"/>
        <w:ind w:firstLine="422" w:firstLineChars="200"/>
        <w:textAlignment w:val="bottom"/>
        <w:rPr>
          <w:rFonts w:ascii="宋体" w:hAnsi="宋体" w:cs="Arial"/>
          <w:b/>
          <w:bCs/>
        </w:rPr>
      </w:pPr>
      <w:r>
        <w:rPr>
          <w:rFonts w:hint="eastAsia" w:ascii="宋体" w:hAnsi="宋体" w:cs="Arial"/>
          <w:b/>
          <w:bCs/>
        </w:rPr>
        <w:t>四</w:t>
      </w:r>
      <w:r>
        <w:rPr>
          <w:rFonts w:ascii="宋体" w:hAnsi="宋体" w:cs="Arial"/>
          <w:b/>
          <w:bCs/>
        </w:rPr>
        <w:t>、基金管理人的承诺</w:t>
      </w:r>
    </w:p>
    <w:p w14:paraId="492BC475">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1、基金管理人承诺不从事违反</w:t>
      </w:r>
      <w:r>
        <w:rPr>
          <w:rFonts w:hint="eastAsia" w:ascii="宋体" w:hAnsi="宋体" w:cs="Arial"/>
          <w:szCs w:val="21"/>
        </w:rPr>
        <w:t>《证券法》</w:t>
      </w:r>
      <w:r>
        <w:rPr>
          <w:rFonts w:hint="eastAsia" w:ascii="宋体" w:hAnsi="宋体" w:cs="Arial"/>
          <w:kern w:val="0"/>
          <w:szCs w:val="21"/>
        </w:rPr>
        <w:t>的行为，并承诺建立健全内部控制制度，采取有效措施，防止违反</w:t>
      </w:r>
      <w:r>
        <w:rPr>
          <w:rFonts w:hint="eastAsia" w:ascii="宋体" w:hAnsi="宋体" w:cs="Arial"/>
          <w:szCs w:val="21"/>
        </w:rPr>
        <w:t>《证券法》</w:t>
      </w:r>
      <w:r>
        <w:rPr>
          <w:rFonts w:hint="eastAsia" w:ascii="宋体" w:hAnsi="宋体" w:cs="Arial"/>
          <w:kern w:val="0"/>
          <w:szCs w:val="21"/>
        </w:rPr>
        <w:t xml:space="preserve">行为的发生； </w:t>
      </w:r>
    </w:p>
    <w:p w14:paraId="3E567BD4">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2、基金管理人承诺不从事违反《基金法》的行为，并承诺建立健全内部风险控制制度，采取有效措施，防止下列行为的发生：</w:t>
      </w:r>
    </w:p>
    <w:p w14:paraId="43F72080">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（1）将基金管理人固有财产或者他人财产混同于基金财产从事证券投资；</w:t>
      </w:r>
    </w:p>
    <w:p w14:paraId="2FFB354F">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（2）不公平地对待管理的不同基金财产；</w:t>
      </w:r>
    </w:p>
    <w:p w14:paraId="0EA0AEBF">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（3）利用基金财产或者职务之便为基金份额持有人以外的人牟取利益；</w:t>
      </w:r>
    </w:p>
    <w:p w14:paraId="53CDCAC4">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（4）向基金份额持有人违规承诺收益或者承担损失；</w:t>
      </w:r>
    </w:p>
    <w:p w14:paraId="25C31F1C">
      <w:pPr>
        <w:tabs>
          <w:tab w:val="left" w:pos="3780"/>
        </w:tabs>
        <w:autoSpaceDE w:val="0"/>
        <w:autoSpaceDN w:val="0"/>
        <w:adjustRightInd w:val="0"/>
        <w:snapToGrid w:val="0"/>
        <w:spacing w:line="360" w:lineRule="auto"/>
        <w:ind w:firstLine="420" w:firstLineChars="200"/>
        <w:textAlignment w:val="bottom"/>
        <w:rPr>
          <w:rFonts w:ascii="宋体" w:hAnsi="宋体" w:cs="Arial"/>
          <w:szCs w:val="21"/>
        </w:rPr>
      </w:pPr>
      <w:r>
        <w:rPr>
          <w:rFonts w:hint="eastAsia" w:ascii="宋体" w:hAnsi="宋体" w:cs="Arial"/>
          <w:szCs w:val="21"/>
        </w:rPr>
        <w:t>（5）侵占、挪用基金财产；</w:t>
      </w:r>
    </w:p>
    <w:p w14:paraId="5476CB03">
      <w:pPr>
        <w:tabs>
          <w:tab w:val="left" w:pos="3780"/>
        </w:tabs>
        <w:autoSpaceDE w:val="0"/>
        <w:autoSpaceDN w:val="0"/>
        <w:adjustRightInd w:val="0"/>
        <w:snapToGrid w:val="0"/>
        <w:spacing w:line="360" w:lineRule="auto"/>
        <w:ind w:firstLine="420" w:firstLineChars="200"/>
        <w:textAlignment w:val="bottom"/>
        <w:rPr>
          <w:rFonts w:ascii="宋体" w:hAnsi="宋体" w:cs="Arial"/>
          <w:szCs w:val="21"/>
        </w:rPr>
      </w:pPr>
      <w:r>
        <w:rPr>
          <w:rFonts w:hint="eastAsia" w:ascii="宋体" w:hAnsi="宋体" w:cs="Arial"/>
          <w:szCs w:val="21"/>
        </w:rPr>
        <w:t>（6）泄露因职务便利获取的未公开信息、利用该信息从事或者明示、暗示他人从事相关的交易活动；</w:t>
      </w:r>
    </w:p>
    <w:p w14:paraId="1CB61019">
      <w:pPr>
        <w:tabs>
          <w:tab w:val="left" w:pos="3780"/>
        </w:tabs>
        <w:autoSpaceDE w:val="0"/>
        <w:autoSpaceDN w:val="0"/>
        <w:adjustRightInd w:val="0"/>
        <w:snapToGrid w:val="0"/>
        <w:spacing w:line="360" w:lineRule="auto"/>
        <w:ind w:firstLine="420" w:firstLineChars="200"/>
        <w:textAlignment w:val="bottom"/>
        <w:rPr>
          <w:rFonts w:ascii="宋体" w:hAnsi="宋体" w:cs="Arial"/>
          <w:szCs w:val="21"/>
        </w:rPr>
      </w:pPr>
      <w:r>
        <w:rPr>
          <w:rFonts w:hint="eastAsia" w:ascii="宋体" w:hAnsi="宋体" w:cs="Arial"/>
          <w:szCs w:val="21"/>
        </w:rPr>
        <w:t>（7）玩忽职守，不按照规定履行职责；</w:t>
      </w:r>
    </w:p>
    <w:p w14:paraId="4C677B56">
      <w:pPr>
        <w:tabs>
          <w:tab w:val="left" w:pos="3780"/>
        </w:tabs>
        <w:autoSpaceDE w:val="0"/>
        <w:autoSpaceDN w:val="0"/>
        <w:adjustRightInd w:val="0"/>
        <w:snapToGrid w:val="0"/>
        <w:spacing w:line="360" w:lineRule="auto"/>
        <w:ind w:firstLine="420" w:firstLineChars="200"/>
        <w:textAlignment w:val="bottom"/>
        <w:rPr>
          <w:rFonts w:ascii="宋体" w:hAnsi="宋体" w:cs="Arial"/>
          <w:szCs w:val="21"/>
        </w:rPr>
      </w:pPr>
      <w:r>
        <w:rPr>
          <w:rFonts w:hint="eastAsia" w:ascii="宋体" w:hAnsi="宋体" w:cs="Arial"/>
          <w:szCs w:val="21"/>
        </w:rPr>
        <w:t>（8）法律、行政法规和中国证监会规定禁止的其他行为。</w:t>
      </w:r>
    </w:p>
    <w:p w14:paraId="0D8E6EDC">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 xml:space="preserve">3、基金管理人承诺严格遵守基金合同，并承诺建立健全内部控制制度，采取有效措施，防止违反基金合同行为的发生； </w:t>
      </w:r>
    </w:p>
    <w:p w14:paraId="055B9130">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4、基金管理人承诺加强人员管理，强化职业操守，督促和约束员工遵守国家有关法律法规及行业规范，诚实信用、勤勉尽责；</w:t>
      </w:r>
    </w:p>
    <w:p w14:paraId="74F9CBF2">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 xml:space="preserve">5、基金管理人承诺不从事其他法规规定禁止从事的行为。 </w:t>
      </w:r>
    </w:p>
    <w:p w14:paraId="584C3B71">
      <w:pPr>
        <w:tabs>
          <w:tab w:val="left" w:pos="3780"/>
        </w:tabs>
        <w:autoSpaceDE w:val="0"/>
        <w:autoSpaceDN w:val="0"/>
        <w:adjustRightInd w:val="0"/>
        <w:snapToGrid w:val="0"/>
        <w:spacing w:line="360" w:lineRule="auto"/>
        <w:ind w:firstLine="422" w:firstLineChars="200"/>
        <w:textAlignment w:val="bottom"/>
        <w:rPr>
          <w:rFonts w:ascii="宋体" w:hAnsi="宋体" w:cs="Arial"/>
          <w:b/>
          <w:bCs/>
        </w:rPr>
      </w:pPr>
      <w:r>
        <w:rPr>
          <w:rFonts w:hint="eastAsia" w:ascii="宋体" w:hAnsi="宋体" w:cs="Arial"/>
          <w:b/>
          <w:bCs/>
        </w:rPr>
        <w:t>五</w:t>
      </w:r>
      <w:r>
        <w:rPr>
          <w:rFonts w:ascii="宋体" w:hAnsi="宋体" w:cs="Arial"/>
          <w:b/>
          <w:bCs/>
        </w:rPr>
        <w:t>、基金经理承诺</w:t>
      </w:r>
    </w:p>
    <w:p w14:paraId="5B7A1900">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1、依照有关法律法规和基金合同的规定，本着谨慎的原则为基金份额持有人谋取最大利益；</w:t>
      </w:r>
    </w:p>
    <w:p w14:paraId="18D25240">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 xml:space="preserve">2、不利用职务之便为自己、受雇人或任何第三者谋取利益； </w:t>
      </w:r>
    </w:p>
    <w:p w14:paraId="30F11726">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3、不泄露在任职期间知悉的有关证券、基金的商业秘密，尚未依法公开的基金投资内容、基金投资计划等信息，</w:t>
      </w:r>
      <w:r>
        <w:rPr>
          <w:rFonts w:hint="eastAsia" w:ascii="宋体" w:hAnsi="宋体" w:cs="Arial"/>
          <w:szCs w:val="21"/>
        </w:rPr>
        <w:t>或利用该信息从事或者明示、暗示他人从事相关的交易活动</w:t>
      </w:r>
      <w:r>
        <w:rPr>
          <w:rFonts w:hint="eastAsia" w:ascii="宋体" w:hAnsi="宋体" w:cs="Arial"/>
          <w:kern w:val="0"/>
          <w:szCs w:val="21"/>
        </w:rPr>
        <w:t>；</w:t>
      </w:r>
    </w:p>
    <w:p w14:paraId="3A210B94">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4、不以任何形式为其他组织或个人进行证券交易。</w:t>
      </w:r>
    </w:p>
    <w:p w14:paraId="6F18D9FC">
      <w:pPr>
        <w:tabs>
          <w:tab w:val="left" w:pos="3780"/>
        </w:tabs>
        <w:autoSpaceDE w:val="0"/>
        <w:autoSpaceDN w:val="0"/>
        <w:adjustRightInd w:val="0"/>
        <w:snapToGrid w:val="0"/>
        <w:spacing w:line="360" w:lineRule="auto"/>
        <w:ind w:firstLine="422" w:firstLineChars="200"/>
        <w:textAlignment w:val="bottom"/>
        <w:rPr>
          <w:rFonts w:ascii="宋体" w:hAnsi="宋体" w:cs="Arial"/>
          <w:b/>
          <w:bCs/>
        </w:rPr>
      </w:pPr>
      <w:r>
        <w:rPr>
          <w:rFonts w:hint="eastAsia" w:ascii="宋体" w:hAnsi="宋体" w:cs="Arial"/>
          <w:b/>
          <w:bCs/>
        </w:rPr>
        <w:t>六</w:t>
      </w:r>
      <w:r>
        <w:rPr>
          <w:rFonts w:ascii="宋体" w:hAnsi="宋体" w:cs="Arial"/>
          <w:b/>
          <w:bCs/>
        </w:rPr>
        <w:t>、基金管理人的内部控制制度</w:t>
      </w:r>
    </w:p>
    <w:p w14:paraId="6A9BE964">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1、风险管理的原则 </w:t>
      </w:r>
    </w:p>
    <w:p w14:paraId="06CF4E5B">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（1）全面性原则 </w:t>
      </w:r>
    </w:p>
    <w:p w14:paraId="66ABFE46">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公司风险管理必须覆盖公司的所有部门和岗位，渗透各项业务过程和业务环节。 </w:t>
      </w:r>
    </w:p>
    <w:p w14:paraId="10F67700">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（2）独立性原则 </w:t>
      </w:r>
    </w:p>
    <w:p w14:paraId="7EB95748">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公司设立独立的法律合规部，法律合规部保持高度的独立性和权威性，负责对公司各部门风险控制工作进行检查。 </w:t>
      </w:r>
    </w:p>
    <w:p w14:paraId="7F2DEAB0">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（3）相互制约原则 </w:t>
      </w:r>
    </w:p>
    <w:p w14:paraId="4127B63B">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公司及各部门在内部组织结构的设计上要形成一种相互制约的机制，建立不同岗位之间的制衡体系。 </w:t>
      </w:r>
    </w:p>
    <w:p w14:paraId="2F744EC6">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（4）定性和定量相结合原则 </w:t>
      </w:r>
    </w:p>
    <w:p w14:paraId="35A65CA2">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建立完备的风险管理指标体系，使风险管理更具客观性和操作性。 </w:t>
      </w:r>
    </w:p>
    <w:p w14:paraId="45ECB2D2">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2、风险管理和内部风险控制体系结构 </w:t>
      </w:r>
    </w:p>
    <w:p w14:paraId="7DA0335A">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公司的风险管理体系结构是一个分工明确、相互牵制的组织结构，由最高管理层对风险管理负最终责任，各个业务部门负责本部门的风险评估和监控，法律合规部负责检查公司的风险管理措施的执行。具体而言，包括如下组成部分： </w:t>
      </w:r>
    </w:p>
    <w:p w14:paraId="2CB010C0">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（1）董事会 </w:t>
      </w:r>
    </w:p>
    <w:p w14:paraId="22D23897">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负责制定公司的风险管理政策，对风险管理负完全的和最终的责任。 </w:t>
      </w:r>
    </w:p>
    <w:p w14:paraId="7C81205A">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（2）风险管理委员会 </w:t>
      </w:r>
    </w:p>
    <w:p w14:paraId="02262BCC">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作为董事会下的专业委员会之一，风险管理委员会负责批准公司风险管理系统文件，即负责确保每一个部门都有合适的系统来识别、评定和监控该部门的风险，负责批准每一个部门的风险级别。负责解决重大的突发的风险。 </w:t>
      </w:r>
    </w:p>
    <w:p w14:paraId="137B674B">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（3）督察长 </w:t>
      </w:r>
    </w:p>
    <w:p w14:paraId="38076CA8">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独立行使督察权利；直接对董事会负责；按季向风险管理委员会提交独立的风险管理报告和风险管理建议。 </w:t>
      </w:r>
    </w:p>
    <w:p w14:paraId="10C3D6D2">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（4）法律合规部 </w:t>
      </w:r>
    </w:p>
    <w:p w14:paraId="75B5F577">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法律合规部负责对公司风险管理政策和措施的执行情况进行检查，并为每一个部门的风险管理系统的发展提供协助，使公司在一种风险管理和控制的环境中实现业务目标。 </w:t>
      </w:r>
    </w:p>
    <w:p w14:paraId="13CAFD7F">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（5）风险管理部 </w:t>
      </w:r>
    </w:p>
    <w:p w14:paraId="3726CEEA">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风险管理部负责建立和完善公司投资风险管理制度与流程，组织实施公司投资风险管理与绩效分析工作，确保公司各类投资风险得到良好监督与控制。 </w:t>
      </w:r>
    </w:p>
    <w:p w14:paraId="226F4BCF">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（6）业务部门 </w:t>
      </w:r>
    </w:p>
    <w:p w14:paraId="69A8E589">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风险管理是每一个业务部门最首要的责任。部门经理对本部门的风险负全部责任，负责履行公司的风险管理程序，负责本部门的风险管理系统的开发、执行和维护，用于识别、监控和降低风险。 </w:t>
      </w:r>
    </w:p>
    <w:p w14:paraId="524F9835">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3、风险管理和内部风险控制的措施 </w:t>
      </w:r>
    </w:p>
    <w:p w14:paraId="6956FACA">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（1）建立内控结构，完善内控制度 </w:t>
      </w:r>
    </w:p>
    <w:p w14:paraId="34CDF491">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公司建立、健全了内控结构，高管人员关于内控有明确的分工，确保各项业务活动有恰当的组织和授权，确保监察活动是独立的，并得到高管人员的支持，同时置备操作手册，并定期更新。 </w:t>
      </w:r>
    </w:p>
    <w:p w14:paraId="278C4E20">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（2）建立相互分离、相互制衡的内控机制 </w:t>
      </w:r>
    </w:p>
    <w:p w14:paraId="4FAC6D21">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建立、健全了各项制度，做到基金经理分开，投资决策分开，基金交易集中，形成不同部门，不同岗位之间的制衡机制，从制度上减少和防范风险。 </w:t>
      </w:r>
    </w:p>
    <w:p w14:paraId="64E2B813">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（3）建立、健全岗位责任制 </w:t>
      </w:r>
    </w:p>
    <w:p w14:paraId="41F8EA45">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建立、健全了岗位责任制，使每个员工都明确自己的任务、职责，并及时将各自工作领域中的风险隐患上报，以防范和减少风险。 </w:t>
      </w:r>
    </w:p>
    <w:p w14:paraId="3B03264B">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（4）建立风险分类、识别、评估、报告、提示程序 </w:t>
      </w:r>
    </w:p>
    <w:p w14:paraId="0B03B216">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7B98FDA3">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（5）建立有效的内部监控系统 </w:t>
      </w:r>
    </w:p>
    <w:p w14:paraId="0F57682F">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建立了足够、有效的内部监控系统，如电脑预警系统、投资监控系统，对可能出现的各种风险进行全面和实时的监控。</w:t>
      </w:r>
    </w:p>
    <w:p w14:paraId="5A74EF7E">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（6）使用数量化的风险管理手段</w:t>
      </w:r>
    </w:p>
    <w:p w14:paraId="0E36A1E7">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采取数量化、技术化的风险控制手段，建立数量化的风险管理模型，用以提示指数趋势、行业及个券的风险，以便公司及时采取有效的措施，对风险进行分散、控制和规避，尽可能地减少损失。</w:t>
      </w:r>
    </w:p>
    <w:p w14:paraId="47817DEA">
      <w:pPr>
        <w:widowControl/>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（7）提供足够的培训 </w:t>
      </w:r>
    </w:p>
    <w:p w14:paraId="48B6D523">
      <w:pPr>
        <w:widowControl/>
        <w:adjustRightInd w:val="0"/>
        <w:snapToGrid w:val="0"/>
        <w:spacing w:line="360" w:lineRule="auto"/>
        <w:ind w:firstLine="420" w:firstLineChars="200"/>
        <w:rPr>
          <w:rFonts w:ascii="宋体" w:hAnsi="宋体" w:cs="Arial"/>
          <w:szCs w:val="21"/>
        </w:rPr>
      </w:pPr>
      <w:r>
        <w:rPr>
          <w:rFonts w:hint="eastAsia" w:ascii="宋体" w:hAnsi="宋体" w:cs="Arial"/>
          <w:szCs w:val="21"/>
        </w:rPr>
        <w:t>制定了完整的培训计划，为所有员工提供足够和适当的培训，使员工明确其职责所在，控制风险。</w:t>
      </w:r>
    </w:p>
    <w:p w14:paraId="1B02BE8E">
      <w:pPr>
        <w:widowControl/>
        <w:adjustRightInd w:val="0"/>
        <w:snapToGrid w:val="0"/>
        <w:spacing w:line="360" w:lineRule="auto"/>
        <w:ind w:firstLine="420" w:firstLineChars="200"/>
        <w:rPr>
          <w:rFonts w:ascii="宋体" w:hAnsi="宋体" w:cs="Arial"/>
          <w:szCs w:val="21"/>
        </w:rPr>
      </w:pPr>
    </w:p>
    <w:p w14:paraId="354B2E29">
      <w:pPr>
        <w:widowControl/>
        <w:adjustRightInd w:val="0"/>
        <w:snapToGrid w:val="0"/>
        <w:spacing w:line="360" w:lineRule="auto"/>
        <w:ind w:firstLine="420" w:firstLineChars="200"/>
        <w:rPr>
          <w:rFonts w:ascii="宋体" w:hAnsi="宋体" w:cs="Arial"/>
          <w:szCs w:val="21"/>
        </w:rPr>
        <w:sectPr>
          <w:footerReference r:id="rId15" w:type="first"/>
          <w:footerReference r:id="rId14" w:type="default"/>
          <w:pgSz w:w="11906" w:h="16838"/>
          <w:pgMar w:top="1440" w:right="1800" w:bottom="1440" w:left="1800" w:header="851" w:footer="992" w:gutter="0"/>
          <w:pgNumType w:start="1"/>
          <w:cols w:space="720" w:num="1"/>
          <w:titlePg/>
          <w:docGrid w:linePitch="312" w:charSpace="0"/>
        </w:sectPr>
      </w:pPr>
    </w:p>
    <w:p w14:paraId="2F9B9548">
      <w:pPr>
        <w:pStyle w:val="2"/>
        <w:snapToGrid w:val="0"/>
        <w:spacing w:before="0" w:after="0" w:line="360" w:lineRule="auto"/>
        <w:ind w:firstLine="422" w:firstLineChars="150"/>
        <w:rPr>
          <w:rFonts w:hAnsi="宋体" w:eastAsia="宋体" w:cs="Arial"/>
          <w:b/>
          <w:bCs/>
          <w:sz w:val="28"/>
          <w:szCs w:val="28"/>
        </w:rPr>
      </w:pPr>
      <w:bookmarkStart w:id="14" w:name="_Toc26009"/>
      <w:r>
        <w:rPr>
          <w:rFonts w:hAnsi="宋体" w:eastAsia="宋体" w:cs="Arial"/>
          <w:b/>
          <w:bCs/>
          <w:sz w:val="28"/>
          <w:szCs w:val="28"/>
        </w:rPr>
        <w:t>第四部分  基金托管人</w:t>
      </w:r>
      <w:bookmarkEnd w:id="11"/>
      <w:bookmarkEnd w:id="12"/>
      <w:bookmarkEnd w:id="14"/>
    </w:p>
    <w:p w14:paraId="799F6FCB">
      <w:pPr>
        <w:spacing w:line="360" w:lineRule="auto"/>
        <w:rPr>
          <w:rFonts w:ascii="宋体" w:hAnsi="宋体"/>
        </w:rPr>
      </w:pPr>
    </w:p>
    <w:p w14:paraId="3FFAA6C2">
      <w:pPr>
        <w:widowControl/>
        <w:adjustRightInd w:val="0"/>
        <w:snapToGrid w:val="0"/>
        <w:spacing w:line="360" w:lineRule="auto"/>
        <w:ind w:firstLine="422" w:firstLineChars="200"/>
        <w:rPr>
          <w:rFonts w:hint="eastAsia"/>
          <w:b/>
          <w:bCs/>
          <w:sz w:val="21"/>
          <w:szCs w:val="21"/>
        </w:rPr>
      </w:pPr>
      <w:r>
        <w:rPr>
          <w:rFonts w:hint="eastAsia"/>
          <w:b/>
          <w:bCs/>
          <w:sz w:val="21"/>
          <w:szCs w:val="21"/>
        </w:rPr>
        <w:t>一、基金托管人情况</w:t>
      </w:r>
    </w:p>
    <w:p w14:paraId="6BFABBBE">
      <w:pPr>
        <w:widowControl/>
        <w:adjustRightInd w:val="0"/>
        <w:snapToGrid w:val="0"/>
        <w:spacing w:line="360" w:lineRule="auto"/>
        <w:ind w:firstLine="420" w:firstLineChars="200"/>
        <w:rPr>
          <w:rFonts w:hint="eastAsia"/>
          <w:sz w:val="21"/>
          <w:szCs w:val="21"/>
        </w:rPr>
      </w:pPr>
      <w:r>
        <w:rPr>
          <w:rFonts w:hint="eastAsia"/>
          <w:sz w:val="21"/>
          <w:szCs w:val="21"/>
        </w:rPr>
        <w:t>（一）基本情况</w:t>
      </w:r>
    </w:p>
    <w:p w14:paraId="6BBE536B">
      <w:pPr>
        <w:widowControl/>
        <w:adjustRightInd w:val="0"/>
        <w:snapToGrid w:val="0"/>
        <w:spacing w:line="360" w:lineRule="auto"/>
        <w:ind w:firstLine="420" w:firstLineChars="200"/>
        <w:rPr>
          <w:rFonts w:hint="eastAsia"/>
          <w:sz w:val="21"/>
          <w:szCs w:val="21"/>
        </w:rPr>
      </w:pPr>
      <w:r>
        <w:rPr>
          <w:rFonts w:hint="eastAsia"/>
          <w:sz w:val="21"/>
          <w:szCs w:val="21"/>
        </w:rPr>
        <w:t>名称：广发银行股份有限公司</w:t>
      </w:r>
    </w:p>
    <w:p w14:paraId="57AAE22C">
      <w:pPr>
        <w:widowControl/>
        <w:adjustRightInd w:val="0"/>
        <w:snapToGrid w:val="0"/>
        <w:spacing w:line="360" w:lineRule="auto"/>
        <w:ind w:firstLine="420" w:firstLineChars="200"/>
        <w:rPr>
          <w:rFonts w:hint="eastAsia"/>
          <w:sz w:val="21"/>
          <w:szCs w:val="21"/>
        </w:rPr>
      </w:pPr>
      <w:r>
        <w:rPr>
          <w:rFonts w:hint="eastAsia"/>
          <w:sz w:val="21"/>
          <w:szCs w:val="21"/>
        </w:rPr>
        <w:t>住所：广州市越秀区东风东路713号</w:t>
      </w:r>
    </w:p>
    <w:p w14:paraId="129A86B5">
      <w:pPr>
        <w:widowControl/>
        <w:adjustRightInd w:val="0"/>
        <w:snapToGrid w:val="0"/>
        <w:spacing w:line="360" w:lineRule="auto"/>
        <w:ind w:firstLine="420" w:firstLineChars="200"/>
        <w:rPr>
          <w:rFonts w:hint="eastAsia"/>
          <w:sz w:val="21"/>
          <w:szCs w:val="21"/>
        </w:rPr>
      </w:pPr>
      <w:r>
        <w:rPr>
          <w:rFonts w:hint="eastAsia"/>
          <w:sz w:val="21"/>
          <w:szCs w:val="21"/>
        </w:rPr>
        <w:t>办公地址：北京市西城区金融大街十五号鑫茂大厦北楼4层</w:t>
      </w:r>
    </w:p>
    <w:p w14:paraId="3EE3127B">
      <w:pPr>
        <w:widowControl/>
        <w:adjustRightInd w:val="0"/>
        <w:snapToGrid w:val="0"/>
        <w:spacing w:line="360" w:lineRule="auto"/>
        <w:ind w:firstLine="420" w:firstLineChars="200"/>
        <w:rPr>
          <w:rFonts w:hint="eastAsia"/>
          <w:sz w:val="21"/>
          <w:szCs w:val="21"/>
        </w:rPr>
      </w:pPr>
      <w:r>
        <w:rPr>
          <w:rFonts w:hint="eastAsia"/>
          <w:sz w:val="21"/>
          <w:szCs w:val="21"/>
        </w:rPr>
        <w:t>法定代表人：林朝晖</w:t>
      </w:r>
    </w:p>
    <w:p w14:paraId="4FABC52A">
      <w:pPr>
        <w:widowControl/>
        <w:adjustRightInd w:val="0"/>
        <w:snapToGrid w:val="0"/>
        <w:spacing w:line="360" w:lineRule="auto"/>
        <w:ind w:firstLine="420" w:firstLineChars="200"/>
        <w:rPr>
          <w:rFonts w:hint="eastAsia"/>
          <w:sz w:val="21"/>
          <w:szCs w:val="21"/>
        </w:rPr>
      </w:pPr>
      <w:r>
        <w:rPr>
          <w:rFonts w:hint="eastAsia"/>
          <w:sz w:val="21"/>
          <w:szCs w:val="21"/>
        </w:rPr>
        <w:t>成立时间：1988 年7月8日</w:t>
      </w:r>
    </w:p>
    <w:p w14:paraId="6D77DB80">
      <w:pPr>
        <w:widowControl/>
        <w:adjustRightInd w:val="0"/>
        <w:snapToGrid w:val="0"/>
        <w:spacing w:line="360" w:lineRule="auto"/>
        <w:ind w:firstLine="420" w:firstLineChars="200"/>
        <w:rPr>
          <w:rFonts w:hint="eastAsia"/>
          <w:sz w:val="21"/>
          <w:szCs w:val="21"/>
        </w:rPr>
      </w:pPr>
      <w:r>
        <w:rPr>
          <w:rFonts w:hint="eastAsia"/>
          <w:sz w:val="21"/>
          <w:szCs w:val="21"/>
        </w:rPr>
        <w:t>组织形式：股份有限公司</w:t>
      </w:r>
    </w:p>
    <w:p w14:paraId="2F1A21F1">
      <w:pPr>
        <w:widowControl/>
        <w:adjustRightInd w:val="0"/>
        <w:snapToGrid w:val="0"/>
        <w:spacing w:line="360" w:lineRule="auto"/>
        <w:ind w:firstLine="420" w:firstLineChars="200"/>
        <w:rPr>
          <w:rFonts w:hint="eastAsia"/>
          <w:sz w:val="21"/>
          <w:szCs w:val="21"/>
        </w:rPr>
      </w:pPr>
      <w:r>
        <w:rPr>
          <w:rFonts w:hint="eastAsia"/>
          <w:sz w:val="21"/>
          <w:szCs w:val="21"/>
        </w:rPr>
        <w:t>注册资本：217.90亿人民币</w:t>
      </w:r>
    </w:p>
    <w:p w14:paraId="0C7EACF0">
      <w:pPr>
        <w:widowControl/>
        <w:adjustRightInd w:val="0"/>
        <w:snapToGrid w:val="0"/>
        <w:spacing w:line="360" w:lineRule="auto"/>
        <w:ind w:firstLine="420" w:firstLineChars="200"/>
        <w:rPr>
          <w:rFonts w:hint="eastAsia"/>
          <w:sz w:val="21"/>
          <w:szCs w:val="21"/>
        </w:rPr>
      </w:pPr>
      <w:r>
        <w:rPr>
          <w:rFonts w:hint="eastAsia"/>
          <w:sz w:val="21"/>
          <w:szCs w:val="21"/>
        </w:rPr>
        <w:t>存续期间：持续经营</w:t>
      </w:r>
    </w:p>
    <w:p w14:paraId="16A7E1BE">
      <w:pPr>
        <w:widowControl/>
        <w:adjustRightInd w:val="0"/>
        <w:snapToGrid w:val="0"/>
        <w:spacing w:line="360" w:lineRule="auto"/>
        <w:ind w:firstLine="420" w:firstLineChars="200"/>
        <w:rPr>
          <w:rFonts w:hint="eastAsia"/>
          <w:sz w:val="21"/>
          <w:szCs w:val="21"/>
        </w:rPr>
      </w:pPr>
      <w:r>
        <w:rPr>
          <w:rFonts w:hint="eastAsia"/>
          <w:sz w:val="21"/>
          <w:szCs w:val="21"/>
        </w:rPr>
        <w:t>基金托管资格批文及文号：中国证监会、中国银监会《关于核准广东发展银行证券投资基金托管资格的批复》，证监许可[2009]363号</w:t>
      </w:r>
    </w:p>
    <w:p w14:paraId="16599539">
      <w:pPr>
        <w:widowControl/>
        <w:adjustRightInd w:val="0"/>
        <w:snapToGrid w:val="0"/>
        <w:spacing w:line="360" w:lineRule="auto"/>
        <w:ind w:firstLine="420" w:firstLineChars="200"/>
        <w:rPr>
          <w:rFonts w:hint="eastAsia"/>
          <w:sz w:val="21"/>
          <w:szCs w:val="21"/>
        </w:rPr>
      </w:pPr>
      <w:r>
        <w:rPr>
          <w:rFonts w:hint="eastAsia"/>
          <w:sz w:val="21"/>
          <w:szCs w:val="21"/>
        </w:rPr>
        <w:t>联系人：倪彤欣</w:t>
      </w:r>
    </w:p>
    <w:p w14:paraId="7E83F20D">
      <w:pPr>
        <w:widowControl/>
        <w:adjustRightInd w:val="0"/>
        <w:snapToGrid w:val="0"/>
        <w:spacing w:line="360" w:lineRule="auto"/>
        <w:ind w:firstLine="420" w:firstLineChars="200"/>
        <w:rPr>
          <w:rFonts w:hint="eastAsia"/>
          <w:sz w:val="21"/>
          <w:szCs w:val="21"/>
        </w:rPr>
      </w:pPr>
      <w:r>
        <w:rPr>
          <w:rFonts w:hint="eastAsia"/>
          <w:sz w:val="21"/>
          <w:szCs w:val="21"/>
        </w:rPr>
        <w:t>联系电话：（010）65169618</w:t>
      </w:r>
    </w:p>
    <w:p w14:paraId="75A7A6F3">
      <w:pPr>
        <w:widowControl/>
        <w:adjustRightInd w:val="0"/>
        <w:snapToGrid w:val="0"/>
        <w:spacing w:line="360" w:lineRule="auto"/>
        <w:ind w:firstLine="420" w:firstLineChars="200"/>
        <w:rPr>
          <w:rFonts w:hint="eastAsia"/>
          <w:sz w:val="21"/>
          <w:szCs w:val="21"/>
        </w:rPr>
      </w:pPr>
      <w:r>
        <w:rPr>
          <w:rFonts w:hint="eastAsia"/>
          <w:sz w:val="21"/>
          <w:szCs w:val="21"/>
        </w:rPr>
        <w:t>广发银行股份有限公司成立于1988年，是国务院和中国人民银行批准成立的我国首批股份制商业银行之一，总部设于广东省广州市，注册资本217.90亿元。三十余年来，广发银行栉风沐雨，艰苦创业，以自己不断壮大的发展历程，见证了中国经济腾飞和金融体制改革的每一个脚印。</w:t>
      </w:r>
    </w:p>
    <w:p w14:paraId="71F19989">
      <w:pPr>
        <w:widowControl/>
        <w:adjustRightInd w:val="0"/>
        <w:snapToGrid w:val="0"/>
        <w:spacing w:line="360" w:lineRule="auto"/>
        <w:ind w:firstLine="420" w:firstLineChars="200"/>
        <w:rPr>
          <w:rFonts w:hint="eastAsia"/>
          <w:sz w:val="21"/>
          <w:szCs w:val="21"/>
        </w:rPr>
      </w:pPr>
      <w:r>
        <w:rPr>
          <w:rFonts w:hint="eastAsia"/>
          <w:sz w:val="21"/>
          <w:szCs w:val="21"/>
        </w:rPr>
        <w:t>截至2025年12月31日，广发银行总资产3.73万亿元、总负债3.43万亿元，实现营业收入639.42亿元、净利润130.29亿元。</w:t>
      </w:r>
    </w:p>
    <w:p w14:paraId="7CF81A8A">
      <w:pPr>
        <w:widowControl/>
        <w:adjustRightInd w:val="0"/>
        <w:snapToGrid w:val="0"/>
        <w:spacing w:line="360" w:lineRule="auto"/>
        <w:ind w:firstLine="420" w:firstLineChars="200"/>
        <w:rPr>
          <w:rFonts w:hint="eastAsia"/>
          <w:sz w:val="21"/>
          <w:szCs w:val="21"/>
        </w:rPr>
      </w:pPr>
      <w:r>
        <w:rPr>
          <w:rFonts w:hint="eastAsia"/>
          <w:sz w:val="21"/>
          <w:szCs w:val="21"/>
        </w:rPr>
        <w:t>（二）主要人员情况</w:t>
      </w:r>
    </w:p>
    <w:p w14:paraId="617C9C53">
      <w:pPr>
        <w:widowControl/>
        <w:adjustRightInd w:val="0"/>
        <w:snapToGrid w:val="0"/>
        <w:spacing w:line="360" w:lineRule="auto"/>
        <w:ind w:firstLine="420" w:firstLineChars="200"/>
        <w:rPr>
          <w:rFonts w:hint="eastAsia"/>
          <w:sz w:val="21"/>
          <w:szCs w:val="21"/>
        </w:rPr>
      </w:pPr>
      <w:r>
        <w:rPr>
          <w:rFonts w:hint="eastAsia"/>
          <w:sz w:val="21"/>
          <w:szCs w:val="21"/>
        </w:rPr>
        <w:t>广发银行股份有限公司总行设资产托管部，是从事资产托管业务的职能部门，内设客户营销处、保险与期货业务处、增值与外包业务处、业务运行处、内控与综合管理处5个职能处室，共有员工54人，平均年龄37岁，全体正式员工均拥有大学本科及以上学历、具备基金从业资格。</w:t>
      </w:r>
    </w:p>
    <w:p w14:paraId="605ED19C">
      <w:pPr>
        <w:widowControl/>
        <w:adjustRightInd w:val="0"/>
        <w:snapToGrid w:val="0"/>
        <w:spacing w:line="360" w:lineRule="auto"/>
        <w:ind w:firstLine="420" w:firstLineChars="200"/>
        <w:rPr>
          <w:rFonts w:hint="eastAsia"/>
          <w:sz w:val="21"/>
          <w:szCs w:val="21"/>
        </w:rPr>
      </w:pPr>
      <w:r>
        <w:rPr>
          <w:rFonts w:hint="eastAsia"/>
          <w:sz w:val="21"/>
          <w:szCs w:val="21"/>
        </w:rPr>
        <w:t>田卫来先生，经济学学士，经济师，具有二十余年银行从业经验，在综合金融、公司信贷等领域均有深入研究和丰富的实务经验。2013年4月加入广发银行，先后担任支行行长、分行公司金融部总经理、总行公司金融部副总经理。2023年7月，经中国证监会核准资格，任广发银行资产托管部副总经理，临时负责部门工作。</w:t>
      </w:r>
    </w:p>
    <w:p w14:paraId="1982817A">
      <w:pPr>
        <w:widowControl/>
        <w:adjustRightInd w:val="0"/>
        <w:snapToGrid w:val="0"/>
        <w:spacing w:line="360" w:lineRule="auto"/>
        <w:ind w:firstLine="420" w:firstLineChars="200"/>
        <w:rPr>
          <w:rFonts w:hint="eastAsia"/>
          <w:sz w:val="21"/>
          <w:szCs w:val="21"/>
        </w:rPr>
      </w:pPr>
      <w:r>
        <w:rPr>
          <w:rFonts w:hint="eastAsia"/>
          <w:sz w:val="21"/>
          <w:szCs w:val="21"/>
        </w:rPr>
        <w:t>胡静女士，经济学学士，经济师，具有二十余年财税领域专业经验，兼具银行、税务系统及大型金融机构复合背景。2012年9月加入中国人寿保险（集团）公司，持续深耕财税管理与政策研究，2023年12月起任财务部高级经理；2026年9月，经中国证监会核准资格，任广发银行资产托管部副总经理。</w:t>
      </w:r>
    </w:p>
    <w:p w14:paraId="31653112">
      <w:pPr>
        <w:widowControl/>
        <w:adjustRightInd w:val="0"/>
        <w:snapToGrid w:val="0"/>
        <w:spacing w:line="360" w:lineRule="auto"/>
        <w:ind w:firstLine="420" w:firstLineChars="200"/>
        <w:rPr>
          <w:rFonts w:hint="eastAsia"/>
          <w:sz w:val="21"/>
          <w:szCs w:val="21"/>
        </w:rPr>
      </w:pPr>
      <w:r>
        <w:rPr>
          <w:rFonts w:hint="eastAsia"/>
          <w:sz w:val="21"/>
          <w:szCs w:val="21"/>
        </w:rPr>
        <w:t>（三）基金托管业务经营情况</w:t>
      </w:r>
    </w:p>
    <w:p w14:paraId="0319EEC0">
      <w:pPr>
        <w:widowControl/>
        <w:adjustRightInd w:val="0"/>
        <w:snapToGrid w:val="0"/>
        <w:spacing w:line="360" w:lineRule="auto"/>
        <w:ind w:firstLine="420" w:firstLineChars="200"/>
        <w:rPr>
          <w:rFonts w:hint="eastAsia"/>
          <w:sz w:val="21"/>
          <w:szCs w:val="21"/>
        </w:rPr>
      </w:pPr>
      <w:r>
        <w:rPr>
          <w:rFonts w:hint="eastAsia"/>
          <w:sz w:val="21"/>
          <w:szCs w:val="21"/>
        </w:rPr>
        <w:t>广发银行股份有限公司于2009年5月4日获得中国证监会、原银监会核准开办证券投资基金托管业务，基金托管业务批准文号：证监许可[2009]363号。截至2026年6月30日，托管资产规模31,253.69亿元，其中托管90只证券投资基金，规模5,185.24亿元。广发银行建立了一只优秀、专业的托管业务团队，保证了托管服务水准在行业的领先地位。目前，广发银行资产托管业务建立了完善的产品线，产品涵盖证券投资基金托管、基金公司客户资产管理托管、证券公司客户资产管理托管、银行理财托管、信托财产保管、私募投资基金、保险资金托管、QDII类托管、QFI类托管、期货资管托管以及私募基金募集监管、企业专项资金监管等其他资产托管，可为托管产品提供全面的托管服务。</w:t>
      </w:r>
    </w:p>
    <w:p w14:paraId="59193CF1">
      <w:pPr>
        <w:widowControl/>
        <w:adjustRightInd w:val="0"/>
        <w:snapToGrid w:val="0"/>
        <w:spacing w:line="360" w:lineRule="auto"/>
        <w:ind w:firstLine="422" w:firstLineChars="200"/>
        <w:rPr>
          <w:rFonts w:hint="eastAsia"/>
          <w:b/>
          <w:bCs/>
          <w:sz w:val="21"/>
          <w:szCs w:val="21"/>
        </w:rPr>
      </w:pPr>
      <w:r>
        <w:rPr>
          <w:rFonts w:hint="eastAsia"/>
          <w:b/>
          <w:bCs/>
          <w:sz w:val="21"/>
          <w:szCs w:val="21"/>
        </w:rPr>
        <w:t>二、基金托管人的内部控制制度</w:t>
      </w:r>
    </w:p>
    <w:p w14:paraId="797A39E0">
      <w:pPr>
        <w:widowControl/>
        <w:adjustRightInd w:val="0"/>
        <w:snapToGrid w:val="0"/>
        <w:spacing w:line="360" w:lineRule="auto"/>
        <w:ind w:firstLine="420" w:firstLineChars="200"/>
        <w:rPr>
          <w:rFonts w:hint="eastAsia"/>
          <w:sz w:val="21"/>
          <w:szCs w:val="21"/>
        </w:rPr>
      </w:pPr>
      <w:r>
        <w:rPr>
          <w:rFonts w:hint="eastAsia"/>
          <w:sz w:val="21"/>
          <w:szCs w:val="21"/>
        </w:rPr>
        <w:t>（一）内部控制目标</w:t>
      </w:r>
    </w:p>
    <w:p w14:paraId="64E54427">
      <w:pPr>
        <w:widowControl/>
        <w:adjustRightInd w:val="0"/>
        <w:snapToGrid w:val="0"/>
        <w:spacing w:line="360" w:lineRule="auto"/>
        <w:ind w:firstLine="420" w:firstLineChars="200"/>
        <w:rPr>
          <w:rFonts w:hint="eastAsia"/>
          <w:sz w:val="21"/>
          <w:szCs w:val="21"/>
        </w:rPr>
      </w:pPr>
      <w:r>
        <w:rPr>
          <w:rFonts w:hint="eastAsia"/>
          <w:sz w:val="21"/>
          <w:szCs w:val="21"/>
        </w:rPr>
        <w:t>严格遵守国家有关托管业务的法律、法规、规章、行政性规定、行业准则和行内有关管理规定，守法经营、规范运作、严格监察，确保业务的稳健运行，保证基金资产的安全完整，确保有关信息的真实、准确、完整、及时，保护基金份额持有人的合法权益。</w:t>
      </w:r>
    </w:p>
    <w:p w14:paraId="41172BDE">
      <w:pPr>
        <w:widowControl/>
        <w:adjustRightInd w:val="0"/>
        <w:snapToGrid w:val="0"/>
        <w:spacing w:line="360" w:lineRule="auto"/>
        <w:ind w:firstLine="420" w:firstLineChars="200"/>
        <w:rPr>
          <w:rFonts w:hint="eastAsia"/>
          <w:sz w:val="21"/>
          <w:szCs w:val="21"/>
        </w:rPr>
      </w:pPr>
      <w:r>
        <w:rPr>
          <w:rFonts w:hint="eastAsia"/>
          <w:sz w:val="21"/>
          <w:szCs w:val="21"/>
        </w:rPr>
        <w:t>（二）内部控制组织结构</w:t>
      </w:r>
    </w:p>
    <w:p w14:paraId="718E9130">
      <w:pPr>
        <w:widowControl/>
        <w:adjustRightInd w:val="0"/>
        <w:snapToGrid w:val="0"/>
        <w:spacing w:line="360" w:lineRule="auto"/>
        <w:ind w:firstLine="420" w:firstLineChars="200"/>
        <w:rPr>
          <w:rFonts w:hint="eastAsia"/>
          <w:sz w:val="21"/>
          <w:szCs w:val="21"/>
        </w:rPr>
      </w:pPr>
      <w:r>
        <w:rPr>
          <w:rFonts w:hint="eastAsia"/>
          <w:sz w:val="21"/>
          <w:szCs w:val="21"/>
        </w:rPr>
        <w:t>广发银行股份有限公司总行下设资产托管部，是全行资产托管业务的管理和运营部门，专设内控与综合管理处，配备了专职内部监察稽核人员，负责托管业务的内部控制和风险管理工作，具有独立行使监督稽核工作的职权和能力。</w:t>
      </w:r>
    </w:p>
    <w:p w14:paraId="4FA98CA5">
      <w:pPr>
        <w:widowControl/>
        <w:adjustRightInd w:val="0"/>
        <w:snapToGrid w:val="0"/>
        <w:spacing w:line="360" w:lineRule="auto"/>
        <w:ind w:firstLine="420" w:firstLineChars="200"/>
        <w:rPr>
          <w:rFonts w:hint="eastAsia"/>
          <w:sz w:val="21"/>
          <w:szCs w:val="21"/>
        </w:rPr>
      </w:pPr>
      <w:r>
        <w:rPr>
          <w:rFonts w:hint="eastAsia"/>
          <w:sz w:val="21"/>
          <w:szCs w:val="21"/>
        </w:rPr>
        <w:t>（三）内部风险控制原则</w:t>
      </w:r>
    </w:p>
    <w:p w14:paraId="68B95755">
      <w:pPr>
        <w:widowControl/>
        <w:adjustRightInd w:val="0"/>
        <w:snapToGrid w:val="0"/>
        <w:spacing w:line="360" w:lineRule="auto"/>
        <w:ind w:firstLine="420" w:firstLineChars="200"/>
        <w:rPr>
          <w:rFonts w:hint="eastAsia"/>
          <w:sz w:val="21"/>
          <w:szCs w:val="21"/>
        </w:rPr>
      </w:pPr>
      <w:r>
        <w:rPr>
          <w:rFonts w:hint="eastAsia"/>
          <w:sz w:val="21"/>
          <w:szCs w:val="21"/>
        </w:rPr>
        <w:t>资产托管部建立了完善的制度控制体系和托管系统。制度体系包含管理制度、控制制度、岗位职责、业务操作流程，可以保证托管业务的规范操作和顺利进行；业务人员具备从业资格；业务管理严格实行复核、审核，授权工作实行集中控制，业务印章按规程保管、存放、使用，账户资料严格保管，制约机制完善有效；业务操作区专门设置，封闭管理，实施音像监控；业务信息由专职信息披露人负责，防止泄密；业务实现自动化操作，防止人为事故的发生，技术系统完整、独立。</w:t>
      </w:r>
    </w:p>
    <w:p w14:paraId="047A9A41">
      <w:pPr>
        <w:widowControl/>
        <w:adjustRightInd w:val="0"/>
        <w:snapToGrid w:val="0"/>
        <w:spacing w:line="360" w:lineRule="auto"/>
        <w:ind w:firstLine="420" w:firstLineChars="200"/>
        <w:rPr>
          <w:rFonts w:hint="eastAsia"/>
          <w:sz w:val="21"/>
          <w:szCs w:val="21"/>
        </w:rPr>
      </w:pPr>
      <w:r>
        <w:rPr>
          <w:rFonts w:hint="eastAsia"/>
          <w:sz w:val="21"/>
          <w:szCs w:val="21"/>
        </w:rPr>
        <w:t>三、基金托管人对基金管理人运作基金进行监督的方法和程序</w:t>
      </w:r>
    </w:p>
    <w:p w14:paraId="1D2570AE">
      <w:pPr>
        <w:widowControl/>
        <w:adjustRightInd w:val="0"/>
        <w:snapToGrid w:val="0"/>
        <w:spacing w:line="360" w:lineRule="auto"/>
        <w:ind w:firstLine="420" w:firstLineChars="200"/>
        <w:rPr>
          <w:rFonts w:hint="eastAsia"/>
          <w:sz w:val="21"/>
          <w:szCs w:val="21"/>
        </w:rPr>
      </w:pPr>
      <w:r>
        <w:rPr>
          <w:rFonts w:hint="eastAsia"/>
          <w:sz w:val="21"/>
          <w:szCs w:val="21"/>
        </w:rPr>
        <w:t>根据《基金法》、《公开募集证券投资基金运作管理办法》、基金合同及其他有关基金法规的规定，基金托管人对基金的投资对象和投资范围、投资比例、投资限制等情况的合法性、合规性进行监督与核查。其中，对基金的投资比例的监督与核查自基金合同生效后六个月开始。</w:t>
      </w:r>
    </w:p>
    <w:p w14:paraId="3FABC73C">
      <w:pPr>
        <w:widowControl/>
        <w:adjustRightInd w:val="0"/>
        <w:snapToGrid w:val="0"/>
        <w:spacing w:line="360" w:lineRule="auto"/>
        <w:ind w:firstLine="420" w:firstLineChars="200"/>
        <w:rPr>
          <w:rFonts w:hint="eastAsia"/>
          <w:sz w:val="21"/>
          <w:szCs w:val="21"/>
        </w:rPr>
      </w:pPr>
      <w:r>
        <w:rPr>
          <w:rFonts w:hint="eastAsia"/>
          <w:sz w:val="21"/>
          <w:szCs w:val="21"/>
        </w:rPr>
        <w:t>在为基金投资运作所提供的基金清算与核算服务环节中，基金托管人对基金管理人发送的投资指令、基金管理人对各基金费用的提取与支付、基金信息披露等情况进行检查监督，对违反法律法规、基金合同约定的指令拒绝执行，并立即通知基金管理人。</w:t>
      </w:r>
    </w:p>
    <w:p w14:paraId="68C58926">
      <w:pPr>
        <w:widowControl/>
        <w:adjustRightInd w:val="0"/>
        <w:snapToGrid w:val="0"/>
        <w:spacing w:line="360" w:lineRule="auto"/>
        <w:ind w:firstLine="420" w:firstLineChars="200"/>
        <w:rPr>
          <w:rFonts w:hint="eastAsia"/>
          <w:sz w:val="21"/>
          <w:szCs w:val="21"/>
        </w:rPr>
      </w:pPr>
      <w:r>
        <w:rPr>
          <w:rFonts w:hint="eastAsia"/>
          <w:sz w:val="21"/>
          <w:szCs w:val="21"/>
        </w:rPr>
        <w:t>基金托管人如发现基金管理人依据交易程序已经生效的投资指令违反法律、行政法规和其他有关规定，或者违反基金合同约定的，及时以书面形式通知基金管理人进行整改。基金管理人收到通知后应及时核对确认并以书面形式对基金托管人发出回函并改正。基金管理人对基金托管人通知的违规事项未能在限期内纠正的，基金托管人应报告中国证监会。</w:t>
      </w:r>
    </w:p>
    <w:p w14:paraId="7D146B36">
      <w:pPr>
        <w:widowControl/>
        <w:adjustRightInd w:val="0"/>
        <w:snapToGrid w:val="0"/>
        <w:spacing w:line="360" w:lineRule="auto"/>
        <w:ind w:firstLine="420" w:firstLineChars="200"/>
        <w:rPr>
          <w:rFonts w:ascii="宋体" w:hAnsi="宋体" w:cs="Arial"/>
          <w:szCs w:val="21"/>
        </w:rPr>
      </w:pPr>
    </w:p>
    <w:p w14:paraId="162E6FF9">
      <w:pPr>
        <w:widowControl/>
        <w:adjustRightInd w:val="0"/>
        <w:snapToGrid w:val="0"/>
        <w:spacing w:line="360" w:lineRule="auto"/>
        <w:ind w:firstLine="420" w:firstLineChars="200"/>
        <w:rPr>
          <w:rFonts w:ascii="宋体" w:hAnsi="宋体" w:cs="Arial"/>
          <w:szCs w:val="21"/>
        </w:rPr>
      </w:pPr>
    </w:p>
    <w:p w14:paraId="6C4172F9">
      <w:pPr>
        <w:widowControl/>
        <w:adjustRightInd w:val="0"/>
        <w:snapToGrid w:val="0"/>
        <w:spacing w:line="360" w:lineRule="auto"/>
        <w:ind w:firstLine="420" w:firstLineChars="200"/>
        <w:rPr>
          <w:rFonts w:ascii="Arial Unicode MS" w:hAnsi="Arial Unicode MS" w:cs="Arial"/>
          <w:bCs/>
          <w:szCs w:val="21"/>
        </w:rPr>
      </w:pPr>
    </w:p>
    <w:p w14:paraId="2D2E8BE9">
      <w:pPr>
        <w:autoSpaceDE w:val="0"/>
        <w:autoSpaceDN w:val="0"/>
        <w:adjustRightInd w:val="0"/>
        <w:snapToGrid w:val="0"/>
        <w:spacing w:line="360" w:lineRule="auto"/>
        <w:rPr>
          <w:rFonts w:ascii="宋体" w:hAnsi="宋体" w:cs="Arial"/>
          <w:szCs w:val="21"/>
        </w:rPr>
        <w:sectPr>
          <w:footerReference r:id="rId17" w:type="first"/>
          <w:footerReference r:id="rId16" w:type="default"/>
          <w:pgSz w:w="11906" w:h="16838"/>
          <w:pgMar w:top="1440" w:right="1800" w:bottom="1440" w:left="1800" w:header="851" w:footer="992" w:gutter="0"/>
          <w:pgNumType w:start="1"/>
          <w:cols w:space="720" w:num="1"/>
          <w:titlePg/>
          <w:docGrid w:linePitch="312" w:charSpace="0"/>
        </w:sectPr>
      </w:pPr>
      <w:bookmarkStart w:id="15" w:name="_Toc214873594"/>
    </w:p>
    <w:p w14:paraId="3DF53AA1">
      <w:pPr>
        <w:pStyle w:val="2"/>
        <w:snapToGrid w:val="0"/>
        <w:spacing w:before="0" w:after="0" w:line="360" w:lineRule="auto"/>
        <w:ind w:firstLine="422" w:firstLineChars="150"/>
        <w:rPr>
          <w:rFonts w:hAnsi="宋体" w:eastAsia="宋体" w:cs="Arial"/>
          <w:b/>
          <w:bCs/>
          <w:sz w:val="28"/>
          <w:szCs w:val="28"/>
        </w:rPr>
      </w:pPr>
      <w:bookmarkStart w:id="16" w:name="_Toc19547"/>
      <w:r>
        <w:rPr>
          <w:rFonts w:hAnsi="宋体" w:eastAsia="宋体" w:cs="Arial"/>
          <w:b/>
          <w:bCs/>
          <w:sz w:val="28"/>
          <w:szCs w:val="28"/>
        </w:rPr>
        <w:t>第五部分  相关服务机构</w:t>
      </w:r>
      <w:bookmarkEnd w:id="15"/>
      <w:bookmarkEnd w:id="16"/>
    </w:p>
    <w:p w14:paraId="15A89E95">
      <w:pPr>
        <w:spacing w:line="360" w:lineRule="auto"/>
        <w:rPr>
          <w:rFonts w:ascii="宋体" w:hAnsi="宋体"/>
        </w:rPr>
      </w:pPr>
    </w:p>
    <w:p w14:paraId="092E9FE5">
      <w:pPr>
        <w:snapToGrid w:val="0"/>
        <w:spacing w:line="360" w:lineRule="auto"/>
        <w:ind w:firstLine="422" w:firstLineChars="200"/>
        <w:rPr>
          <w:rFonts w:ascii="宋体" w:hAnsi="宋体" w:cs="Arial"/>
          <w:b/>
          <w:szCs w:val="21"/>
        </w:rPr>
      </w:pPr>
      <w:r>
        <w:rPr>
          <w:rFonts w:ascii="宋体" w:hAnsi="宋体" w:cs="Arial"/>
          <w:b/>
          <w:szCs w:val="21"/>
        </w:rPr>
        <w:t>一、基金份额发售机构</w:t>
      </w:r>
    </w:p>
    <w:p w14:paraId="49459B12">
      <w:pPr>
        <w:snapToGrid w:val="0"/>
        <w:spacing w:line="360" w:lineRule="auto"/>
        <w:ind w:firstLine="420" w:firstLineChars="200"/>
        <w:rPr>
          <w:rFonts w:ascii="宋体" w:hAnsi="宋体" w:cs="Arial"/>
        </w:rPr>
      </w:pPr>
      <w:r>
        <w:rPr>
          <w:rFonts w:hint="eastAsia" w:ascii="宋体" w:hAnsi="宋体" w:cs="Arial"/>
          <w:lang w:val="en-US" w:eastAsia="zh-CN"/>
        </w:rPr>
        <w:t>1</w:t>
      </w:r>
      <w:r>
        <w:rPr>
          <w:rFonts w:hint="eastAsia" w:ascii="宋体" w:hAnsi="宋体" w:cs="Arial"/>
        </w:rPr>
        <w:t>、网下现金发售直销机构</w:t>
      </w:r>
    </w:p>
    <w:p w14:paraId="6CA8301E">
      <w:pPr>
        <w:snapToGrid w:val="0"/>
        <w:spacing w:line="360" w:lineRule="auto"/>
        <w:ind w:firstLine="420" w:firstLineChars="200"/>
        <w:rPr>
          <w:rFonts w:ascii="宋体" w:hAnsi="宋体" w:cs="Arial"/>
        </w:rPr>
      </w:pPr>
      <w:r>
        <w:rPr>
          <w:rFonts w:hint="eastAsia" w:ascii="宋体" w:hAnsi="宋体" w:cs="Arial"/>
        </w:rPr>
        <w:t>名称：博时基金管理有限公司</w:t>
      </w:r>
    </w:p>
    <w:p w14:paraId="180FC3CD">
      <w:pPr>
        <w:snapToGrid w:val="0"/>
        <w:spacing w:line="360" w:lineRule="auto"/>
        <w:ind w:firstLine="420" w:firstLineChars="200"/>
        <w:rPr>
          <w:rFonts w:ascii="宋体" w:hAnsi="宋体" w:cs="Arial"/>
        </w:rPr>
      </w:pPr>
      <w:r>
        <w:rPr>
          <w:rFonts w:hint="eastAsia" w:ascii="宋体" w:hAnsi="宋体" w:cs="Arial"/>
        </w:rPr>
        <w:t>住所：深圳市福田区莲花街道福新社区益田路5999号基金大厦21层</w:t>
      </w:r>
    </w:p>
    <w:p w14:paraId="6D4B5433">
      <w:pPr>
        <w:snapToGrid w:val="0"/>
        <w:spacing w:line="360" w:lineRule="auto"/>
        <w:ind w:firstLine="420" w:firstLineChars="200"/>
        <w:rPr>
          <w:rFonts w:ascii="宋体" w:hAnsi="宋体" w:cs="Arial"/>
        </w:rPr>
      </w:pPr>
      <w:r>
        <w:rPr>
          <w:rFonts w:hint="eastAsia" w:ascii="宋体" w:hAnsi="宋体" w:cs="Arial"/>
        </w:rPr>
        <w:t>办公地址：北京市建国门内大街18号恒基中心1座23层</w:t>
      </w:r>
    </w:p>
    <w:p w14:paraId="78662F7F">
      <w:pPr>
        <w:snapToGrid w:val="0"/>
        <w:spacing w:line="360" w:lineRule="auto"/>
        <w:ind w:firstLine="420" w:firstLineChars="200"/>
        <w:rPr>
          <w:rFonts w:ascii="宋体" w:hAnsi="宋体" w:cs="Arial"/>
        </w:rPr>
      </w:pPr>
      <w:r>
        <w:rPr>
          <w:rFonts w:hint="eastAsia" w:ascii="宋体" w:hAnsi="宋体" w:cs="Arial"/>
        </w:rPr>
        <w:t>电话：010-65187055</w:t>
      </w:r>
    </w:p>
    <w:p w14:paraId="5B0DE3E3">
      <w:pPr>
        <w:snapToGrid w:val="0"/>
        <w:spacing w:line="360" w:lineRule="auto"/>
        <w:ind w:firstLine="420" w:firstLineChars="200"/>
        <w:rPr>
          <w:rFonts w:ascii="宋体" w:hAnsi="宋体" w:cs="Arial"/>
        </w:rPr>
      </w:pPr>
      <w:r>
        <w:rPr>
          <w:rFonts w:hint="eastAsia" w:ascii="宋体" w:hAnsi="宋体" w:cs="Arial"/>
        </w:rPr>
        <w:t>传真：010-65187032</w:t>
      </w:r>
    </w:p>
    <w:p w14:paraId="6564B352">
      <w:pPr>
        <w:snapToGrid w:val="0"/>
        <w:spacing w:line="360" w:lineRule="auto"/>
        <w:ind w:firstLine="420" w:firstLineChars="200"/>
        <w:rPr>
          <w:rFonts w:ascii="宋体" w:hAnsi="宋体" w:cs="Arial"/>
        </w:rPr>
      </w:pPr>
      <w:r>
        <w:rPr>
          <w:rFonts w:hint="eastAsia" w:ascii="宋体" w:hAnsi="宋体" w:cs="Arial"/>
        </w:rPr>
        <w:t>联系人：韩明亮</w:t>
      </w:r>
    </w:p>
    <w:p w14:paraId="17D964FD">
      <w:pPr>
        <w:snapToGrid w:val="0"/>
        <w:spacing w:line="360" w:lineRule="auto"/>
        <w:ind w:firstLine="420" w:firstLineChars="200"/>
        <w:rPr>
          <w:rFonts w:ascii="宋体" w:hAnsi="宋体" w:cs="Arial"/>
        </w:rPr>
      </w:pPr>
      <w:r>
        <w:rPr>
          <w:rFonts w:hint="eastAsia" w:ascii="宋体" w:hAnsi="宋体" w:cs="Arial"/>
        </w:rPr>
        <w:t>全国统一客服热线：95105568（免长途费）</w:t>
      </w:r>
    </w:p>
    <w:p w14:paraId="1EEC4B80">
      <w:pPr>
        <w:snapToGrid w:val="0"/>
        <w:spacing w:line="360" w:lineRule="auto"/>
        <w:ind w:firstLine="420" w:firstLineChars="200"/>
        <w:rPr>
          <w:rFonts w:ascii="宋体" w:hAnsi="宋体" w:cs="Arial"/>
        </w:rPr>
      </w:pPr>
      <w:r>
        <w:rPr>
          <w:rFonts w:hint="eastAsia" w:ascii="宋体" w:hAnsi="宋体" w:cs="Arial"/>
          <w:lang w:val="en-US" w:eastAsia="zh-CN"/>
        </w:rPr>
        <w:t>2</w:t>
      </w:r>
      <w:r>
        <w:rPr>
          <w:rFonts w:hint="eastAsia" w:ascii="宋体" w:hAnsi="宋体" w:cs="Arial"/>
        </w:rPr>
        <w:t>、网下现金发售代理机构</w:t>
      </w:r>
    </w:p>
    <w:p w14:paraId="6F8AC0A5">
      <w:pPr>
        <w:snapToGrid w:val="0"/>
        <w:spacing w:line="360" w:lineRule="auto"/>
        <w:ind w:firstLine="420" w:firstLineChars="200"/>
        <w:rPr>
          <w:rFonts w:ascii="宋体" w:hAnsi="宋体" w:cs="Arial"/>
        </w:rPr>
      </w:pPr>
      <w:r>
        <w:rPr>
          <w:rFonts w:hint="eastAsia" w:ascii="宋体" w:hAnsi="宋体" w:cs="Arial"/>
        </w:rPr>
        <w:t>详见基金份额发售公告。</w:t>
      </w:r>
    </w:p>
    <w:p w14:paraId="501D20FD">
      <w:pPr>
        <w:snapToGrid w:val="0"/>
        <w:spacing w:line="360" w:lineRule="auto"/>
        <w:ind w:firstLine="420" w:firstLineChars="200"/>
        <w:rPr>
          <w:rFonts w:ascii="宋体" w:hAnsi="宋体" w:cs="Arial"/>
        </w:rPr>
      </w:pPr>
      <w:r>
        <w:rPr>
          <w:rFonts w:hint="eastAsia" w:ascii="宋体" w:hAnsi="宋体" w:cs="Arial"/>
          <w:lang w:val="en-US" w:eastAsia="zh-CN"/>
        </w:rPr>
        <w:t>3</w:t>
      </w:r>
      <w:r>
        <w:rPr>
          <w:rFonts w:hint="eastAsia" w:ascii="宋体" w:hAnsi="宋体" w:cs="Arial"/>
        </w:rPr>
        <w:t>、网上现金发售代理机构</w:t>
      </w:r>
    </w:p>
    <w:p w14:paraId="4FB9058A">
      <w:pPr>
        <w:snapToGrid w:val="0"/>
        <w:spacing w:line="360" w:lineRule="auto"/>
        <w:ind w:firstLine="420" w:firstLineChars="200"/>
        <w:rPr>
          <w:rFonts w:ascii="宋体" w:hAnsi="宋体" w:cs="Arial"/>
        </w:rPr>
      </w:pPr>
      <w:r>
        <w:rPr>
          <w:rFonts w:hint="eastAsia" w:ascii="宋体" w:hAnsi="宋体" w:cs="Arial"/>
        </w:rPr>
        <w:t>详见基金份额发售公告。</w:t>
      </w:r>
    </w:p>
    <w:p w14:paraId="39C82050">
      <w:pPr>
        <w:snapToGrid w:val="0"/>
        <w:spacing w:line="360" w:lineRule="auto"/>
        <w:ind w:firstLine="422" w:firstLineChars="200"/>
        <w:rPr>
          <w:rFonts w:ascii="宋体" w:hAnsi="宋体" w:cs="Arial"/>
          <w:b/>
          <w:szCs w:val="21"/>
        </w:rPr>
      </w:pPr>
      <w:r>
        <w:rPr>
          <w:rFonts w:ascii="宋体" w:hAnsi="宋体" w:cs="Arial"/>
          <w:b/>
          <w:szCs w:val="21"/>
        </w:rPr>
        <w:t>二、登记机构</w:t>
      </w:r>
    </w:p>
    <w:p w14:paraId="6F96E40D">
      <w:pPr>
        <w:snapToGrid w:val="0"/>
        <w:spacing w:line="360" w:lineRule="auto"/>
        <w:ind w:firstLine="420" w:firstLineChars="200"/>
        <w:rPr>
          <w:rFonts w:ascii="宋体" w:hAnsi="宋体" w:cs="Arial"/>
        </w:rPr>
      </w:pPr>
      <w:r>
        <w:rPr>
          <w:rFonts w:hint="eastAsia" w:ascii="宋体" w:hAnsi="宋体" w:cs="Arial"/>
        </w:rPr>
        <w:t>名称</w:t>
      </w:r>
      <w:r>
        <w:rPr>
          <w:rFonts w:ascii="宋体" w:hAnsi="宋体" w:cs="Arial"/>
        </w:rPr>
        <w:t>：</w:t>
      </w:r>
      <w:r>
        <w:rPr>
          <w:rFonts w:hint="eastAsia" w:ascii="宋体" w:hAnsi="宋体" w:cs="Arial"/>
        </w:rPr>
        <w:t>中国证券登记结算有限责任公司</w:t>
      </w:r>
    </w:p>
    <w:p w14:paraId="588C72EC">
      <w:pPr>
        <w:snapToGrid w:val="0"/>
        <w:spacing w:line="360" w:lineRule="auto"/>
        <w:ind w:firstLine="420" w:firstLineChars="200"/>
        <w:rPr>
          <w:rFonts w:ascii="宋体" w:hAnsi="宋体" w:cs="Arial"/>
        </w:rPr>
      </w:pPr>
      <w:r>
        <w:rPr>
          <w:rFonts w:hint="eastAsia" w:ascii="宋体" w:hAnsi="宋体" w:cs="Arial"/>
        </w:rPr>
        <w:t xml:space="preserve">注册地址：北京市西城区太平桥大街17号 </w:t>
      </w:r>
    </w:p>
    <w:p w14:paraId="38BF7469">
      <w:pPr>
        <w:snapToGrid w:val="0"/>
        <w:spacing w:line="360" w:lineRule="auto"/>
        <w:ind w:firstLine="420" w:firstLineChars="200"/>
        <w:rPr>
          <w:rFonts w:ascii="宋体" w:hAnsi="宋体" w:cs="Arial"/>
        </w:rPr>
      </w:pPr>
      <w:r>
        <w:rPr>
          <w:rFonts w:hint="eastAsia" w:ascii="宋体" w:hAnsi="宋体" w:cs="Arial"/>
        </w:rPr>
        <w:t xml:space="preserve">办公地址：北京市西城区太平桥大街17号 </w:t>
      </w:r>
    </w:p>
    <w:p w14:paraId="7D5B68F1">
      <w:pPr>
        <w:snapToGrid w:val="0"/>
        <w:spacing w:line="360" w:lineRule="auto"/>
        <w:ind w:firstLine="420" w:firstLineChars="200"/>
        <w:rPr>
          <w:rFonts w:ascii="宋体" w:hAnsi="宋体" w:cs="Arial"/>
        </w:rPr>
      </w:pPr>
      <w:r>
        <w:rPr>
          <w:rFonts w:hint="eastAsia" w:ascii="宋体" w:hAnsi="宋体" w:cs="Arial"/>
        </w:rPr>
        <w:t xml:space="preserve">法定代表人：于文强 </w:t>
      </w:r>
    </w:p>
    <w:p w14:paraId="0C1792EA">
      <w:pPr>
        <w:snapToGrid w:val="0"/>
        <w:spacing w:line="360" w:lineRule="auto"/>
        <w:ind w:firstLine="420" w:firstLineChars="200"/>
        <w:rPr>
          <w:rFonts w:ascii="宋体" w:hAnsi="宋体" w:cs="Arial"/>
        </w:rPr>
      </w:pPr>
      <w:r>
        <w:rPr>
          <w:rFonts w:hint="eastAsia" w:ascii="宋体" w:hAnsi="宋体" w:cs="Arial"/>
        </w:rPr>
        <w:t xml:space="preserve">电 话：0755-25946013 </w:t>
      </w:r>
    </w:p>
    <w:p w14:paraId="45E4F1B9">
      <w:pPr>
        <w:snapToGrid w:val="0"/>
        <w:spacing w:line="360" w:lineRule="auto"/>
        <w:ind w:firstLine="420" w:firstLineChars="200"/>
        <w:rPr>
          <w:rFonts w:ascii="宋体" w:hAnsi="宋体" w:cs="Arial"/>
        </w:rPr>
      </w:pPr>
      <w:r>
        <w:rPr>
          <w:rFonts w:hint="eastAsia" w:ascii="宋体" w:hAnsi="宋体" w:cs="Arial"/>
        </w:rPr>
        <w:t>传 真：0755-25987122</w:t>
      </w:r>
    </w:p>
    <w:p w14:paraId="49CED0AD">
      <w:pPr>
        <w:adjustRightInd w:val="0"/>
        <w:snapToGrid w:val="0"/>
        <w:spacing w:line="360" w:lineRule="auto"/>
        <w:ind w:firstLine="420" w:firstLineChars="200"/>
        <w:rPr>
          <w:rFonts w:ascii="宋体" w:hAnsi="宋体" w:cs="Arial"/>
        </w:rPr>
      </w:pPr>
      <w:r>
        <w:rPr>
          <w:rFonts w:hint="eastAsia" w:ascii="宋体" w:hAnsi="宋体" w:cs="Arial"/>
        </w:rPr>
        <w:t>联系人：严峰</w:t>
      </w:r>
    </w:p>
    <w:p w14:paraId="4567D7A1">
      <w:pPr>
        <w:pStyle w:val="37"/>
        <w:spacing w:before="0" w:beforeAutospacing="0" w:after="0" w:afterAutospacing="0" w:line="360" w:lineRule="auto"/>
        <w:ind w:firstLine="420"/>
        <w:jc w:val="both"/>
        <w:rPr>
          <w:sz w:val="21"/>
          <w:szCs w:val="21"/>
        </w:rPr>
      </w:pPr>
      <w:r>
        <w:rPr>
          <w:rStyle w:val="49"/>
          <w:rFonts w:hint="eastAsia"/>
          <w:sz w:val="21"/>
          <w:szCs w:val="21"/>
        </w:rPr>
        <w:t>三、出具法律意见书的律师事务所</w:t>
      </w:r>
      <w:r>
        <w:rPr>
          <w:sz w:val="21"/>
          <w:szCs w:val="21"/>
        </w:rPr>
        <w:t xml:space="preserve"> </w:t>
      </w:r>
      <w:r>
        <w:rPr>
          <w:rFonts w:hint="eastAsia"/>
          <w:sz w:val="21"/>
          <w:szCs w:val="21"/>
        </w:rPr>
        <w:t xml:space="preserve"> </w:t>
      </w:r>
    </w:p>
    <w:p w14:paraId="3D498665">
      <w:pPr>
        <w:pStyle w:val="37"/>
        <w:spacing w:before="0" w:beforeAutospacing="0" w:after="0" w:afterAutospacing="0" w:line="360" w:lineRule="auto"/>
        <w:ind w:firstLine="420"/>
        <w:jc w:val="both"/>
        <w:rPr>
          <w:sz w:val="21"/>
          <w:szCs w:val="21"/>
        </w:rPr>
      </w:pPr>
      <w:r>
        <w:rPr>
          <w:rFonts w:hint="eastAsia"/>
          <w:sz w:val="21"/>
          <w:szCs w:val="21"/>
        </w:rPr>
        <w:t>名称：上海市通力律师事务所</w:t>
      </w:r>
    </w:p>
    <w:p w14:paraId="7B9137EC">
      <w:pPr>
        <w:pStyle w:val="37"/>
        <w:spacing w:before="0" w:beforeAutospacing="0" w:after="0" w:afterAutospacing="0" w:line="360" w:lineRule="auto"/>
        <w:ind w:firstLine="420"/>
        <w:jc w:val="both"/>
        <w:rPr>
          <w:sz w:val="21"/>
          <w:szCs w:val="21"/>
        </w:rPr>
      </w:pPr>
      <w:r>
        <w:rPr>
          <w:rFonts w:hint="eastAsia"/>
          <w:sz w:val="21"/>
          <w:szCs w:val="21"/>
        </w:rPr>
        <w:t>注册地址：上海市银城中路68号时代金融中心19楼</w:t>
      </w:r>
    </w:p>
    <w:p w14:paraId="1755AD13">
      <w:pPr>
        <w:pStyle w:val="37"/>
        <w:spacing w:before="0" w:beforeAutospacing="0" w:after="0" w:afterAutospacing="0" w:line="360" w:lineRule="auto"/>
        <w:ind w:firstLine="420"/>
        <w:jc w:val="both"/>
        <w:rPr>
          <w:sz w:val="21"/>
          <w:szCs w:val="21"/>
        </w:rPr>
      </w:pPr>
      <w:r>
        <w:rPr>
          <w:rFonts w:hint="eastAsia"/>
          <w:sz w:val="21"/>
          <w:szCs w:val="21"/>
        </w:rPr>
        <w:t>办公地址：上海市银城中路68号时代金融中心19楼</w:t>
      </w:r>
    </w:p>
    <w:p w14:paraId="04280162">
      <w:pPr>
        <w:pStyle w:val="37"/>
        <w:spacing w:before="0" w:beforeAutospacing="0" w:after="0" w:afterAutospacing="0" w:line="360" w:lineRule="auto"/>
        <w:ind w:firstLine="420"/>
        <w:jc w:val="both"/>
        <w:rPr>
          <w:sz w:val="21"/>
          <w:szCs w:val="21"/>
        </w:rPr>
      </w:pPr>
      <w:r>
        <w:rPr>
          <w:rFonts w:hint="eastAsia"/>
          <w:sz w:val="21"/>
          <w:szCs w:val="21"/>
        </w:rPr>
        <w:t>负责人：韩炯</w:t>
      </w:r>
    </w:p>
    <w:p w14:paraId="05CA2D4C">
      <w:pPr>
        <w:pStyle w:val="37"/>
        <w:spacing w:before="0" w:beforeAutospacing="0" w:after="0" w:afterAutospacing="0" w:line="360" w:lineRule="auto"/>
        <w:ind w:firstLine="420"/>
        <w:jc w:val="both"/>
        <w:rPr>
          <w:sz w:val="21"/>
          <w:szCs w:val="21"/>
        </w:rPr>
      </w:pPr>
      <w:r>
        <w:rPr>
          <w:rFonts w:hint="eastAsia"/>
          <w:sz w:val="21"/>
          <w:szCs w:val="21"/>
        </w:rPr>
        <w:t>电话： 021- 31358666</w:t>
      </w:r>
    </w:p>
    <w:p w14:paraId="7FD0C727">
      <w:pPr>
        <w:pStyle w:val="37"/>
        <w:spacing w:before="0" w:beforeAutospacing="0" w:after="0" w:afterAutospacing="0" w:line="360" w:lineRule="auto"/>
        <w:ind w:firstLine="420"/>
        <w:jc w:val="both"/>
        <w:rPr>
          <w:sz w:val="21"/>
          <w:szCs w:val="21"/>
        </w:rPr>
      </w:pPr>
      <w:r>
        <w:rPr>
          <w:rFonts w:hint="eastAsia"/>
          <w:sz w:val="21"/>
          <w:szCs w:val="21"/>
        </w:rPr>
        <w:t>传真： 021- 31358600</w:t>
      </w:r>
    </w:p>
    <w:p w14:paraId="4F9B8CC6">
      <w:pPr>
        <w:pStyle w:val="37"/>
        <w:spacing w:before="0" w:beforeAutospacing="0" w:after="0" w:afterAutospacing="0" w:line="360" w:lineRule="auto"/>
        <w:ind w:firstLine="420"/>
        <w:jc w:val="both"/>
        <w:rPr>
          <w:sz w:val="21"/>
          <w:szCs w:val="21"/>
        </w:rPr>
      </w:pPr>
      <w:r>
        <w:rPr>
          <w:rFonts w:hint="eastAsia"/>
          <w:sz w:val="21"/>
          <w:szCs w:val="21"/>
        </w:rPr>
        <w:t>联系人：陈雅秋</w:t>
      </w:r>
    </w:p>
    <w:p w14:paraId="0422E160">
      <w:pPr>
        <w:snapToGrid w:val="0"/>
        <w:spacing w:line="360" w:lineRule="auto"/>
        <w:ind w:firstLine="420" w:firstLineChars="200"/>
        <w:rPr>
          <w:szCs w:val="21"/>
        </w:rPr>
      </w:pPr>
      <w:r>
        <w:rPr>
          <w:rFonts w:hint="eastAsia"/>
          <w:szCs w:val="21"/>
        </w:rPr>
        <w:t>经办律师：陆奇、陈雅秋</w:t>
      </w:r>
    </w:p>
    <w:p w14:paraId="1DA76E8E">
      <w:pPr>
        <w:snapToGrid w:val="0"/>
        <w:spacing w:line="360" w:lineRule="auto"/>
        <w:ind w:firstLine="422" w:firstLineChars="200"/>
        <w:rPr>
          <w:rFonts w:ascii="宋体" w:hAnsi="宋体" w:cs="Arial"/>
          <w:b/>
          <w:szCs w:val="21"/>
        </w:rPr>
      </w:pPr>
      <w:r>
        <w:rPr>
          <w:rFonts w:ascii="宋体" w:hAnsi="宋体" w:cs="Arial"/>
          <w:b/>
          <w:szCs w:val="21"/>
        </w:rPr>
        <w:t>四、</w:t>
      </w:r>
      <w:r>
        <w:rPr>
          <w:rFonts w:hint="eastAsia" w:ascii="宋体" w:hAnsi="宋体"/>
          <w:b/>
          <w:bCs/>
        </w:rPr>
        <w:t>审计基金财产的会计师事务所</w:t>
      </w:r>
    </w:p>
    <w:p w14:paraId="5CEC848A">
      <w:pPr>
        <w:snapToGrid w:val="0"/>
        <w:spacing w:line="360" w:lineRule="auto"/>
        <w:ind w:firstLine="420" w:firstLineChars="200"/>
        <w:rPr>
          <w:rFonts w:ascii="Arial Unicode MS" w:hAnsi="Arial Unicode MS" w:cs="Arial"/>
          <w:kern w:val="0"/>
          <w:szCs w:val="21"/>
        </w:rPr>
      </w:pPr>
      <w:r>
        <w:rPr>
          <w:rFonts w:hint="eastAsia" w:ascii="宋体" w:hAnsi="宋体" w:cs="Arial"/>
          <w:kern w:val="0"/>
          <w:szCs w:val="21"/>
        </w:rPr>
        <w:t>本基金的法定验资机构为安永华明会计师事务所（特殊普通合伙）</w:t>
      </w:r>
    </w:p>
    <w:p w14:paraId="14F06298">
      <w:pPr>
        <w:adjustRightInd w:val="0"/>
        <w:snapToGrid w:val="0"/>
        <w:spacing w:line="360" w:lineRule="auto"/>
        <w:ind w:firstLine="420" w:firstLineChars="200"/>
        <w:rPr>
          <w:rFonts w:ascii="Arial Unicode MS" w:hAnsi="Arial Unicode MS" w:cs="Arial"/>
          <w:kern w:val="0"/>
          <w:szCs w:val="21"/>
        </w:rPr>
      </w:pPr>
      <w:r>
        <w:rPr>
          <w:rFonts w:hint="eastAsia" w:ascii="Arial Unicode MS" w:hAnsi="Arial Unicode MS" w:cs="Arial"/>
          <w:kern w:val="0"/>
          <w:szCs w:val="21"/>
        </w:rPr>
        <w:t>名称：安永华明会计师事务所（特殊普通合伙）</w:t>
      </w:r>
    </w:p>
    <w:p w14:paraId="1B0B2110">
      <w:pPr>
        <w:adjustRightInd w:val="0"/>
        <w:snapToGrid w:val="0"/>
        <w:spacing w:line="360" w:lineRule="auto"/>
        <w:ind w:firstLine="420" w:firstLineChars="200"/>
        <w:rPr>
          <w:rFonts w:ascii="Arial Unicode MS" w:hAnsi="Arial Unicode MS" w:cs="Arial"/>
          <w:kern w:val="0"/>
          <w:szCs w:val="21"/>
        </w:rPr>
      </w:pPr>
      <w:r>
        <w:rPr>
          <w:rFonts w:hint="eastAsia" w:ascii="Arial Unicode MS" w:hAnsi="Arial Unicode MS" w:cs="Arial"/>
          <w:kern w:val="0"/>
          <w:szCs w:val="21"/>
        </w:rPr>
        <w:t>住所：北京市东城区东长安街1号东方广场安永大楼17层01-12室</w:t>
      </w:r>
    </w:p>
    <w:p w14:paraId="20B0F537">
      <w:pPr>
        <w:adjustRightInd w:val="0"/>
        <w:snapToGrid w:val="0"/>
        <w:spacing w:line="360" w:lineRule="auto"/>
        <w:ind w:firstLine="420" w:firstLineChars="200"/>
        <w:rPr>
          <w:rFonts w:ascii="Arial Unicode MS" w:hAnsi="Arial Unicode MS" w:cs="Arial"/>
          <w:kern w:val="0"/>
          <w:szCs w:val="21"/>
        </w:rPr>
      </w:pPr>
      <w:r>
        <w:rPr>
          <w:rFonts w:hint="eastAsia" w:ascii="Arial Unicode MS" w:hAnsi="Arial Unicode MS" w:cs="Arial"/>
          <w:kern w:val="0"/>
          <w:szCs w:val="21"/>
        </w:rPr>
        <w:t>办公地址：北京市东城区东长安街1号东方广场安永大楼17层01-12室</w:t>
      </w:r>
    </w:p>
    <w:p w14:paraId="3440CA20">
      <w:pPr>
        <w:adjustRightInd w:val="0"/>
        <w:snapToGrid w:val="0"/>
        <w:spacing w:line="360" w:lineRule="auto"/>
        <w:ind w:firstLine="420" w:firstLineChars="200"/>
        <w:rPr>
          <w:rFonts w:ascii="Arial Unicode MS" w:hAnsi="Arial Unicode MS" w:cs="Arial"/>
          <w:kern w:val="0"/>
          <w:szCs w:val="21"/>
        </w:rPr>
      </w:pPr>
      <w:r>
        <w:rPr>
          <w:rFonts w:hint="eastAsia" w:ascii="Arial Unicode MS" w:hAnsi="Arial Unicode MS" w:cs="Arial"/>
          <w:kern w:val="0"/>
          <w:szCs w:val="21"/>
        </w:rPr>
        <w:t>执行事务合伙人：毛鞍宁</w:t>
      </w:r>
    </w:p>
    <w:p w14:paraId="25CE6049">
      <w:pPr>
        <w:adjustRightInd w:val="0"/>
        <w:snapToGrid w:val="0"/>
        <w:spacing w:line="360" w:lineRule="auto"/>
        <w:ind w:firstLine="420" w:firstLineChars="200"/>
        <w:rPr>
          <w:rFonts w:ascii="Arial Unicode MS" w:hAnsi="Arial Unicode MS" w:cs="Arial"/>
          <w:kern w:val="0"/>
          <w:szCs w:val="21"/>
        </w:rPr>
      </w:pPr>
      <w:r>
        <w:rPr>
          <w:rFonts w:hint="eastAsia" w:ascii="Arial Unicode MS" w:hAnsi="Arial Unicode MS" w:cs="Arial"/>
          <w:kern w:val="0"/>
          <w:szCs w:val="21"/>
        </w:rPr>
        <w:t>联系电话：（010）58153000</w:t>
      </w:r>
    </w:p>
    <w:p w14:paraId="357391F7">
      <w:pPr>
        <w:adjustRightInd w:val="0"/>
        <w:snapToGrid w:val="0"/>
        <w:spacing w:line="360" w:lineRule="auto"/>
        <w:ind w:firstLine="420" w:firstLineChars="200"/>
        <w:rPr>
          <w:rFonts w:ascii="Arial Unicode MS" w:hAnsi="Arial Unicode MS" w:cs="Arial"/>
          <w:kern w:val="0"/>
          <w:szCs w:val="21"/>
        </w:rPr>
      </w:pPr>
      <w:r>
        <w:rPr>
          <w:rFonts w:hint="eastAsia" w:ascii="Arial Unicode MS" w:hAnsi="Arial Unicode MS" w:cs="Arial"/>
          <w:kern w:val="0"/>
          <w:szCs w:val="21"/>
        </w:rPr>
        <w:t>传真电话：（010）85188298</w:t>
      </w:r>
    </w:p>
    <w:p w14:paraId="3DFDCF90">
      <w:pPr>
        <w:adjustRightInd w:val="0"/>
        <w:snapToGrid w:val="0"/>
        <w:spacing w:line="360" w:lineRule="auto"/>
        <w:ind w:firstLine="420" w:firstLineChars="200"/>
        <w:rPr>
          <w:rFonts w:ascii="Arial Unicode MS" w:hAnsi="Arial Unicode MS" w:cs="Arial"/>
          <w:kern w:val="0"/>
          <w:szCs w:val="21"/>
        </w:rPr>
      </w:pPr>
      <w:r>
        <w:rPr>
          <w:rFonts w:hint="eastAsia" w:ascii="Arial Unicode MS" w:hAnsi="Arial Unicode MS" w:cs="Arial"/>
          <w:kern w:val="0"/>
          <w:szCs w:val="21"/>
        </w:rPr>
        <w:t xml:space="preserve">经办注册会计师： </w:t>
      </w:r>
      <w:r>
        <w:rPr>
          <w:rFonts w:hint="eastAsia" w:ascii="宋体" w:hAnsi="宋体" w:cs="宋体"/>
          <w:kern w:val="0"/>
          <w:szCs w:val="21"/>
        </w:rPr>
        <w:t>楼坚、王海彦、朱燕</w:t>
      </w:r>
    </w:p>
    <w:p w14:paraId="39C98535">
      <w:pPr>
        <w:adjustRightInd w:val="0"/>
        <w:snapToGrid w:val="0"/>
        <w:spacing w:line="360" w:lineRule="auto"/>
        <w:ind w:firstLine="420" w:firstLineChars="200"/>
        <w:rPr>
          <w:rFonts w:ascii="Arial Unicode MS" w:hAnsi="Arial Unicode MS" w:cs="Arial"/>
          <w:kern w:val="0"/>
          <w:szCs w:val="21"/>
        </w:rPr>
      </w:pPr>
      <w:r>
        <w:rPr>
          <w:rFonts w:hint="eastAsia" w:ascii="Arial Unicode MS" w:hAnsi="Arial Unicode MS" w:cs="Arial"/>
          <w:kern w:val="0"/>
          <w:szCs w:val="21"/>
        </w:rPr>
        <w:t>联系人：朱燕</w:t>
      </w:r>
    </w:p>
    <w:p w14:paraId="3638E14C">
      <w:pPr>
        <w:snapToGrid w:val="0"/>
        <w:spacing w:line="360" w:lineRule="auto"/>
        <w:ind w:firstLine="420" w:firstLineChars="200"/>
        <w:rPr>
          <w:rFonts w:ascii="Arial Unicode MS" w:hAnsi="Arial Unicode MS" w:cs="Arial"/>
          <w:kern w:val="0"/>
          <w:szCs w:val="21"/>
        </w:rPr>
      </w:pPr>
      <w:r>
        <w:rPr>
          <w:rFonts w:hint="eastAsia" w:ascii="宋体" w:hAnsi="宋体" w:cs="Arial"/>
          <w:kern w:val="0"/>
          <w:szCs w:val="21"/>
        </w:rPr>
        <w:t>本基金的年度财务报表及其他规定事项的审计机构为</w:t>
      </w:r>
      <w:r>
        <w:rPr>
          <w:rFonts w:hint="eastAsia" w:ascii="Arial Unicode MS" w:hAnsi="Arial Unicode MS" w:cs="Arial"/>
          <w:kern w:val="0"/>
          <w:szCs w:val="21"/>
        </w:rPr>
        <w:t>容诚会计师事务所（特殊普通合伙）</w:t>
      </w:r>
    </w:p>
    <w:p w14:paraId="78C71604">
      <w:pPr>
        <w:adjustRightInd w:val="0"/>
        <w:snapToGrid w:val="0"/>
        <w:spacing w:line="360" w:lineRule="auto"/>
        <w:ind w:left="420" w:leftChars="200"/>
        <w:rPr>
          <w:rFonts w:ascii="Arial Unicode MS" w:hAnsi="Arial Unicode MS" w:cs="Arial"/>
          <w:kern w:val="0"/>
          <w:szCs w:val="21"/>
        </w:rPr>
      </w:pPr>
      <w:r>
        <w:rPr>
          <w:rFonts w:hint="eastAsia" w:ascii="Arial Unicode MS" w:hAnsi="Arial Unicode MS" w:cs="Arial"/>
          <w:kern w:val="0"/>
          <w:szCs w:val="21"/>
        </w:rPr>
        <w:t>名称：容诚会计师事务所（特殊普通合伙）</w:t>
      </w:r>
    </w:p>
    <w:p w14:paraId="5BF75CBB">
      <w:pPr>
        <w:adjustRightInd w:val="0"/>
        <w:snapToGrid w:val="0"/>
        <w:spacing w:line="360" w:lineRule="auto"/>
        <w:ind w:left="420" w:leftChars="200"/>
        <w:rPr>
          <w:rFonts w:ascii="Arial Unicode MS" w:hAnsi="Arial Unicode MS" w:cs="Arial"/>
          <w:kern w:val="0"/>
          <w:szCs w:val="21"/>
        </w:rPr>
      </w:pPr>
      <w:r>
        <w:rPr>
          <w:rFonts w:hint="eastAsia" w:ascii="Arial Unicode MS" w:hAnsi="Arial Unicode MS" w:cs="Arial"/>
          <w:kern w:val="0"/>
          <w:szCs w:val="21"/>
        </w:rPr>
        <w:t>住所：北京市西城区阜成门外大街22号1幢外经贸大厦901-22至901-26</w:t>
      </w:r>
    </w:p>
    <w:p w14:paraId="3A3C54EB">
      <w:pPr>
        <w:adjustRightInd w:val="0"/>
        <w:snapToGrid w:val="0"/>
        <w:spacing w:line="360" w:lineRule="auto"/>
        <w:ind w:left="420" w:leftChars="200"/>
        <w:rPr>
          <w:rFonts w:ascii="Arial Unicode MS" w:hAnsi="Arial Unicode MS" w:cs="Arial"/>
          <w:kern w:val="0"/>
          <w:szCs w:val="21"/>
        </w:rPr>
      </w:pPr>
      <w:r>
        <w:rPr>
          <w:rFonts w:hint="eastAsia" w:ascii="Arial Unicode MS" w:hAnsi="Arial Unicode MS" w:cs="Arial"/>
          <w:kern w:val="0"/>
          <w:szCs w:val="21"/>
        </w:rPr>
        <w:t>办公地址：北京市西城区阜成门外大街22号1幢外经贸大厦901-22至901-26</w:t>
      </w:r>
    </w:p>
    <w:p w14:paraId="2A950A8B">
      <w:pPr>
        <w:adjustRightInd w:val="0"/>
        <w:snapToGrid w:val="0"/>
        <w:spacing w:line="360" w:lineRule="auto"/>
        <w:ind w:left="420" w:leftChars="200"/>
        <w:rPr>
          <w:rFonts w:ascii="Arial Unicode MS" w:hAnsi="Arial Unicode MS" w:cs="Arial"/>
          <w:kern w:val="0"/>
          <w:szCs w:val="21"/>
        </w:rPr>
      </w:pPr>
      <w:r>
        <w:rPr>
          <w:rFonts w:hint="eastAsia" w:ascii="Arial Unicode MS" w:hAnsi="Arial Unicode MS" w:cs="Arial"/>
          <w:kern w:val="0"/>
          <w:szCs w:val="21"/>
        </w:rPr>
        <w:t>执行事务合伙人：刘维、肖厚发</w:t>
      </w:r>
    </w:p>
    <w:p w14:paraId="44E25F78">
      <w:pPr>
        <w:adjustRightInd w:val="0"/>
        <w:snapToGrid w:val="0"/>
        <w:spacing w:line="360" w:lineRule="auto"/>
        <w:ind w:left="420" w:leftChars="200"/>
        <w:rPr>
          <w:rFonts w:ascii="Arial Unicode MS" w:hAnsi="Arial Unicode MS" w:cs="Arial"/>
          <w:kern w:val="0"/>
          <w:szCs w:val="21"/>
        </w:rPr>
      </w:pPr>
      <w:r>
        <w:rPr>
          <w:rFonts w:hint="eastAsia" w:ascii="Arial Unicode MS" w:hAnsi="Arial Unicode MS" w:cs="Arial"/>
          <w:kern w:val="0"/>
          <w:szCs w:val="21"/>
        </w:rPr>
        <w:t>联系电话：010-66001391</w:t>
      </w:r>
    </w:p>
    <w:p w14:paraId="1E654AB7">
      <w:pPr>
        <w:adjustRightInd w:val="0"/>
        <w:snapToGrid w:val="0"/>
        <w:spacing w:line="360" w:lineRule="auto"/>
        <w:ind w:left="420" w:leftChars="200"/>
        <w:rPr>
          <w:rFonts w:ascii="Arial Unicode MS" w:hAnsi="Arial Unicode MS" w:cs="Arial"/>
          <w:kern w:val="0"/>
          <w:szCs w:val="21"/>
        </w:rPr>
      </w:pPr>
      <w:r>
        <w:rPr>
          <w:rFonts w:hint="eastAsia" w:ascii="Arial Unicode MS" w:hAnsi="Arial Unicode MS" w:cs="Arial"/>
          <w:kern w:val="0"/>
          <w:szCs w:val="21"/>
        </w:rPr>
        <w:t>传真：010-66001392</w:t>
      </w:r>
    </w:p>
    <w:p w14:paraId="27A28E99">
      <w:pPr>
        <w:adjustRightInd w:val="0"/>
        <w:snapToGrid w:val="0"/>
        <w:spacing w:line="360" w:lineRule="auto"/>
        <w:ind w:left="420" w:leftChars="200"/>
        <w:rPr>
          <w:rFonts w:ascii="Arial Unicode MS" w:hAnsi="Arial Unicode MS" w:cs="Arial"/>
          <w:kern w:val="0"/>
          <w:szCs w:val="21"/>
        </w:rPr>
      </w:pPr>
      <w:r>
        <w:rPr>
          <w:rFonts w:hint="eastAsia" w:ascii="Arial Unicode MS" w:hAnsi="Arial Unicode MS" w:cs="Arial"/>
          <w:kern w:val="0"/>
          <w:szCs w:val="21"/>
        </w:rPr>
        <w:t>联系人：吴琳杰</w:t>
      </w:r>
    </w:p>
    <w:p w14:paraId="523F30C4">
      <w:pPr>
        <w:adjustRightInd w:val="0"/>
        <w:snapToGrid w:val="0"/>
        <w:spacing w:line="360" w:lineRule="auto"/>
        <w:ind w:firstLine="420" w:firstLineChars="200"/>
        <w:rPr>
          <w:rFonts w:ascii="宋体" w:hAnsi="宋体" w:cs="Arial"/>
          <w:kern w:val="0"/>
          <w:szCs w:val="21"/>
        </w:rPr>
        <w:sectPr>
          <w:footerReference r:id="rId19" w:type="first"/>
          <w:footerReference r:id="rId18" w:type="default"/>
          <w:pgSz w:w="11906" w:h="16838"/>
          <w:pgMar w:top="1440" w:right="1800" w:bottom="1440" w:left="1800" w:header="851" w:footer="992" w:gutter="0"/>
          <w:pgNumType w:start="1"/>
          <w:cols w:space="720" w:num="1"/>
          <w:titlePg/>
          <w:docGrid w:linePitch="312" w:charSpace="0"/>
        </w:sectPr>
      </w:pPr>
      <w:r>
        <w:rPr>
          <w:rFonts w:hint="eastAsia" w:ascii="Arial Unicode MS" w:hAnsi="Arial Unicode MS" w:cs="Arial"/>
          <w:kern w:val="0"/>
          <w:szCs w:val="21"/>
        </w:rPr>
        <w:t>经办注册会计师：薛竞 吴琳杰</w:t>
      </w:r>
    </w:p>
    <w:p w14:paraId="56416A01">
      <w:pPr>
        <w:pStyle w:val="2"/>
        <w:snapToGrid w:val="0"/>
        <w:spacing w:before="0" w:after="0" w:line="360" w:lineRule="auto"/>
        <w:ind w:firstLine="141" w:firstLineChars="50"/>
        <w:rPr>
          <w:rFonts w:hAnsi="宋体" w:eastAsia="宋体" w:cs="Arial"/>
          <w:b/>
          <w:bCs/>
          <w:sz w:val="28"/>
          <w:szCs w:val="28"/>
        </w:rPr>
      </w:pPr>
      <w:bookmarkStart w:id="17" w:name="_Toc408484001"/>
      <w:bookmarkStart w:id="18" w:name="_Toc8343"/>
      <w:bookmarkStart w:id="19" w:name="_Toc147463116"/>
      <w:bookmarkStart w:id="20" w:name="_Toc21073389"/>
      <w:bookmarkStart w:id="21" w:name="_Toc214873595"/>
      <w:bookmarkStart w:id="22" w:name="_Toc12357169"/>
      <w:r>
        <w:rPr>
          <w:rFonts w:hAnsi="宋体" w:eastAsia="宋体" w:cs="Arial"/>
          <w:b/>
          <w:bCs/>
          <w:sz w:val="28"/>
          <w:szCs w:val="28"/>
        </w:rPr>
        <w:t xml:space="preserve">第六部分  </w:t>
      </w:r>
      <w:r>
        <w:rPr>
          <w:rFonts w:hint="eastAsia" w:hAnsi="宋体" w:eastAsia="宋体" w:cs="Arial"/>
          <w:b/>
          <w:bCs/>
          <w:sz w:val="28"/>
          <w:szCs w:val="28"/>
        </w:rPr>
        <w:t>基金份额的发售</w:t>
      </w:r>
      <w:bookmarkEnd w:id="17"/>
      <w:bookmarkEnd w:id="18"/>
    </w:p>
    <w:p w14:paraId="1F648965">
      <w:pPr>
        <w:spacing w:line="360" w:lineRule="auto"/>
        <w:rPr>
          <w:rFonts w:ascii="宋体" w:hAnsi="宋体"/>
        </w:rPr>
      </w:pPr>
    </w:p>
    <w:p w14:paraId="366FD138">
      <w:pPr>
        <w:autoSpaceDE w:val="0"/>
        <w:autoSpaceDN w:val="0"/>
        <w:adjustRightInd w:val="0"/>
        <w:snapToGrid w:val="0"/>
        <w:spacing w:line="360" w:lineRule="auto"/>
        <w:ind w:firstLine="420" w:firstLineChars="200"/>
        <w:rPr>
          <w:rFonts w:ascii="宋体" w:hAnsi="宋体" w:cs="Arial"/>
          <w:szCs w:val="21"/>
        </w:rPr>
      </w:pPr>
      <w:r>
        <w:rPr>
          <w:rFonts w:ascii="宋体" w:hAnsi="宋体" w:cs="Arial"/>
          <w:szCs w:val="21"/>
        </w:rPr>
        <w:t>基金管理人按照《基金法》、《运作办法》、《销售办法》、基金合同及其他有关规定募集本基金，并于</w:t>
      </w:r>
      <w:r>
        <w:rPr>
          <w:rFonts w:hint="eastAsia" w:ascii="宋体" w:hAnsi="宋体" w:cs="Arial"/>
          <w:szCs w:val="21"/>
        </w:rPr>
        <w:t>20</w:t>
      </w:r>
      <w:r>
        <w:rPr>
          <w:rFonts w:hint="eastAsia" w:ascii="宋体" w:hAnsi="宋体" w:cs="Arial"/>
          <w:szCs w:val="21"/>
          <w:lang w:val="en-US" w:eastAsia="zh-CN"/>
        </w:rPr>
        <w:t>26</w:t>
      </w:r>
      <w:r>
        <w:rPr>
          <w:rFonts w:hint="eastAsia" w:ascii="宋体" w:hAnsi="宋体" w:cs="Arial"/>
          <w:szCs w:val="21"/>
        </w:rPr>
        <w:t>年</w:t>
      </w:r>
      <w:r>
        <w:rPr>
          <w:rFonts w:hint="eastAsia" w:ascii="宋体" w:hAnsi="宋体" w:cs="Arial"/>
          <w:szCs w:val="21"/>
          <w:lang w:val="en-US" w:eastAsia="zh-CN"/>
        </w:rPr>
        <w:t>7</w:t>
      </w:r>
      <w:r>
        <w:rPr>
          <w:rFonts w:hint="eastAsia" w:ascii="宋体" w:hAnsi="宋体" w:cs="Arial"/>
          <w:szCs w:val="21"/>
        </w:rPr>
        <w:t>月</w:t>
      </w:r>
      <w:r>
        <w:rPr>
          <w:rFonts w:hint="eastAsia" w:ascii="宋体" w:hAnsi="宋体" w:cs="Arial"/>
          <w:szCs w:val="21"/>
          <w:lang w:val="en-US" w:eastAsia="zh-CN"/>
        </w:rPr>
        <w:t>6</w:t>
      </w:r>
      <w:r>
        <w:rPr>
          <w:rFonts w:hint="eastAsia" w:ascii="宋体" w:hAnsi="宋体" w:cs="Arial"/>
          <w:szCs w:val="21"/>
        </w:rPr>
        <w:t>日</w:t>
      </w:r>
      <w:r>
        <w:rPr>
          <w:rFonts w:ascii="宋体" w:hAnsi="宋体" w:cs="Arial"/>
          <w:szCs w:val="21"/>
        </w:rPr>
        <w:t>经</w:t>
      </w:r>
      <w:r>
        <w:rPr>
          <w:rFonts w:ascii="宋体" w:hAnsi="宋体" w:cs="Arial"/>
          <w:kern w:val="0"/>
          <w:szCs w:val="21"/>
        </w:rPr>
        <w:t>中国证监会</w:t>
      </w:r>
      <w:r>
        <w:rPr>
          <w:rFonts w:hint="eastAsia" w:ascii="宋体" w:hAnsi="宋体" w:cs="Arial"/>
          <w:kern w:val="0"/>
          <w:szCs w:val="21"/>
        </w:rPr>
        <w:t>证监许可[20</w:t>
      </w:r>
      <w:r>
        <w:rPr>
          <w:rFonts w:hint="eastAsia" w:ascii="宋体" w:hAnsi="宋体" w:cs="Arial"/>
          <w:kern w:val="0"/>
          <w:szCs w:val="21"/>
          <w:lang w:val="en-US" w:eastAsia="zh-CN"/>
        </w:rPr>
        <w:t>26</w:t>
      </w:r>
      <w:r>
        <w:rPr>
          <w:rFonts w:hint="eastAsia" w:ascii="宋体" w:hAnsi="宋体" w:cs="Arial"/>
          <w:kern w:val="0"/>
          <w:szCs w:val="21"/>
        </w:rPr>
        <w:t>]</w:t>
      </w:r>
      <w:r>
        <w:rPr>
          <w:rFonts w:hint="eastAsia" w:ascii="宋体" w:hAnsi="宋体" w:cs="Arial"/>
          <w:kern w:val="0"/>
          <w:szCs w:val="21"/>
          <w:lang w:val="en-US" w:eastAsia="zh-CN"/>
        </w:rPr>
        <w:t>1664</w:t>
      </w:r>
      <w:r>
        <w:rPr>
          <w:rFonts w:hint="eastAsia" w:ascii="宋体" w:hAnsi="宋体" w:cs="Arial"/>
          <w:kern w:val="0"/>
          <w:szCs w:val="21"/>
        </w:rPr>
        <w:t>号</w:t>
      </w:r>
      <w:r>
        <w:rPr>
          <w:rFonts w:ascii="宋体" w:hAnsi="宋体" w:cs="Arial"/>
          <w:kern w:val="0"/>
          <w:szCs w:val="21"/>
        </w:rPr>
        <w:t>文</w:t>
      </w:r>
      <w:r>
        <w:rPr>
          <w:rFonts w:hint="eastAsia" w:ascii="宋体" w:hAnsi="宋体" w:cs="Arial"/>
          <w:szCs w:val="21"/>
        </w:rPr>
        <w:t>准予</w:t>
      </w:r>
      <w:r>
        <w:rPr>
          <w:rFonts w:ascii="宋体" w:hAnsi="宋体" w:cs="Arial"/>
          <w:szCs w:val="21"/>
        </w:rPr>
        <w:t>募集</w:t>
      </w:r>
      <w:r>
        <w:rPr>
          <w:rFonts w:hint="eastAsia" w:ascii="宋体" w:hAnsi="宋体" w:cs="Arial"/>
          <w:szCs w:val="21"/>
        </w:rPr>
        <w:t>注册</w:t>
      </w:r>
      <w:r>
        <w:rPr>
          <w:rFonts w:ascii="宋体" w:hAnsi="宋体" w:cs="Arial"/>
          <w:szCs w:val="21"/>
        </w:rPr>
        <w:t>。</w:t>
      </w:r>
    </w:p>
    <w:p w14:paraId="43D0046B">
      <w:pPr>
        <w:spacing w:line="360" w:lineRule="auto"/>
        <w:ind w:firstLine="422" w:firstLineChars="200"/>
        <w:rPr>
          <w:rFonts w:ascii="宋体" w:hAnsi="宋体" w:cs="Arial"/>
          <w:b/>
        </w:rPr>
      </w:pPr>
      <w:r>
        <w:rPr>
          <w:rFonts w:ascii="宋体" w:hAnsi="宋体" w:cs="Arial"/>
          <w:b/>
        </w:rPr>
        <w:t>一、基金名称</w:t>
      </w:r>
    </w:p>
    <w:p w14:paraId="54D6EF59">
      <w:pPr>
        <w:spacing w:line="360" w:lineRule="auto"/>
        <w:ind w:firstLine="420" w:firstLineChars="200"/>
        <w:rPr>
          <w:rFonts w:ascii="宋体" w:hAnsi="宋体" w:cs="Arial"/>
        </w:rPr>
      </w:pPr>
      <w:r>
        <w:rPr>
          <w:rFonts w:hint="eastAsia" w:ascii="宋体" w:hAnsi="宋体" w:cs="Arial"/>
        </w:rPr>
        <w:t>博时恒生港股通</w:t>
      </w:r>
      <w:r>
        <w:rPr>
          <w:rFonts w:hint="eastAsia" w:ascii="宋体" w:hAnsi="宋体" w:cs="Arial"/>
          <w:lang w:eastAsia="zh-CN"/>
        </w:rPr>
        <w:t>红利</w:t>
      </w:r>
      <w:r>
        <w:rPr>
          <w:rFonts w:hint="eastAsia" w:ascii="宋体" w:hAnsi="宋体" w:cs="Arial"/>
        </w:rPr>
        <w:t>低波动交易型开放式指数证券投资基金</w:t>
      </w:r>
    </w:p>
    <w:p w14:paraId="202D2E57">
      <w:pPr>
        <w:spacing w:line="360" w:lineRule="auto"/>
        <w:ind w:firstLine="422" w:firstLineChars="200"/>
        <w:rPr>
          <w:rFonts w:ascii="宋体" w:hAnsi="宋体" w:cs="Arial"/>
          <w:b/>
        </w:rPr>
      </w:pPr>
      <w:r>
        <w:rPr>
          <w:rFonts w:ascii="宋体" w:hAnsi="宋体" w:cs="Arial"/>
          <w:b/>
        </w:rPr>
        <w:t>二、基金类型</w:t>
      </w:r>
    </w:p>
    <w:p w14:paraId="42EA337C">
      <w:pPr>
        <w:spacing w:line="360" w:lineRule="auto"/>
        <w:ind w:firstLine="420" w:firstLineChars="200"/>
        <w:rPr>
          <w:rFonts w:ascii="宋体" w:hAnsi="宋体" w:cs="Arial"/>
          <w:kern w:val="0"/>
          <w:szCs w:val="21"/>
        </w:rPr>
      </w:pPr>
      <w:r>
        <w:rPr>
          <w:rFonts w:ascii="宋体" w:hAnsi="宋体" w:cs="Arial"/>
          <w:kern w:val="0"/>
          <w:szCs w:val="21"/>
        </w:rPr>
        <w:t>股票型证券投资基金</w:t>
      </w:r>
    </w:p>
    <w:p w14:paraId="625AA8C5">
      <w:pPr>
        <w:spacing w:line="360" w:lineRule="auto"/>
        <w:ind w:firstLine="422" w:firstLineChars="200"/>
        <w:rPr>
          <w:rFonts w:ascii="宋体" w:hAnsi="宋体" w:cs="Arial"/>
          <w:b/>
        </w:rPr>
      </w:pPr>
      <w:r>
        <w:rPr>
          <w:rFonts w:hint="eastAsia" w:ascii="宋体" w:hAnsi="宋体" w:cs="Arial"/>
          <w:b/>
        </w:rPr>
        <w:t>三、基金的运作方式</w:t>
      </w:r>
    </w:p>
    <w:p w14:paraId="227D3C07">
      <w:pPr>
        <w:spacing w:line="360" w:lineRule="auto"/>
        <w:ind w:firstLine="420" w:firstLineChars="200"/>
        <w:rPr>
          <w:rFonts w:ascii="宋体" w:hAnsi="宋体" w:cs="Arial"/>
        </w:rPr>
      </w:pPr>
      <w:r>
        <w:rPr>
          <w:rFonts w:hint="eastAsia" w:ascii="宋体" w:hAnsi="宋体" w:cs="Arial"/>
        </w:rPr>
        <w:t>交易型开放式</w:t>
      </w:r>
    </w:p>
    <w:p w14:paraId="1E65EBD8">
      <w:pPr>
        <w:spacing w:line="360" w:lineRule="auto"/>
        <w:ind w:firstLine="422" w:firstLineChars="200"/>
        <w:rPr>
          <w:rFonts w:ascii="宋体" w:hAnsi="宋体" w:cs="Arial"/>
          <w:b/>
        </w:rPr>
      </w:pPr>
      <w:r>
        <w:rPr>
          <w:rFonts w:hint="eastAsia" w:ascii="宋体" w:hAnsi="宋体" w:cs="Arial"/>
          <w:b/>
        </w:rPr>
        <w:t>四</w:t>
      </w:r>
      <w:r>
        <w:rPr>
          <w:rFonts w:ascii="宋体" w:hAnsi="宋体" w:cs="Arial"/>
          <w:b/>
        </w:rPr>
        <w:t>、基金存续期限</w:t>
      </w:r>
    </w:p>
    <w:p w14:paraId="6D693D28">
      <w:pPr>
        <w:spacing w:line="360" w:lineRule="auto"/>
        <w:ind w:firstLine="420" w:firstLineChars="200"/>
        <w:rPr>
          <w:rFonts w:ascii="宋体" w:hAnsi="宋体" w:cs="Arial"/>
        </w:rPr>
      </w:pPr>
      <w:r>
        <w:rPr>
          <w:rFonts w:ascii="宋体" w:hAnsi="宋体" w:cs="Arial"/>
        </w:rPr>
        <w:t>不定期</w:t>
      </w:r>
    </w:p>
    <w:p w14:paraId="38C366E2">
      <w:pPr>
        <w:snapToGrid w:val="0"/>
        <w:spacing w:line="360" w:lineRule="auto"/>
        <w:ind w:firstLine="420"/>
        <w:rPr>
          <w:rFonts w:ascii="宋体" w:hAnsi="宋体" w:cs="Arial"/>
          <w:b/>
        </w:rPr>
      </w:pPr>
      <w:r>
        <w:rPr>
          <w:rFonts w:hint="eastAsia" w:ascii="宋体" w:hAnsi="宋体" w:cs="Arial"/>
          <w:b/>
        </w:rPr>
        <w:t>五、基金的最低募集份额总额</w:t>
      </w:r>
    </w:p>
    <w:p w14:paraId="50BA8B9C">
      <w:pPr>
        <w:snapToGrid w:val="0"/>
        <w:spacing w:line="360" w:lineRule="auto"/>
        <w:ind w:firstLine="420"/>
        <w:rPr>
          <w:rFonts w:ascii="宋体" w:hAnsi="宋体" w:cs="Arial"/>
        </w:rPr>
      </w:pPr>
      <w:r>
        <w:rPr>
          <w:rFonts w:hint="eastAsia" w:ascii="宋体" w:hAnsi="宋体" w:cs="Arial"/>
        </w:rPr>
        <w:t>本基金的最低募集份额总额为</w:t>
      </w:r>
      <w:r>
        <w:rPr>
          <w:rFonts w:ascii="宋体" w:hAnsi="宋体" w:cs="Arial"/>
        </w:rPr>
        <w:t>2亿份。</w:t>
      </w:r>
    </w:p>
    <w:p w14:paraId="0ED29018">
      <w:pPr>
        <w:snapToGrid w:val="0"/>
        <w:spacing w:line="360" w:lineRule="auto"/>
        <w:ind w:firstLine="420"/>
        <w:rPr>
          <w:rFonts w:ascii="宋体" w:hAnsi="宋体" w:cs="Arial"/>
          <w:b/>
        </w:rPr>
      </w:pPr>
      <w:r>
        <w:rPr>
          <w:rFonts w:hint="eastAsia" w:ascii="宋体" w:hAnsi="宋体" w:cs="Arial"/>
          <w:b/>
        </w:rPr>
        <w:t>六、发售时间与发售对象</w:t>
      </w:r>
    </w:p>
    <w:p w14:paraId="312CB9EB">
      <w:pPr>
        <w:snapToGrid w:val="0"/>
        <w:spacing w:line="360" w:lineRule="auto"/>
        <w:ind w:firstLine="420"/>
        <w:rPr>
          <w:rFonts w:ascii="宋体" w:hAnsi="宋体" w:cs="Arial"/>
        </w:rPr>
      </w:pPr>
      <w:r>
        <w:rPr>
          <w:rFonts w:hint="eastAsia" w:ascii="宋体" w:hAnsi="宋体" w:cs="Arial"/>
        </w:rPr>
        <w:t>1、发售时间</w:t>
      </w:r>
    </w:p>
    <w:p w14:paraId="12C88A00">
      <w:pPr>
        <w:snapToGrid w:val="0"/>
        <w:spacing w:line="360" w:lineRule="auto"/>
        <w:ind w:firstLine="420"/>
        <w:rPr>
          <w:rFonts w:ascii="宋体" w:hAnsi="宋体" w:cs="Arial"/>
        </w:rPr>
      </w:pPr>
      <w:r>
        <w:rPr>
          <w:rFonts w:hint="eastAsia" w:ascii="宋体" w:hAnsi="宋体" w:cs="Arial"/>
        </w:rPr>
        <w:t>自基金份额发售之日起最长不得超过3个月，具体发售时间见基金份额发售公告。</w:t>
      </w:r>
    </w:p>
    <w:p w14:paraId="39CDA2B9">
      <w:pPr>
        <w:snapToGrid w:val="0"/>
        <w:spacing w:line="360" w:lineRule="auto"/>
        <w:ind w:firstLine="420"/>
        <w:rPr>
          <w:rFonts w:ascii="宋体" w:hAnsi="宋体" w:cs="Arial"/>
        </w:rPr>
      </w:pPr>
      <w:r>
        <w:rPr>
          <w:rFonts w:hint="eastAsia" w:ascii="宋体" w:hAnsi="宋体" w:cs="Arial"/>
        </w:rPr>
        <w:t>2、发售对象</w:t>
      </w:r>
    </w:p>
    <w:p w14:paraId="1A46233A">
      <w:pPr>
        <w:snapToGrid w:val="0"/>
        <w:spacing w:line="360" w:lineRule="auto"/>
        <w:ind w:firstLine="420"/>
        <w:rPr>
          <w:rFonts w:ascii="宋体" w:hAnsi="宋体" w:cs="Arial"/>
        </w:rPr>
      </w:pPr>
      <w:r>
        <w:rPr>
          <w:rFonts w:ascii="宋体" w:hAnsi="宋体" w:cs="Arial"/>
          <w:bCs/>
        </w:rPr>
        <w:t>符合法律法规规定的可投资于证券投资基金的个人投资者、机构投资者</w:t>
      </w:r>
      <w:r>
        <w:rPr>
          <w:rFonts w:hint="eastAsia" w:ascii="宋体" w:hAnsi="宋体" w:cs="Arial"/>
          <w:bCs/>
        </w:rPr>
        <w:t>、</w:t>
      </w:r>
      <w:r>
        <w:rPr>
          <w:rFonts w:ascii="宋体" w:hAnsi="宋体" w:cs="Arial"/>
          <w:bCs/>
        </w:rPr>
        <w:t>合格境外投资者以及法律法规或中国证监会允许购买证券投资基金的其他投资人</w:t>
      </w:r>
      <w:r>
        <w:rPr>
          <w:rFonts w:hint="eastAsia" w:ascii="宋体" w:hAnsi="宋体" w:cs="Arial"/>
          <w:bCs/>
        </w:rPr>
        <w:t>。</w:t>
      </w:r>
    </w:p>
    <w:p w14:paraId="7885BDF7">
      <w:pPr>
        <w:snapToGrid w:val="0"/>
        <w:spacing w:line="360" w:lineRule="auto"/>
        <w:ind w:firstLine="420"/>
        <w:rPr>
          <w:rFonts w:ascii="宋体" w:hAnsi="宋体" w:cs="Arial"/>
          <w:b/>
        </w:rPr>
      </w:pPr>
      <w:r>
        <w:rPr>
          <w:rFonts w:hint="eastAsia" w:ascii="宋体" w:hAnsi="宋体" w:cs="Arial"/>
          <w:b/>
        </w:rPr>
        <w:t>七</w:t>
      </w:r>
      <w:r>
        <w:rPr>
          <w:rFonts w:ascii="宋体" w:hAnsi="宋体" w:cs="Arial"/>
          <w:b/>
        </w:rPr>
        <w:t>、</w:t>
      </w:r>
      <w:r>
        <w:rPr>
          <w:rFonts w:hint="eastAsia" w:ascii="宋体" w:hAnsi="宋体" w:cs="Arial"/>
          <w:b/>
        </w:rPr>
        <w:t>发售</w:t>
      </w:r>
      <w:r>
        <w:rPr>
          <w:rFonts w:ascii="宋体" w:hAnsi="宋体" w:cs="Arial"/>
          <w:b/>
        </w:rPr>
        <w:t>方式</w:t>
      </w:r>
      <w:r>
        <w:rPr>
          <w:rFonts w:hint="eastAsia" w:ascii="宋体" w:hAnsi="宋体" w:cs="Arial"/>
          <w:b/>
        </w:rPr>
        <w:t>与发售场所</w:t>
      </w:r>
    </w:p>
    <w:p w14:paraId="729CAF06">
      <w:pPr>
        <w:autoSpaceDE w:val="0"/>
        <w:autoSpaceDN w:val="0"/>
        <w:adjustRightInd w:val="0"/>
        <w:snapToGrid w:val="0"/>
        <w:spacing w:line="360" w:lineRule="auto"/>
        <w:ind w:firstLine="426"/>
        <w:jc w:val="left"/>
        <w:rPr>
          <w:rFonts w:ascii="宋体" w:hAnsi="宋体" w:cs="Arial"/>
          <w:kern w:val="0"/>
          <w:szCs w:val="21"/>
        </w:rPr>
      </w:pPr>
      <w:r>
        <w:rPr>
          <w:rFonts w:hint="eastAsia" w:ascii="宋体" w:hAnsi="宋体" w:cs="Arial"/>
          <w:kern w:val="0"/>
          <w:szCs w:val="21"/>
        </w:rPr>
        <w:t>投资人可选择网上现金认购和网下现金认购两种方式认购本基金：</w:t>
      </w:r>
    </w:p>
    <w:p w14:paraId="56841AA4">
      <w:pPr>
        <w:autoSpaceDE w:val="0"/>
        <w:autoSpaceDN w:val="0"/>
        <w:adjustRightInd w:val="0"/>
        <w:snapToGrid w:val="0"/>
        <w:spacing w:line="360" w:lineRule="auto"/>
        <w:ind w:firstLine="426"/>
        <w:jc w:val="left"/>
        <w:rPr>
          <w:rFonts w:ascii="宋体" w:hAnsi="宋体" w:cs="Arial"/>
          <w:kern w:val="0"/>
          <w:szCs w:val="21"/>
        </w:rPr>
      </w:pPr>
      <w:r>
        <w:rPr>
          <w:rFonts w:hint="eastAsia" w:ascii="宋体" w:hAnsi="宋体" w:cs="Arial"/>
          <w:kern w:val="0"/>
          <w:szCs w:val="21"/>
        </w:rPr>
        <w:t>网上现金认购是指投资人通过基金管理人指定的发售代理机构通过上海证券交易所网上系统以现金进行的认购；</w:t>
      </w:r>
    </w:p>
    <w:p w14:paraId="64A7F5B2">
      <w:pPr>
        <w:autoSpaceDE w:val="0"/>
        <w:autoSpaceDN w:val="0"/>
        <w:adjustRightInd w:val="0"/>
        <w:snapToGrid w:val="0"/>
        <w:spacing w:line="360" w:lineRule="auto"/>
        <w:ind w:firstLine="426"/>
        <w:jc w:val="left"/>
        <w:rPr>
          <w:rFonts w:ascii="宋体" w:hAnsi="宋体" w:cs="Arial"/>
          <w:kern w:val="0"/>
          <w:szCs w:val="21"/>
        </w:rPr>
      </w:pPr>
      <w:r>
        <w:rPr>
          <w:rFonts w:hint="eastAsia" w:ascii="宋体" w:hAnsi="宋体" w:cs="Arial"/>
          <w:kern w:val="0"/>
          <w:szCs w:val="21"/>
        </w:rPr>
        <w:t>网下现金认购是指投资人通过基金管理人及其指定的发售代理机构以现金进行的认购。</w:t>
      </w:r>
    </w:p>
    <w:p w14:paraId="49E17B60">
      <w:pPr>
        <w:autoSpaceDE w:val="0"/>
        <w:autoSpaceDN w:val="0"/>
        <w:adjustRightInd w:val="0"/>
        <w:snapToGrid w:val="0"/>
        <w:spacing w:line="360" w:lineRule="auto"/>
        <w:ind w:firstLine="426"/>
        <w:jc w:val="left"/>
        <w:rPr>
          <w:rFonts w:ascii="宋体" w:hAnsi="宋体" w:cs="Arial"/>
          <w:kern w:val="0"/>
          <w:szCs w:val="21"/>
        </w:rPr>
      </w:pPr>
      <w:r>
        <w:rPr>
          <w:rFonts w:hint="eastAsia" w:ascii="宋体" w:hAnsi="宋体" w:cs="Arial"/>
          <w:kern w:val="0"/>
          <w:szCs w:val="21"/>
        </w:rPr>
        <w:t>投资人应当在基金管理人及其指定发售代理机构办理基金发售业务的营业场所，或者按基金管理人或发售代理机构提供的方式办理基金份额的认购。基金管理人、发售代理机构办理基金发售业务的具体情况和联系方式，请参见基金份额发售公告</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以及基金管理人网站</w:t>
      </w:r>
      <w:r>
        <w:rPr>
          <w:rFonts w:hint="eastAsia" w:ascii="宋体" w:hAnsi="宋体" w:cs="Arial"/>
          <w:kern w:val="0"/>
          <w:szCs w:val="21"/>
        </w:rPr>
        <w:t>。</w:t>
      </w:r>
    </w:p>
    <w:p w14:paraId="5FC21590">
      <w:pPr>
        <w:autoSpaceDE w:val="0"/>
        <w:autoSpaceDN w:val="0"/>
        <w:adjustRightInd w:val="0"/>
        <w:snapToGrid w:val="0"/>
        <w:spacing w:line="360" w:lineRule="auto"/>
        <w:ind w:firstLine="426"/>
        <w:jc w:val="left"/>
        <w:rPr>
          <w:rFonts w:ascii="宋体" w:hAnsi="宋体" w:cs="Arial"/>
          <w:kern w:val="0"/>
          <w:szCs w:val="21"/>
        </w:rPr>
      </w:pPr>
      <w:r>
        <w:rPr>
          <w:rFonts w:hint="eastAsia" w:ascii="宋体" w:hAnsi="宋体" w:cs="Arial"/>
          <w:kern w:val="0"/>
          <w:szCs w:val="21"/>
        </w:rPr>
        <w:t>基金管理人可依据实际情况增减、变更发售代理机构，发售代理机构的具体名单见基金份额发售公告</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以及基金管理人网站</w:t>
      </w:r>
      <w:r>
        <w:rPr>
          <w:rFonts w:hint="eastAsia" w:ascii="宋体" w:hAnsi="宋体" w:cs="Arial"/>
          <w:kern w:val="0"/>
          <w:szCs w:val="21"/>
        </w:rPr>
        <w:t>。</w:t>
      </w:r>
    </w:p>
    <w:p w14:paraId="1278F32B">
      <w:pPr>
        <w:autoSpaceDE w:val="0"/>
        <w:autoSpaceDN w:val="0"/>
        <w:adjustRightInd w:val="0"/>
        <w:snapToGrid w:val="0"/>
        <w:spacing w:line="360" w:lineRule="auto"/>
        <w:ind w:firstLine="426"/>
        <w:jc w:val="left"/>
        <w:rPr>
          <w:rFonts w:ascii="宋体" w:hAnsi="宋体" w:cs="Arial"/>
          <w:kern w:val="0"/>
          <w:szCs w:val="21"/>
        </w:rPr>
      </w:pPr>
      <w:r>
        <w:rPr>
          <w:rFonts w:hint="eastAsia" w:ascii="宋体" w:hAnsi="宋体" w:cs="Arial"/>
          <w:kern w:val="0"/>
          <w:szCs w:val="21"/>
        </w:rPr>
        <w:t>若证券交易所、中国证券登记结算有限责任公司对发售方式、发售场所有所调整的，本基金将进行相应调整。</w:t>
      </w:r>
    </w:p>
    <w:p w14:paraId="28DA035A">
      <w:pPr>
        <w:snapToGrid w:val="0"/>
        <w:spacing w:line="360" w:lineRule="auto"/>
        <w:ind w:firstLine="420"/>
        <w:rPr>
          <w:rFonts w:ascii="宋体" w:hAnsi="宋体" w:cs="Arial"/>
          <w:b/>
        </w:rPr>
      </w:pPr>
      <w:r>
        <w:rPr>
          <w:rFonts w:hint="eastAsia" w:ascii="宋体" w:hAnsi="宋体" w:cs="Arial"/>
          <w:kern w:val="0"/>
          <w:szCs w:val="21"/>
        </w:rPr>
        <w:t>八</w:t>
      </w:r>
      <w:r>
        <w:rPr>
          <w:rFonts w:ascii="宋体" w:hAnsi="宋体" w:cs="Arial"/>
          <w:b/>
        </w:rPr>
        <w:t>、基金份额</w:t>
      </w:r>
      <w:r>
        <w:rPr>
          <w:rFonts w:hint="eastAsia" w:ascii="宋体" w:hAnsi="宋体" w:cs="Arial"/>
          <w:b/>
        </w:rPr>
        <w:t>发售</w:t>
      </w:r>
      <w:r>
        <w:rPr>
          <w:rFonts w:ascii="宋体" w:hAnsi="宋体" w:cs="Arial"/>
          <w:b/>
        </w:rPr>
        <w:t>面值、认购价格</w:t>
      </w:r>
    </w:p>
    <w:p w14:paraId="7FC3555D">
      <w:pPr>
        <w:pStyle w:val="91"/>
        <w:autoSpaceDE w:val="0"/>
        <w:autoSpaceDN w:val="0"/>
        <w:adjustRightInd w:val="0"/>
        <w:snapToGrid w:val="0"/>
        <w:ind w:firstLineChars="0"/>
        <w:rPr>
          <w:rFonts w:hAnsi="宋体" w:cs="Arial"/>
          <w:szCs w:val="24"/>
        </w:rPr>
      </w:pPr>
      <w:r>
        <w:rPr>
          <w:rFonts w:hAnsi="宋体" w:cs="Arial"/>
          <w:szCs w:val="24"/>
        </w:rPr>
        <w:t>本基金每份基金份额的</w:t>
      </w:r>
      <w:r>
        <w:rPr>
          <w:rFonts w:hint="eastAsia" w:hAnsi="宋体" w:cs="Arial"/>
          <w:szCs w:val="24"/>
        </w:rPr>
        <w:t>发售</w:t>
      </w:r>
      <w:r>
        <w:rPr>
          <w:rFonts w:hAnsi="宋体" w:cs="Arial"/>
          <w:szCs w:val="24"/>
        </w:rPr>
        <w:t>面值为人民币1.00元，认购价格为人民币1.00元。</w:t>
      </w:r>
    </w:p>
    <w:p w14:paraId="0A7EB80E">
      <w:pPr>
        <w:snapToGrid w:val="0"/>
        <w:spacing w:line="360" w:lineRule="auto"/>
        <w:ind w:firstLine="420"/>
        <w:rPr>
          <w:rFonts w:ascii="宋体" w:hAnsi="宋体" w:cs="Arial"/>
          <w:b/>
        </w:rPr>
      </w:pPr>
      <w:r>
        <w:rPr>
          <w:rFonts w:hint="eastAsia" w:ascii="宋体" w:hAnsi="宋体" w:cs="Arial"/>
          <w:b/>
        </w:rPr>
        <w:t>九</w:t>
      </w:r>
      <w:r>
        <w:rPr>
          <w:rFonts w:ascii="宋体" w:hAnsi="宋体" w:cs="Arial"/>
          <w:b/>
        </w:rPr>
        <w:t>、</w:t>
      </w:r>
      <w:bookmarkStart w:id="23" w:name="_Toc293495078"/>
      <w:bookmarkStart w:id="24" w:name="_Toc276561307"/>
      <w:r>
        <w:rPr>
          <w:rFonts w:ascii="宋体" w:hAnsi="宋体" w:cs="Arial"/>
          <w:b/>
        </w:rPr>
        <w:t>投资人对基金份额的认购</w:t>
      </w:r>
      <w:bookmarkEnd w:id="23"/>
      <w:bookmarkEnd w:id="24"/>
    </w:p>
    <w:p w14:paraId="0312BE34">
      <w:pPr>
        <w:adjustRightInd w:val="0"/>
        <w:snapToGrid w:val="0"/>
        <w:spacing w:line="360" w:lineRule="auto"/>
        <w:ind w:firstLine="420"/>
        <w:rPr>
          <w:rFonts w:ascii="宋体" w:hAnsi="宋体" w:cs="Arial"/>
          <w:kern w:val="0"/>
          <w:szCs w:val="21"/>
        </w:rPr>
      </w:pPr>
      <w:r>
        <w:rPr>
          <w:rFonts w:ascii="宋体" w:hAnsi="宋体" w:cs="Arial"/>
          <w:kern w:val="0"/>
          <w:szCs w:val="21"/>
        </w:rPr>
        <w:t>1</w:t>
      </w:r>
      <w:r>
        <w:rPr>
          <w:rFonts w:hint="eastAsia" w:ascii="宋体" w:hAnsi="宋体" w:cs="Arial"/>
          <w:kern w:val="0"/>
          <w:szCs w:val="21"/>
        </w:rPr>
        <w:t>、</w:t>
      </w:r>
      <w:r>
        <w:rPr>
          <w:rFonts w:ascii="宋体" w:hAnsi="宋体" w:cs="Arial"/>
          <w:kern w:val="0"/>
          <w:szCs w:val="21"/>
        </w:rPr>
        <w:t>认购时间安排</w:t>
      </w:r>
    </w:p>
    <w:p w14:paraId="3EDB7DC3">
      <w:pPr>
        <w:adjustRightInd w:val="0"/>
        <w:snapToGrid w:val="0"/>
        <w:spacing w:line="360" w:lineRule="auto"/>
        <w:ind w:firstLine="420"/>
        <w:rPr>
          <w:rFonts w:ascii="宋体" w:hAnsi="宋体" w:cs="Arial"/>
        </w:rPr>
      </w:pPr>
      <w:r>
        <w:rPr>
          <w:rFonts w:hint="eastAsia" w:ascii="宋体" w:hAnsi="宋体" w:cs="Arial"/>
          <w:kern w:val="0"/>
          <w:szCs w:val="21"/>
        </w:rPr>
        <w:t>本基金的募集期限不超过3个月，自基金份额开始发售之日起计算，具体发售时间见基金份额发售公告。</w:t>
      </w:r>
    </w:p>
    <w:p w14:paraId="5A9F65B5">
      <w:pPr>
        <w:adjustRightInd w:val="0"/>
        <w:snapToGrid w:val="0"/>
        <w:spacing w:line="360" w:lineRule="auto"/>
        <w:ind w:firstLine="420"/>
        <w:rPr>
          <w:rFonts w:ascii="宋体" w:hAnsi="宋体" w:cs="Arial"/>
        </w:rPr>
      </w:pPr>
      <w:r>
        <w:rPr>
          <w:rFonts w:ascii="宋体" w:hAnsi="宋体" w:cs="Arial"/>
        </w:rPr>
        <w:t>2</w:t>
      </w:r>
      <w:r>
        <w:rPr>
          <w:rFonts w:hint="eastAsia" w:ascii="宋体" w:hAnsi="宋体" w:cs="Arial"/>
        </w:rPr>
        <w:t>、</w:t>
      </w:r>
      <w:r>
        <w:rPr>
          <w:rFonts w:ascii="宋体" w:hAnsi="宋体" w:cs="Arial"/>
        </w:rPr>
        <w:t>认购开户</w:t>
      </w:r>
    </w:p>
    <w:p w14:paraId="367C7412">
      <w:pPr>
        <w:adjustRightInd w:val="0"/>
        <w:snapToGrid w:val="0"/>
        <w:spacing w:line="360" w:lineRule="auto"/>
        <w:ind w:firstLine="424" w:firstLineChars="202"/>
        <w:rPr>
          <w:rFonts w:ascii="宋体" w:hAnsi="宋体" w:cs="Arial"/>
          <w:kern w:val="3"/>
        </w:rPr>
      </w:pPr>
      <w:r>
        <w:rPr>
          <w:rFonts w:ascii="宋体" w:hAnsi="宋体" w:cs="Arial"/>
          <w:kern w:val="3"/>
        </w:rPr>
        <w:t>投资人认购本基金时需具有上海证券交易所A股账户或</w:t>
      </w:r>
      <w:r>
        <w:rPr>
          <w:rFonts w:hint="eastAsia" w:ascii="宋体" w:hAnsi="宋体" w:cs="Arial"/>
          <w:kern w:val="3"/>
        </w:rPr>
        <w:t>证券投资</w:t>
      </w:r>
      <w:r>
        <w:rPr>
          <w:rFonts w:ascii="宋体" w:hAnsi="宋体" w:cs="Arial"/>
          <w:kern w:val="3"/>
        </w:rPr>
        <w:t>基金账户</w:t>
      </w:r>
      <w:r>
        <w:rPr>
          <w:rFonts w:hint="eastAsia" w:ascii="宋体" w:hAnsi="宋体" w:cs="Arial"/>
          <w:kern w:val="3"/>
        </w:rPr>
        <w:t>（以下统称“上海证券账户”）</w:t>
      </w:r>
      <w:r>
        <w:rPr>
          <w:rFonts w:ascii="宋体" w:hAnsi="宋体" w:cs="Arial"/>
          <w:kern w:val="3"/>
        </w:rPr>
        <w:t>。</w:t>
      </w:r>
    </w:p>
    <w:p w14:paraId="19919055">
      <w:pPr>
        <w:adjustRightInd w:val="0"/>
        <w:snapToGrid w:val="0"/>
        <w:spacing w:line="360" w:lineRule="auto"/>
        <w:ind w:firstLine="424" w:firstLineChars="202"/>
        <w:rPr>
          <w:rFonts w:ascii="宋体" w:hAnsi="宋体" w:cs="Arial"/>
          <w:kern w:val="3"/>
        </w:rPr>
      </w:pPr>
      <w:r>
        <w:rPr>
          <w:rFonts w:hint="eastAsia" w:ascii="宋体" w:hAnsi="宋体" w:cs="Arial"/>
          <w:kern w:val="3"/>
        </w:rPr>
        <w:t>已有上海</w:t>
      </w:r>
      <w:r>
        <w:rPr>
          <w:rFonts w:ascii="宋体" w:hAnsi="宋体" w:cs="Arial"/>
          <w:kern w:val="3"/>
        </w:rPr>
        <w:t>证券交易所</w:t>
      </w:r>
      <w:r>
        <w:rPr>
          <w:rFonts w:hint="eastAsia" w:ascii="宋体" w:hAnsi="宋体" w:cs="Arial"/>
          <w:kern w:val="3"/>
        </w:rPr>
        <w:t>A股账户或证券投资基金账户的投资人不必再办理开户手续。</w:t>
      </w:r>
    </w:p>
    <w:p w14:paraId="1BAC5D45">
      <w:pPr>
        <w:adjustRightInd w:val="0"/>
        <w:snapToGrid w:val="0"/>
        <w:spacing w:line="360" w:lineRule="auto"/>
        <w:ind w:firstLine="424" w:firstLineChars="202"/>
        <w:rPr>
          <w:rFonts w:ascii="宋体" w:hAnsi="宋体" w:cs="Arial"/>
          <w:kern w:val="3"/>
        </w:rPr>
      </w:pPr>
      <w:r>
        <w:rPr>
          <w:rFonts w:hint="eastAsia" w:ascii="宋体" w:hAnsi="宋体" w:cs="Arial"/>
          <w:kern w:val="3"/>
        </w:rPr>
        <w:t>尚无上海</w:t>
      </w:r>
      <w:r>
        <w:rPr>
          <w:rFonts w:ascii="宋体" w:hAnsi="宋体" w:cs="Arial"/>
          <w:kern w:val="3"/>
        </w:rPr>
        <w:t>证券交易所</w:t>
      </w:r>
      <w:r>
        <w:rPr>
          <w:rFonts w:hint="eastAsia" w:ascii="宋体" w:hAnsi="宋体" w:cs="Arial"/>
          <w:kern w:val="3"/>
        </w:rPr>
        <w:t>A股账户或证券投资基金账户的投资人，需在认购前持本人身份证到中国证券登记结算有限责任公司上海分公司的开户代理机构办理上海</w:t>
      </w:r>
      <w:r>
        <w:rPr>
          <w:rFonts w:ascii="宋体" w:hAnsi="宋体" w:cs="Arial"/>
          <w:kern w:val="3"/>
        </w:rPr>
        <w:t>证券交易所</w:t>
      </w:r>
      <w:r>
        <w:rPr>
          <w:rFonts w:hint="eastAsia" w:ascii="宋体" w:hAnsi="宋体" w:cs="Arial"/>
          <w:kern w:val="3"/>
        </w:rPr>
        <w:t>A股账户或证券投资基金账户的开户手续。有关开设上海</w:t>
      </w:r>
      <w:r>
        <w:rPr>
          <w:rFonts w:ascii="宋体" w:hAnsi="宋体" w:cs="Arial"/>
          <w:kern w:val="3"/>
        </w:rPr>
        <w:t>证券交易所</w:t>
      </w:r>
      <w:r>
        <w:rPr>
          <w:rFonts w:hint="eastAsia" w:ascii="宋体" w:hAnsi="宋体" w:cs="Arial"/>
          <w:kern w:val="3"/>
        </w:rPr>
        <w:t>A股账户和证券投资基金账户的具体程序和办法，请到各开户网点详细咨询有关规定。</w:t>
      </w:r>
    </w:p>
    <w:p w14:paraId="07F8DF79">
      <w:pPr>
        <w:adjustRightInd w:val="0"/>
        <w:snapToGrid w:val="0"/>
        <w:spacing w:line="360" w:lineRule="auto"/>
        <w:ind w:firstLine="420"/>
        <w:rPr>
          <w:rFonts w:ascii="宋体" w:hAnsi="宋体" w:cs="Arial"/>
          <w:kern w:val="3"/>
        </w:rPr>
      </w:pPr>
      <w:r>
        <w:rPr>
          <w:rFonts w:hint="eastAsia" w:ascii="宋体" w:hAnsi="宋体" w:cs="Arial"/>
          <w:kern w:val="3"/>
        </w:rPr>
        <w:t>（1）</w:t>
      </w:r>
      <w:r>
        <w:rPr>
          <w:rFonts w:ascii="宋体" w:hAnsi="宋体" w:cs="Arial"/>
          <w:kern w:val="3"/>
        </w:rPr>
        <w:t>如投资人需新开立证券账户，则应注意：</w:t>
      </w:r>
    </w:p>
    <w:p w14:paraId="6FD61976">
      <w:pPr>
        <w:adjustRightInd w:val="0"/>
        <w:snapToGrid w:val="0"/>
        <w:spacing w:line="360" w:lineRule="auto"/>
        <w:ind w:firstLine="420"/>
        <w:rPr>
          <w:rFonts w:ascii="宋体" w:hAnsi="宋体" w:cs="Arial"/>
          <w:kern w:val="3"/>
        </w:rPr>
      </w:pPr>
      <w:r>
        <w:rPr>
          <w:rFonts w:ascii="宋体" w:hAnsi="宋体" w:cs="Arial"/>
          <w:kern w:val="3"/>
        </w:rPr>
        <w:t>开户当日无法办理指定交易，建议投资人在进行认购前至少2个工作日办理开户手续。</w:t>
      </w:r>
    </w:p>
    <w:p w14:paraId="45BC3C4D">
      <w:pPr>
        <w:adjustRightInd w:val="0"/>
        <w:snapToGrid w:val="0"/>
        <w:spacing w:line="360" w:lineRule="auto"/>
        <w:ind w:firstLine="420"/>
        <w:rPr>
          <w:rFonts w:ascii="宋体" w:hAnsi="宋体" w:cs="Arial"/>
          <w:kern w:val="3"/>
        </w:rPr>
      </w:pPr>
      <w:r>
        <w:rPr>
          <w:rFonts w:hint="eastAsia" w:ascii="宋体" w:hAnsi="宋体" w:cs="Arial"/>
          <w:kern w:val="3"/>
        </w:rPr>
        <w:t>（2）</w:t>
      </w:r>
      <w:r>
        <w:rPr>
          <w:rFonts w:ascii="宋体" w:hAnsi="宋体" w:cs="Arial"/>
          <w:kern w:val="3"/>
        </w:rPr>
        <w:t>如投资人已开立</w:t>
      </w:r>
      <w:r>
        <w:rPr>
          <w:rFonts w:hint="eastAsia" w:ascii="宋体" w:hAnsi="宋体" w:cs="Arial"/>
          <w:kern w:val="3"/>
        </w:rPr>
        <w:t>上海</w:t>
      </w:r>
      <w:r>
        <w:rPr>
          <w:rFonts w:ascii="宋体" w:hAnsi="宋体" w:cs="Arial"/>
          <w:kern w:val="3"/>
        </w:rPr>
        <w:t>证券账户，则应注意：</w:t>
      </w:r>
    </w:p>
    <w:p w14:paraId="4C5C0CC4">
      <w:pPr>
        <w:adjustRightInd w:val="0"/>
        <w:snapToGrid w:val="0"/>
        <w:spacing w:line="360" w:lineRule="auto"/>
        <w:ind w:firstLine="420"/>
        <w:rPr>
          <w:rFonts w:ascii="宋体" w:hAnsi="宋体" w:cs="Arial"/>
          <w:kern w:val="3"/>
        </w:rPr>
      </w:pPr>
      <w:r>
        <w:rPr>
          <w:rFonts w:hint="eastAsia" w:ascii="宋体" w:hAnsi="宋体" w:cs="Arial"/>
          <w:kern w:val="3"/>
        </w:rPr>
        <w:t>①</w:t>
      </w:r>
      <w:r>
        <w:rPr>
          <w:rFonts w:ascii="宋体" w:hAnsi="宋体" w:cs="Arial"/>
          <w:kern w:val="3"/>
        </w:rPr>
        <w:t>如投资人未办理指定交易或指定交易在不办理本基金发售业务的证券公司，需要指定交易或转指定交易在可办理本基金发售业务的证券公司。</w:t>
      </w:r>
    </w:p>
    <w:p w14:paraId="7675914C">
      <w:pPr>
        <w:adjustRightInd w:val="0"/>
        <w:snapToGrid w:val="0"/>
        <w:spacing w:line="360" w:lineRule="auto"/>
        <w:ind w:firstLine="420"/>
        <w:rPr>
          <w:rFonts w:ascii="宋体" w:hAnsi="宋体" w:cs="Arial"/>
          <w:kern w:val="3"/>
        </w:rPr>
      </w:pPr>
      <w:r>
        <w:rPr>
          <w:rFonts w:hint="eastAsia" w:ascii="宋体" w:hAnsi="宋体" w:cs="Arial"/>
          <w:kern w:val="3"/>
        </w:rPr>
        <w:t>②</w:t>
      </w:r>
      <w:r>
        <w:rPr>
          <w:rFonts w:ascii="宋体" w:hAnsi="宋体" w:cs="Arial"/>
          <w:kern w:val="3"/>
        </w:rPr>
        <w:t>当日办理指定交易或转指定交易的投资人当日无法进行认购，建议投资人在进行认购前至少1个工作日办理指定交易或转指定交易手续。</w:t>
      </w:r>
    </w:p>
    <w:p w14:paraId="50AF2914">
      <w:pPr>
        <w:adjustRightInd w:val="0"/>
        <w:snapToGrid w:val="0"/>
        <w:spacing w:line="360" w:lineRule="auto"/>
        <w:ind w:firstLine="420"/>
        <w:rPr>
          <w:rFonts w:ascii="宋体" w:hAnsi="宋体" w:cs="Arial"/>
        </w:rPr>
      </w:pPr>
      <w:r>
        <w:rPr>
          <w:rFonts w:hint="eastAsia" w:ascii="宋体" w:hAnsi="宋体" w:cs="Arial"/>
          <w:kern w:val="3"/>
        </w:rPr>
        <w:t>（3）</w:t>
      </w:r>
      <w:r>
        <w:rPr>
          <w:rFonts w:ascii="宋体" w:hAnsi="宋体" w:cs="Arial"/>
          <w:kern w:val="3"/>
        </w:rPr>
        <w:t>使用专用</w:t>
      </w:r>
      <w:r>
        <w:rPr>
          <w:rFonts w:hint="eastAsia" w:ascii="宋体" w:hAnsi="宋体" w:cs="Arial"/>
          <w:kern w:val="3"/>
        </w:rPr>
        <w:t>交易单元</w:t>
      </w:r>
      <w:r>
        <w:rPr>
          <w:rFonts w:ascii="宋体" w:hAnsi="宋体" w:cs="Arial"/>
          <w:kern w:val="3"/>
        </w:rPr>
        <w:t>的机构投资人则无需办理指定交易</w:t>
      </w:r>
      <w:r>
        <w:rPr>
          <w:rFonts w:ascii="宋体" w:hAnsi="宋体" w:cs="Arial"/>
        </w:rPr>
        <w:t>。</w:t>
      </w:r>
    </w:p>
    <w:p w14:paraId="342412B0">
      <w:pPr>
        <w:snapToGrid w:val="0"/>
        <w:spacing w:line="360" w:lineRule="auto"/>
        <w:ind w:firstLine="422" w:firstLineChars="200"/>
        <w:rPr>
          <w:rFonts w:ascii="宋体" w:hAnsi="宋体" w:cs="Arial"/>
          <w:b/>
        </w:rPr>
      </w:pPr>
      <w:r>
        <w:rPr>
          <w:rFonts w:hint="eastAsia" w:ascii="宋体" w:hAnsi="宋体" w:cs="Arial"/>
          <w:b/>
        </w:rPr>
        <w:t>十</w:t>
      </w:r>
      <w:r>
        <w:rPr>
          <w:rFonts w:ascii="宋体" w:hAnsi="宋体" w:cs="Arial"/>
          <w:b/>
        </w:rPr>
        <w:t>、认购费用</w:t>
      </w:r>
    </w:p>
    <w:p w14:paraId="41F86F97">
      <w:pPr>
        <w:adjustRightInd w:val="0"/>
        <w:snapToGrid w:val="0"/>
        <w:spacing w:line="360" w:lineRule="auto"/>
        <w:ind w:firstLine="420"/>
        <w:rPr>
          <w:rFonts w:ascii="宋体" w:hAnsi="宋体" w:cs="Arial"/>
          <w:kern w:val="3"/>
        </w:rPr>
      </w:pPr>
      <w:r>
        <w:rPr>
          <w:rFonts w:hint="eastAsia" w:ascii="宋体" w:hAnsi="宋体" w:cs="Arial"/>
          <w:kern w:val="3"/>
        </w:rPr>
        <w:t>本基金的认购采用份额认购的原则。认购费用由认购基金份额的投资人承担，认购费用不列入基金财产。认购费率如下表所示：</w:t>
      </w:r>
    </w:p>
    <w:p w14:paraId="63EC208C">
      <w:pPr>
        <w:snapToGrid w:val="0"/>
        <w:spacing w:line="360" w:lineRule="auto"/>
        <w:ind w:firstLine="420"/>
        <w:jc w:val="center"/>
        <w:rPr>
          <w:rFonts w:ascii="宋体" w:hAnsi="宋体" w:cs="Arial"/>
        </w:rPr>
      </w:pPr>
      <w:r>
        <w:rPr>
          <w:rFonts w:hint="eastAsia" w:ascii="宋体" w:hAnsi="宋体" w:cs="Arial"/>
        </w:rPr>
        <w:t>图表1：认购费率</w:t>
      </w:r>
    </w:p>
    <w:tbl>
      <w:tblPr>
        <w:tblStyle w:val="41"/>
        <w:tblW w:w="49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37"/>
        <w:gridCol w:w="1690"/>
      </w:tblGrid>
      <w:tr w14:paraId="1FDE8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37" w:type="dxa"/>
            <w:vAlign w:val="center"/>
          </w:tcPr>
          <w:p w14:paraId="09E91277">
            <w:pPr>
              <w:autoSpaceDE w:val="0"/>
              <w:autoSpaceDN w:val="0"/>
              <w:adjustRightInd w:val="0"/>
              <w:snapToGrid w:val="0"/>
              <w:spacing w:line="360" w:lineRule="auto"/>
              <w:jc w:val="center"/>
              <w:rPr>
                <w:rFonts w:ascii="宋体" w:hAnsi="宋体" w:cs="Arial"/>
                <w:b/>
                <w:bCs/>
              </w:rPr>
            </w:pPr>
            <w:r>
              <w:rPr>
                <w:rFonts w:ascii="宋体" w:hAnsi="宋体" w:cs="Arial"/>
                <w:b/>
                <w:bCs/>
              </w:rPr>
              <w:t>认购份额</w:t>
            </w:r>
          </w:p>
        </w:tc>
        <w:tc>
          <w:tcPr>
            <w:tcW w:w="1690" w:type="dxa"/>
            <w:vAlign w:val="center"/>
          </w:tcPr>
          <w:p w14:paraId="574FC206">
            <w:pPr>
              <w:autoSpaceDE w:val="0"/>
              <w:autoSpaceDN w:val="0"/>
              <w:adjustRightInd w:val="0"/>
              <w:snapToGrid w:val="0"/>
              <w:spacing w:line="360" w:lineRule="auto"/>
              <w:jc w:val="center"/>
              <w:rPr>
                <w:rFonts w:ascii="宋体" w:hAnsi="宋体" w:cs="Arial"/>
                <w:b/>
                <w:bCs/>
              </w:rPr>
            </w:pPr>
            <w:r>
              <w:rPr>
                <w:rFonts w:ascii="宋体" w:hAnsi="宋体" w:cs="Arial"/>
                <w:b/>
                <w:bCs/>
              </w:rPr>
              <w:t>认购费率</w:t>
            </w:r>
          </w:p>
        </w:tc>
      </w:tr>
      <w:tr w14:paraId="7F77E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37" w:type="dxa"/>
            <w:vAlign w:val="center"/>
          </w:tcPr>
          <w:p w14:paraId="7D8D4BD1">
            <w:pPr>
              <w:autoSpaceDE w:val="0"/>
              <w:autoSpaceDN w:val="0"/>
              <w:adjustRightInd w:val="0"/>
              <w:snapToGrid w:val="0"/>
              <w:spacing w:line="360" w:lineRule="auto"/>
              <w:jc w:val="center"/>
              <w:rPr>
                <w:rFonts w:ascii="宋体" w:hAnsi="宋体" w:cs="Arial"/>
              </w:rPr>
            </w:pPr>
            <w:r>
              <w:rPr>
                <w:rFonts w:hint="eastAsia" w:ascii="宋体" w:hAnsi="宋体" w:cs="Arial"/>
                <w:lang w:val="en-US" w:eastAsia="zh-CN"/>
              </w:rPr>
              <w:t>100</w:t>
            </w:r>
            <w:r>
              <w:rPr>
                <w:rFonts w:ascii="宋体" w:hAnsi="宋体" w:cs="Arial"/>
              </w:rPr>
              <w:t>万份以下</w:t>
            </w:r>
          </w:p>
        </w:tc>
        <w:tc>
          <w:tcPr>
            <w:tcW w:w="1690" w:type="dxa"/>
            <w:vAlign w:val="center"/>
          </w:tcPr>
          <w:p w14:paraId="60877788">
            <w:pPr>
              <w:autoSpaceDE w:val="0"/>
              <w:autoSpaceDN w:val="0"/>
              <w:adjustRightInd w:val="0"/>
              <w:snapToGrid w:val="0"/>
              <w:spacing w:line="360" w:lineRule="auto"/>
              <w:jc w:val="center"/>
              <w:rPr>
                <w:rFonts w:ascii="宋体" w:hAnsi="宋体" w:cs="Arial"/>
              </w:rPr>
            </w:pPr>
            <w:r>
              <w:rPr>
                <w:rFonts w:hint="eastAsia" w:ascii="宋体" w:hAnsi="宋体" w:cs="Arial"/>
              </w:rPr>
              <w:t>0.</w:t>
            </w:r>
            <w:r>
              <w:rPr>
                <w:rFonts w:hint="eastAsia" w:ascii="宋体" w:hAnsi="宋体" w:cs="Arial"/>
                <w:lang w:val="en-US" w:eastAsia="zh-CN"/>
              </w:rPr>
              <w:t>3</w:t>
            </w:r>
            <w:r>
              <w:rPr>
                <w:rFonts w:hint="eastAsia" w:ascii="宋体" w:hAnsi="宋体" w:cs="Arial"/>
              </w:rPr>
              <w:t>0</w:t>
            </w:r>
            <w:r>
              <w:rPr>
                <w:rFonts w:ascii="宋体" w:hAnsi="宋体" w:cs="Arial"/>
              </w:rPr>
              <w:t>%</w:t>
            </w:r>
          </w:p>
        </w:tc>
      </w:tr>
      <w:tr w14:paraId="70CD3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37" w:type="dxa"/>
            <w:vAlign w:val="center"/>
          </w:tcPr>
          <w:p w14:paraId="771F8AC9">
            <w:pPr>
              <w:autoSpaceDE w:val="0"/>
              <w:autoSpaceDN w:val="0"/>
              <w:adjustRightInd w:val="0"/>
              <w:snapToGrid w:val="0"/>
              <w:spacing w:line="360" w:lineRule="auto"/>
              <w:jc w:val="center"/>
              <w:rPr>
                <w:rFonts w:ascii="宋体" w:hAnsi="宋体" w:cs="Arial"/>
              </w:rPr>
            </w:pPr>
            <w:r>
              <w:rPr>
                <w:rFonts w:ascii="宋体" w:hAnsi="宋体" w:cs="Arial"/>
              </w:rPr>
              <w:t>100万份以上</w:t>
            </w:r>
            <w:r>
              <w:rPr>
                <w:rFonts w:ascii="宋体" w:hAnsi="宋体" w:cs="Arial"/>
                <w:bCs/>
                <w:kern w:val="0"/>
                <w:szCs w:val="21"/>
              </w:rPr>
              <w:t>（含）</w:t>
            </w:r>
          </w:p>
        </w:tc>
        <w:tc>
          <w:tcPr>
            <w:tcW w:w="1690" w:type="dxa"/>
            <w:vAlign w:val="center"/>
          </w:tcPr>
          <w:p w14:paraId="48A0E209">
            <w:pPr>
              <w:autoSpaceDE w:val="0"/>
              <w:autoSpaceDN w:val="0"/>
              <w:adjustRightInd w:val="0"/>
              <w:snapToGrid w:val="0"/>
              <w:spacing w:line="360" w:lineRule="auto"/>
              <w:jc w:val="center"/>
              <w:rPr>
                <w:rFonts w:ascii="宋体" w:hAnsi="宋体" w:cs="Arial"/>
              </w:rPr>
            </w:pPr>
            <w:r>
              <w:rPr>
                <w:rFonts w:ascii="宋体" w:hAnsi="宋体" w:cs="Arial"/>
              </w:rPr>
              <w:t>每笔1000元</w:t>
            </w:r>
          </w:p>
        </w:tc>
      </w:tr>
    </w:tbl>
    <w:p w14:paraId="74B922C6">
      <w:pPr>
        <w:autoSpaceDE w:val="0"/>
        <w:autoSpaceDN w:val="0"/>
        <w:adjustRightInd w:val="0"/>
        <w:snapToGrid w:val="0"/>
        <w:spacing w:line="360" w:lineRule="auto"/>
        <w:ind w:firstLine="420" w:firstLineChars="200"/>
        <w:rPr>
          <w:rFonts w:ascii="宋体" w:hAnsi="宋体" w:cs="Arial"/>
        </w:rPr>
      </w:pPr>
      <w:r>
        <w:rPr>
          <w:rFonts w:ascii="宋体" w:hAnsi="宋体" w:cs="Arial"/>
        </w:rPr>
        <w:t>基金管理人办理网下现金认购时</w:t>
      </w:r>
      <w:r>
        <w:rPr>
          <w:rFonts w:hint="eastAsia" w:ascii="宋体" w:hAnsi="宋体" w:cs="Arial"/>
          <w:lang w:val="en-US" w:eastAsia="zh-CN"/>
        </w:rPr>
        <w:t>不收取</w:t>
      </w:r>
      <w:r>
        <w:rPr>
          <w:rFonts w:ascii="宋体" w:hAnsi="宋体" w:cs="Arial"/>
        </w:rPr>
        <w:t>认购费用。发售代理机构办理网上现金认购、网下现金认购时可参照上述费率结构收取一定的佣金。</w:t>
      </w:r>
      <w:r>
        <w:rPr>
          <w:rFonts w:hint="eastAsia" w:ascii="宋体" w:hAnsi="宋体" w:cs="Arial"/>
        </w:rPr>
        <w:t>投资人可以多次认购本基金，认购费率按每笔认购申请单独计算。</w:t>
      </w:r>
    </w:p>
    <w:p w14:paraId="4EF1706B">
      <w:pPr>
        <w:snapToGrid w:val="0"/>
        <w:spacing w:line="360" w:lineRule="auto"/>
        <w:ind w:firstLine="420"/>
        <w:rPr>
          <w:rFonts w:ascii="宋体" w:hAnsi="宋体" w:cs="Arial"/>
          <w:b/>
        </w:rPr>
      </w:pPr>
      <w:r>
        <w:rPr>
          <w:rFonts w:hint="eastAsia" w:ascii="宋体" w:hAnsi="宋体" w:cs="Arial"/>
          <w:b/>
        </w:rPr>
        <w:t>十一、认购申请的确认</w:t>
      </w:r>
    </w:p>
    <w:p w14:paraId="417A5ED3">
      <w:pPr>
        <w:snapToGrid w:val="0"/>
        <w:spacing w:line="360" w:lineRule="auto"/>
        <w:ind w:firstLine="420"/>
        <w:rPr>
          <w:rFonts w:ascii="宋体" w:hAnsi="宋体" w:cs="Arial"/>
        </w:rPr>
      </w:pPr>
      <w:r>
        <w:rPr>
          <w:rFonts w:hint="eastAsia" w:ascii="宋体" w:hAnsi="宋体" w:cs="Arial"/>
        </w:rPr>
        <w:t>销售机构对认购申请的受理并不代表该申请一定成功，而仅代表销售机构确实接收到认购申请。认购的确认以登记机构的确认结果为准。对于认购申请及认购份额的确认情况，投资人应及时查询并妥善行使合法权利。</w:t>
      </w:r>
    </w:p>
    <w:p w14:paraId="0A04CFBD">
      <w:pPr>
        <w:snapToGrid w:val="0"/>
        <w:spacing w:line="360" w:lineRule="auto"/>
        <w:ind w:firstLine="420"/>
        <w:rPr>
          <w:rFonts w:ascii="宋体" w:hAnsi="宋体" w:cs="Arial"/>
          <w:b/>
        </w:rPr>
      </w:pPr>
      <w:bookmarkStart w:id="25" w:name="_Toc276561308"/>
      <w:r>
        <w:rPr>
          <w:rFonts w:ascii="宋体" w:hAnsi="宋体" w:cs="Arial"/>
          <w:b/>
        </w:rPr>
        <w:t>十</w:t>
      </w:r>
      <w:r>
        <w:rPr>
          <w:rFonts w:hint="eastAsia" w:ascii="宋体" w:hAnsi="宋体" w:cs="Arial"/>
          <w:b/>
        </w:rPr>
        <w:t>二</w:t>
      </w:r>
      <w:r>
        <w:rPr>
          <w:rFonts w:ascii="宋体" w:hAnsi="宋体" w:cs="Arial"/>
          <w:b/>
        </w:rPr>
        <w:t>、网上现金认购</w:t>
      </w:r>
      <w:bookmarkEnd w:id="25"/>
    </w:p>
    <w:p w14:paraId="6282BB64">
      <w:pPr>
        <w:adjustRightInd w:val="0"/>
        <w:snapToGrid w:val="0"/>
        <w:spacing w:line="360" w:lineRule="auto"/>
        <w:ind w:left="420"/>
        <w:rPr>
          <w:rFonts w:ascii="宋体" w:hAnsi="宋体" w:cs="Arial"/>
        </w:rPr>
      </w:pPr>
      <w:r>
        <w:rPr>
          <w:rFonts w:ascii="宋体" w:hAnsi="宋体" w:cs="Arial"/>
        </w:rPr>
        <w:t>1</w:t>
      </w:r>
      <w:r>
        <w:rPr>
          <w:rFonts w:hint="eastAsia" w:ascii="宋体" w:hAnsi="宋体" w:cs="Arial"/>
          <w:szCs w:val="21"/>
        </w:rPr>
        <w:t>、</w:t>
      </w:r>
      <w:r>
        <w:rPr>
          <w:rFonts w:ascii="宋体" w:hAnsi="宋体" w:cs="Arial"/>
        </w:rPr>
        <w:t>认购时间：</w:t>
      </w:r>
      <w:r>
        <w:rPr>
          <w:rFonts w:hint="eastAsia" w:ascii="宋体" w:hAnsi="宋体" w:cs="Arial"/>
        </w:rPr>
        <w:t>详见基金份额发售公告</w:t>
      </w:r>
      <w:r>
        <w:rPr>
          <w:rFonts w:ascii="宋体" w:hAnsi="宋体" w:cs="Arial"/>
        </w:rPr>
        <w:t>。</w:t>
      </w:r>
    </w:p>
    <w:p w14:paraId="0E0131EA">
      <w:pPr>
        <w:adjustRightInd w:val="0"/>
        <w:snapToGrid w:val="0"/>
        <w:spacing w:line="360" w:lineRule="auto"/>
        <w:ind w:left="420"/>
        <w:rPr>
          <w:rFonts w:ascii="宋体" w:hAnsi="宋体" w:cs="Arial"/>
        </w:rPr>
      </w:pPr>
      <w:r>
        <w:rPr>
          <w:rFonts w:ascii="宋体" w:hAnsi="宋体" w:cs="Arial"/>
        </w:rPr>
        <w:t>2</w:t>
      </w:r>
      <w:r>
        <w:rPr>
          <w:rFonts w:hint="eastAsia" w:ascii="宋体" w:hAnsi="宋体" w:cs="Arial"/>
        </w:rPr>
        <w:t>、认购金额的计算：</w:t>
      </w:r>
    </w:p>
    <w:p w14:paraId="5BD45EA3">
      <w:pPr>
        <w:adjustRightInd w:val="0"/>
        <w:snapToGrid w:val="0"/>
        <w:spacing w:line="360" w:lineRule="auto"/>
        <w:ind w:firstLine="420" w:firstLineChars="200"/>
        <w:rPr>
          <w:rFonts w:ascii="宋体" w:hAnsi="宋体" w:cs="Arial"/>
        </w:rPr>
      </w:pPr>
      <w:r>
        <w:rPr>
          <w:rFonts w:hint="eastAsia" w:ascii="宋体" w:hAnsi="宋体" w:cs="Arial"/>
        </w:rPr>
        <w:t>通过发售代理机构进行网上现金认购的投资人，认购以基金份额申请，认购佣金、认购金额的计算公式为：</w:t>
      </w:r>
    </w:p>
    <w:p w14:paraId="0D474061">
      <w:pPr>
        <w:adjustRightInd w:val="0"/>
        <w:snapToGrid w:val="0"/>
        <w:spacing w:line="360" w:lineRule="auto"/>
        <w:ind w:left="420"/>
        <w:rPr>
          <w:rFonts w:ascii="宋体" w:hAnsi="宋体" w:cs="Arial"/>
        </w:rPr>
      </w:pPr>
      <w:r>
        <w:rPr>
          <w:rFonts w:hint="eastAsia" w:ascii="宋体" w:hAnsi="宋体" w:cs="Arial"/>
        </w:rPr>
        <w:t>认购佣金＝认购价格×认购份额×佣金比率</w:t>
      </w:r>
    </w:p>
    <w:p w14:paraId="18015F7B">
      <w:pPr>
        <w:adjustRightInd w:val="0"/>
        <w:snapToGrid w:val="0"/>
        <w:spacing w:line="360" w:lineRule="auto"/>
        <w:ind w:left="420"/>
        <w:rPr>
          <w:rFonts w:ascii="宋体" w:hAnsi="宋体" w:cs="Arial"/>
        </w:rPr>
      </w:pPr>
      <w:r>
        <w:rPr>
          <w:rFonts w:hint="eastAsia" w:ascii="宋体" w:hAnsi="宋体" w:cs="Arial"/>
        </w:rPr>
        <w:t>（或若适用固定费用的，认购佣金=固定费用）</w:t>
      </w:r>
    </w:p>
    <w:p w14:paraId="14566AB9">
      <w:pPr>
        <w:adjustRightInd w:val="0"/>
        <w:snapToGrid w:val="0"/>
        <w:spacing w:line="360" w:lineRule="auto"/>
        <w:ind w:left="420"/>
        <w:rPr>
          <w:rFonts w:ascii="宋体" w:hAnsi="宋体" w:cs="Arial"/>
        </w:rPr>
      </w:pPr>
      <w:r>
        <w:rPr>
          <w:rFonts w:hint="eastAsia" w:ascii="宋体" w:hAnsi="宋体" w:cs="Arial"/>
        </w:rPr>
        <w:t>认购金额＝认购价格×认购份额×</w:t>
      </w:r>
      <w:r>
        <w:rPr>
          <w:rFonts w:ascii="宋体" w:hAnsi="宋体" w:cs="Arial"/>
        </w:rPr>
        <w:t>(1</w:t>
      </w:r>
      <w:r>
        <w:rPr>
          <w:rFonts w:hint="eastAsia" w:ascii="宋体" w:hAnsi="宋体" w:cs="Arial"/>
        </w:rPr>
        <w:t>＋佣金比率</w:t>
      </w:r>
      <w:r>
        <w:rPr>
          <w:rFonts w:ascii="宋体" w:hAnsi="宋体" w:cs="Arial"/>
        </w:rPr>
        <w:t xml:space="preserve">) </w:t>
      </w:r>
    </w:p>
    <w:p w14:paraId="0567CC8E">
      <w:pPr>
        <w:adjustRightInd w:val="0"/>
        <w:snapToGrid w:val="0"/>
        <w:spacing w:line="360" w:lineRule="auto"/>
        <w:ind w:left="420"/>
        <w:rPr>
          <w:rFonts w:hint="eastAsia" w:ascii="宋体" w:hAnsi="宋体" w:cs="Arial"/>
        </w:rPr>
      </w:pPr>
      <w:r>
        <w:rPr>
          <w:rFonts w:hint="eastAsia" w:ascii="宋体" w:hAnsi="宋体" w:cs="Arial"/>
        </w:rPr>
        <w:t>（或若适用固定费用的，认购金额＝认购价格×认购份额+固定费用）</w:t>
      </w:r>
    </w:p>
    <w:p w14:paraId="6510E3EF">
      <w:pPr>
        <w:adjustRightInd w:val="0"/>
        <w:snapToGrid w:val="0"/>
        <w:spacing w:line="360" w:lineRule="auto"/>
        <w:ind w:left="420"/>
        <w:rPr>
          <w:rFonts w:hint="eastAsia" w:ascii="宋体" w:hAnsi="宋体" w:cs="Arial"/>
        </w:rPr>
      </w:pPr>
      <w:r>
        <w:rPr>
          <w:rFonts w:hint="eastAsia" w:ascii="宋体" w:hAnsi="宋体" w:cs="Arial"/>
        </w:rPr>
        <w:t>利息折算的份额＝利息/认购价格</w:t>
      </w:r>
    </w:p>
    <w:p w14:paraId="25F3BA76">
      <w:pPr>
        <w:adjustRightInd w:val="0"/>
        <w:snapToGrid w:val="0"/>
        <w:spacing w:line="360" w:lineRule="auto"/>
        <w:ind w:left="420"/>
        <w:rPr>
          <w:rFonts w:ascii="宋体" w:hAnsi="宋体" w:cs="Arial"/>
        </w:rPr>
      </w:pPr>
      <w:r>
        <w:rPr>
          <w:rFonts w:hint="eastAsia" w:ascii="宋体" w:hAnsi="宋体" w:cs="Arial"/>
        </w:rPr>
        <w:t>认购佣金由发售代理机构向投资人收取，投资人需以现金方式交纳认购佣金。</w:t>
      </w:r>
      <w:r>
        <w:rPr>
          <w:rFonts w:ascii="宋体" w:hAnsi="宋体" w:cs="Arial"/>
        </w:rPr>
        <w:t xml:space="preserve"> </w:t>
      </w:r>
    </w:p>
    <w:p w14:paraId="3DD26D8E">
      <w:pPr>
        <w:adjustRightInd w:val="0"/>
        <w:snapToGrid w:val="0"/>
        <w:spacing w:line="360" w:lineRule="auto"/>
        <w:ind w:firstLine="420" w:firstLineChars="200"/>
        <w:rPr>
          <w:rFonts w:hint="eastAsia" w:ascii="宋体" w:hAnsi="宋体" w:cs="Arial"/>
        </w:rPr>
      </w:pPr>
      <w:r>
        <w:rPr>
          <w:rFonts w:hint="eastAsia" w:ascii="宋体" w:hAnsi="宋体" w:cs="Arial"/>
        </w:rPr>
        <w:t>例：某投资人通过某发售代理机构以网上现金认购方式认购1,000份本基金，假设该发售代理机构确认的佣金比率为0.</w:t>
      </w:r>
      <w:r>
        <w:rPr>
          <w:rFonts w:hint="eastAsia" w:ascii="宋体" w:hAnsi="宋体" w:cs="Arial"/>
          <w:lang w:val="en-US" w:eastAsia="zh-CN"/>
        </w:rPr>
        <w:t>3</w:t>
      </w:r>
      <w:r>
        <w:rPr>
          <w:rFonts w:hint="eastAsia" w:ascii="宋体" w:hAnsi="宋体" w:cs="Arial"/>
        </w:rPr>
        <w:t>0%，</w:t>
      </w:r>
      <w:r>
        <w:rPr>
          <w:rFonts w:hint="eastAsia" w:ascii="宋体" w:hAnsi="宋体" w:cs="Arial"/>
          <w:highlight w:val="none"/>
        </w:rPr>
        <w:t>假设</w:t>
      </w:r>
      <w:r>
        <w:rPr>
          <w:rFonts w:hint="eastAsia" w:ascii="宋体" w:hAnsi="宋体" w:cs="Arial"/>
        </w:rPr>
        <w:t xml:space="preserve">利息为2元，则投资人需支付的认购佣金和需准备的认购金额计算如下： </w:t>
      </w:r>
    </w:p>
    <w:p w14:paraId="42E555EC">
      <w:pPr>
        <w:adjustRightInd w:val="0"/>
        <w:snapToGrid w:val="0"/>
        <w:spacing w:line="360" w:lineRule="auto"/>
        <w:ind w:left="420"/>
        <w:rPr>
          <w:rFonts w:hint="eastAsia" w:ascii="宋体" w:hAnsi="宋体" w:cs="Arial"/>
        </w:rPr>
      </w:pPr>
      <w:r>
        <w:rPr>
          <w:rFonts w:hint="eastAsia" w:ascii="宋体" w:hAnsi="宋体" w:cs="Arial"/>
        </w:rPr>
        <w:t>认购佣金＝1.00×1,000×0.</w:t>
      </w:r>
      <w:r>
        <w:rPr>
          <w:rFonts w:hint="eastAsia" w:ascii="宋体" w:hAnsi="宋体" w:cs="Arial"/>
          <w:lang w:val="en-US" w:eastAsia="zh-CN"/>
        </w:rPr>
        <w:t>3</w:t>
      </w:r>
      <w:r>
        <w:rPr>
          <w:rFonts w:hint="eastAsia" w:ascii="宋体" w:hAnsi="宋体" w:cs="Arial"/>
        </w:rPr>
        <w:t>0%＝</w:t>
      </w:r>
      <w:r>
        <w:rPr>
          <w:rFonts w:hint="eastAsia" w:ascii="宋体" w:hAnsi="宋体" w:cs="Arial"/>
          <w:lang w:val="en-US" w:eastAsia="zh-CN"/>
        </w:rPr>
        <w:t>3</w:t>
      </w:r>
      <w:r>
        <w:rPr>
          <w:rFonts w:hint="eastAsia" w:ascii="宋体" w:hAnsi="宋体" w:cs="Arial"/>
        </w:rPr>
        <w:t xml:space="preserve">.00元 </w:t>
      </w:r>
    </w:p>
    <w:p w14:paraId="680C17AA">
      <w:pPr>
        <w:adjustRightInd w:val="0"/>
        <w:snapToGrid w:val="0"/>
        <w:spacing w:line="360" w:lineRule="auto"/>
        <w:ind w:left="420"/>
        <w:rPr>
          <w:rFonts w:hint="eastAsia" w:ascii="宋体" w:hAnsi="宋体" w:cs="Arial"/>
        </w:rPr>
      </w:pPr>
      <w:r>
        <w:rPr>
          <w:rFonts w:hint="eastAsia" w:ascii="宋体" w:hAnsi="宋体" w:cs="Arial"/>
        </w:rPr>
        <w:t>认购金额＝1.00×1,000×(1+0.</w:t>
      </w:r>
      <w:r>
        <w:rPr>
          <w:rFonts w:hint="eastAsia" w:ascii="宋体" w:hAnsi="宋体" w:cs="Arial"/>
          <w:lang w:val="en-US" w:eastAsia="zh-CN"/>
        </w:rPr>
        <w:t>3</w:t>
      </w:r>
      <w:r>
        <w:rPr>
          <w:rFonts w:hint="eastAsia" w:ascii="宋体" w:hAnsi="宋体" w:cs="Arial"/>
        </w:rPr>
        <w:t>0%)＝1,00</w:t>
      </w:r>
      <w:r>
        <w:rPr>
          <w:rFonts w:hint="eastAsia" w:ascii="宋体" w:hAnsi="宋体" w:cs="Arial"/>
          <w:lang w:val="en-US" w:eastAsia="zh-CN"/>
        </w:rPr>
        <w:t>3</w:t>
      </w:r>
      <w:r>
        <w:rPr>
          <w:rFonts w:hint="eastAsia" w:ascii="宋体" w:hAnsi="宋体" w:cs="Arial"/>
        </w:rPr>
        <w:t xml:space="preserve">.00元 </w:t>
      </w:r>
    </w:p>
    <w:p w14:paraId="788F48E2">
      <w:pPr>
        <w:adjustRightInd w:val="0"/>
        <w:snapToGrid w:val="0"/>
        <w:spacing w:line="360" w:lineRule="auto"/>
        <w:ind w:left="420"/>
        <w:rPr>
          <w:rFonts w:ascii="宋体" w:hAnsi="宋体" w:cs="Arial"/>
        </w:rPr>
      </w:pPr>
      <w:bookmarkStart w:id="26" w:name="OLE_LINK27"/>
      <w:bookmarkStart w:id="27" w:name="OLE_LINK28"/>
      <w:r>
        <w:rPr>
          <w:rFonts w:hint="eastAsia" w:ascii="宋体" w:hAnsi="宋体" w:cs="Arial"/>
        </w:rPr>
        <w:t>利息折算的份额=</w:t>
      </w:r>
      <w:r>
        <w:rPr>
          <w:rFonts w:ascii="宋体" w:hAnsi="宋体" w:cs="Arial"/>
        </w:rPr>
        <w:t>2</w:t>
      </w:r>
      <w:r>
        <w:rPr>
          <w:rFonts w:hint="eastAsia" w:ascii="宋体" w:hAnsi="宋体" w:cs="Arial"/>
        </w:rPr>
        <w:t>/1.00=</w:t>
      </w:r>
      <w:r>
        <w:rPr>
          <w:rFonts w:ascii="宋体" w:hAnsi="宋体" w:cs="Arial"/>
        </w:rPr>
        <w:t>2</w:t>
      </w:r>
      <w:r>
        <w:rPr>
          <w:rFonts w:hint="eastAsia" w:ascii="宋体" w:hAnsi="宋体" w:cs="Arial"/>
        </w:rPr>
        <w:t>份</w:t>
      </w:r>
    </w:p>
    <w:p w14:paraId="2BEC0508">
      <w:pPr>
        <w:adjustRightInd w:val="0"/>
        <w:snapToGrid w:val="0"/>
        <w:spacing w:line="360" w:lineRule="auto"/>
        <w:ind w:left="420"/>
        <w:rPr>
          <w:rFonts w:hint="eastAsia" w:ascii="宋体" w:hAnsi="宋体" w:cs="Arial"/>
        </w:rPr>
      </w:pPr>
      <w:r>
        <w:rPr>
          <w:rFonts w:hint="eastAsia" w:ascii="宋体" w:hAnsi="宋体" w:cs="Arial"/>
        </w:rPr>
        <w:t>投资人实际可得份额=1,000+</w:t>
      </w:r>
      <w:r>
        <w:rPr>
          <w:rFonts w:ascii="宋体" w:hAnsi="宋体" w:cs="Arial"/>
        </w:rPr>
        <w:t>2</w:t>
      </w:r>
      <w:r>
        <w:rPr>
          <w:rFonts w:hint="eastAsia" w:ascii="宋体" w:hAnsi="宋体" w:cs="Arial"/>
        </w:rPr>
        <w:t>=</w:t>
      </w:r>
      <w:bookmarkStart w:id="28" w:name="OLE_LINK20"/>
      <w:bookmarkStart w:id="29" w:name="OLE_LINK24"/>
      <w:bookmarkStart w:id="30" w:name="OLE_LINK21"/>
      <w:r>
        <w:rPr>
          <w:rFonts w:ascii="宋体" w:hAnsi="宋体" w:cs="Arial"/>
        </w:rPr>
        <w:t>1,0</w:t>
      </w:r>
      <w:bookmarkEnd w:id="28"/>
      <w:bookmarkEnd w:id="29"/>
      <w:bookmarkEnd w:id="30"/>
      <w:r>
        <w:rPr>
          <w:rFonts w:ascii="宋体" w:hAnsi="宋体" w:cs="Arial"/>
        </w:rPr>
        <w:t>02</w:t>
      </w:r>
      <w:r>
        <w:rPr>
          <w:rFonts w:hint="eastAsia" w:ascii="宋体" w:hAnsi="宋体" w:cs="Arial"/>
        </w:rPr>
        <w:t>份</w:t>
      </w:r>
      <w:bookmarkEnd w:id="26"/>
      <w:bookmarkEnd w:id="27"/>
    </w:p>
    <w:p w14:paraId="1889D25C">
      <w:pPr>
        <w:adjustRightInd w:val="0"/>
        <w:snapToGrid w:val="0"/>
        <w:spacing w:line="360" w:lineRule="auto"/>
        <w:ind w:left="0" w:firstLine="420" w:firstLineChars="200"/>
        <w:rPr>
          <w:rFonts w:hint="eastAsia" w:ascii="宋体" w:hAnsi="宋体" w:cs="Arial"/>
        </w:rPr>
      </w:pPr>
      <w:r>
        <w:rPr>
          <w:rFonts w:hint="eastAsia" w:ascii="宋体" w:hAnsi="宋体" w:cs="Arial"/>
        </w:rPr>
        <w:t>即投资人需准备1,00</w:t>
      </w:r>
      <w:r>
        <w:rPr>
          <w:rFonts w:hint="eastAsia" w:ascii="宋体" w:hAnsi="宋体" w:cs="Arial"/>
          <w:lang w:val="en-US" w:eastAsia="zh-CN"/>
        </w:rPr>
        <w:t>3</w:t>
      </w:r>
      <w:r>
        <w:rPr>
          <w:rFonts w:hint="eastAsia" w:ascii="宋体" w:hAnsi="宋体" w:cs="Arial"/>
        </w:rPr>
        <w:t>.00元资金，方可认购到1,000份本基金基金份额，</w:t>
      </w:r>
      <w:r>
        <w:rPr>
          <w:rFonts w:hint="eastAsia" w:ascii="宋体" w:hAnsi="宋体" w:cs="Arial"/>
          <w:highlight w:val="none"/>
        </w:rPr>
        <w:t>假设</w:t>
      </w:r>
      <w:r>
        <w:rPr>
          <w:rFonts w:hint="eastAsia" w:ascii="宋体" w:hAnsi="宋体" w:cs="Arial"/>
        </w:rPr>
        <w:t>利息为</w:t>
      </w:r>
      <w:r>
        <w:rPr>
          <w:rFonts w:hint="eastAsia" w:ascii="宋体" w:hAnsi="宋体" w:cs="Arial"/>
          <w:lang w:val="en-US" w:eastAsia="zh-CN"/>
        </w:rPr>
        <w:t>2</w:t>
      </w:r>
      <w:r>
        <w:rPr>
          <w:rFonts w:hint="eastAsia" w:ascii="宋体" w:hAnsi="宋体" w:cs="Arial"/>
        </w:rPr>
        <w:t>元，</w:t>
      </w:r>
      <w:r>
        <w:rPr>
          <w:rFonts w:hint="eastAsia" w:ascii="宋体" w:hAnsi="宋体" w:cs="Arial"/>
          <w:lang w:val="en-US" w:eastAsia="zh-CN"/>
        </w:rPr>
        <w:t>则</w:t>
      </w:r>
      <w:r>
        <w:rPr>
          <w:rFonts w:hint="eastAsia" w:ascii="宋体" w:hAnsi="宋体" w:cs="Arial"/>
        </w:rPr>
        <w:t>其最终实际所得的基金份额为</w:t>
      </w:r>
      <w:r>
        <w:rPr>
          <w:rFonts w:ascii="宋体" w:hAnsi="宋体" w:cs="Arial"/>
        </w:rPr>
        <w:t>1,002</w:t>
      </w:r>
      <w:r>
        <w:rPr>
          <w:rFonts w:hint="eastAsia" w:ascii="宋体" w:hAnsi="宋体" w:cs="Arial"/>
        </w:rPr>
        <w:t>份。</w:t>
      </w:r>
    </w:p>
    <w:p w14:paraId="79CB128E">
      <w:pPr>
        <w:adjustRightInd w:val="0"/>
        <w:snapToGrid w:val="0"/>
        <w:spacing w:line="360" w:lineRule="auto"/>
        <w:ind w:firstLine="420" w:firstLineChars="200"/>
        <w:rPr>
          <w:rFonts w:ascii="宋体" w:hAnsi="宋体" w:cs="Arial"/>
        </w:rPr>
      </w:pPr>
      <w:r>
        <w:rPr>
          <w:rFonts w:hint="eastAsia" w:ascii="宋体" w:hAnsi="宋体" w:cs="Arial"/>
        </w:rPr>
        <w:t>3、</w:t>
      </w:r>
      <w:r>
        <w:rPr>
          <w:rFonts w:ascii="宋体" w:hAnsi="宋体" w:cs="Arial"/>
        </w:rPr>
        <w:t>认购限额：网上现金认购以基金份额申请。单一账户每笔认购份额须为1000份或其整数倍。投资人可多次认购，累计认购份额不设上限。</w:t>
      </w:r>
    </w:p>
    <w:p w14:paraId="401910BE">
      <w:pPr>
        <w:adjustRightInd w:val="0"/>
        <w:snapToGrid w:val="0"/>
        <w:spacing w:line="360" w:lineRule="auto"/>
        <w:ind w:firstLine="420"/>
        <w:rPr>
          <w:rFonts w:ascii="宋体" w:hAnsi="宋体" w:cs="Arial"/>
        </w:rPr>
      </w:pPr>
      <w:r>
        <w:rPr>
          <w:rFonts w:hint="eastAsia" w:ascii="宋体" w:hAnsi="宋体" w:cs="Arial"/>
        </w:rPr>
        <w:t>4、</w:t>
      </w:r>
      <w:r>
        <w:rPr>
          <w:rFonts w:ascii="宋体" w:hAnsi="宋体" w:cs="Arial"/>
        </w:rPr>
        <w:t>认购</w:t>
      </w:r>
      <w:r>
        <w:rPr>
          <w:rFonts w:hint="eastAsia" w:ascii="宋体" w:hAnsi="宋体" w:cs="Arial"/>
        </w:rPr>
        <w:t>手续</w:t>
      </w:r>
      <w:r>
        <w:rPr>
          <w:rFonts w:ascii="宋体" w:hAnsi="宋体" w:cs="Arial"/>
        </w:rPr>
        <w:t>：投资人在认购本基金时，需按发售代理机构的规定，备足认购资金，办理认购手续。网上现金认购申请提交后，投资人可以在当日交易时间内</w:t>
      </w:r>
      <w:r>
        <w:rPr>
          <w:rFonts w:hint="eastAsia" w:ascii="宋体" w:hAnsi="宋体" w:cs="Arial"/>
        </w:rPr>
        <w:t>撤销</w:t>
      </w:r>
      <w:r>
        <w:rPr>
          <w:rFonts w:ascii="宋体" w:hAnsi="宋体" w:cs="Arial"/>
        </w:rPr>
        <w:t>指定的认购申请。</w:t>
      </w:r>
    </w:p>
    <w:p w14:paraId="745EFBA0">
      <w:pPr>
        <w:adjustRightInd w:val="0"/>
        <w:snapToGrid w:val="0"/>
        <w:spacing w:line="360" w:lineRule="auto"/>
        <w:ind w:firstLine="420"/>
        <w:rPr>
          <w:rFonts w:ascii="宋体" w:hAnsi="宋体" w:cs="Arial"/>
        </w:rPr>
      </w:pPr>
      <w:r>
        <w:rPr>
          <w:rFonts w:hint="eastAsia" w:ascii="宋体" w:hAnsi="宋体" w:cs="Arial"/>
        </w:rPr>
        <w:t>5、</w:t>
      </w:r>
      <w:r>
        <w:rPr>
          <w:rFonts w:ascii="宋体" w:hAnsi="宋体" w:cs="Arial"/>
        </w:rPr>
        <w:t>清算交收：</w:t>
      </w:r>
      <w:r>
        <w:rPr>
          <w:rFonts w:hint="eastAsia" w:ascii="宋体" w:hAnsi="宋体" w:cs="Arial"/>
        </w:rPr>
        <w:t>投资者提交的认购委托，由登记机构进行有效认购款项的清算交收</w:t>
      </w:r>
      <w:r>
        <w:rPr>
          <w:rFonts w:ascii="宋体" w:hAnsi="宋体" w:cs="Arial"/>
        </w:rPr>
        <w:t>。</w:t>
      </w:r>
    </w:p>
    <w:p w14:paraId="2E408966">
      <w:pPr>
        <w:adjustRightInd w:val="0"/>
        <w:snapToGrid w:val="0"/>
        <w:spacing w:line="360" w:lineRule="auto"/>
        <w:ind w:firstLine="420"/>
        <w:rPr>
          <w:rFonts w:ascii="宋体" w:hAnsi="宋体" w:cs="Arial"/>
        </w:rPr>
      </w:pPr>
      <w:r>
        <w:rPr>
          <w:rFonts w:ascii="宋体" w:hAnsi="宋体" w:cs="Arial"/>
        </w:rPr>
        <w:t>6</w:t>
      </w:r>
      <w:r>
        <w:rPr>
          <w:rFonts w:hint="eastAsia" w:ascii="宋体" w:hAnsi="宋体" w:cs="Arial"/>
        </w:rPr>
        <w:t>、</w:t>
      </w:r>
      <w:r>
        <w:rPr>
          <w:rFonts w:ascii="宋体" w:hAnsi="宋体" w:cs="Arial"/>
        </w:rPr>
        <w:t>认购确认：在基金合同生效后，投资人可通过其办理认购的销售网点查询认购确认情况。</w:t>
      </w:r>
    </w:p>
    <w:p w14:paraId="6E78B64C">
      <w:pPr>
        <w:snapToGrid w:val="0"/>
        <w:spacing w:line="360" w:lineRule="auto"/>
        <w:ind w:firstLine="420"/>
        <w:rPr>
          <w:rFonts w:ascii="宋体" w:hAnsi="宋体" w:cs="Arial"/>
          <w:b/>
        </w:rPr>
      </w:pPr>
      <w:bookmarkStart w:id="31" w:name="_Toc276561309"/>
      <w:r>
        <w:rPr>
          <w:rFonts w:ascii="宋体" w:hAnsi="宋体" w:cs="Arial"/>
          <w:b/>
        </w:rPr>
        <w:t>十</w:t>
      </w:r>
      <w:r>
        <w:rPr>
          <w:rFonts w:hint="eastAsia" w:ascii="宋体" w:hAnsi="宋体" w:cs="Arial"/>
          <w:b/>
        </w:rPr>
        <w:t>三</w:t>
      </w:r>
      <w:r>
        <w:rPr>
          <w:rFonts w:ascii="宋体" w:hAnsi="宋体" w:cs="Arial"/>
          <w:b/>
        </w:rPr>
        <w:t>、网下现金认购</w:t>
      </w:r>
      <w:bookmarkEnd w:id="31"/>
    </w:p>
    <w:p w14:paraId="2C20B09F">
      <w:pPr>
        <w:adjustRightInd w:val="0"/>
        <w:snapToGrid w:val="0"/>
        <w:spacing w:line="360" w:lineRule="auto"/>
        <w:ind w:firstLine="420"/>
        <w:rPr>
          <w:rFonts w:ascii="宋体" w:hAnsi="宋体" w:cs="Arial"/>
        </w:rPr>
      </w:pPr>
      <w:r>
        <w:rPr>
          <w:rFonts w:ascii="宋体" w:hAnsi="宋体" w:cs="Arial"/>
        </w:rPr>
        <w:t>1、认购时间：</w:t>
      </w:r>
      <w:r>
        <w:rPr>
          <w:rFonts w:hint="eastAsia" w:ascii="宋体" w:hAnsi="宋体" w:cs="Arial"/>
        </w:rPr>
        <w:t>详见基金份额发售公告</w:t>
      </w:r>
      <w:r>
        <w:rPr>
          <w:rFonts w:ascii="宋体" w:hAnsi="宋体" w:cs="Arial"/>
        </w:rPr>
        <w:t>。</w:t>
      </w:r>
    </w:p>
    <w:p w14:paraId="5A17E293">
      <w:pPr>
        <w:adjustRightInd w:val="0"/>
        <w:snapToGrid w:val="0"/>
        <w:spacing w:line="360" w:lineRule="auto"/>
        <w:ind w:firstLine="420"/>
        <w:rPr>
          <w:rFonts w:ascii="宋体" w:hAnsi="宋体" w:cs="Arial"/>
        </w:rPr>
      </w:pPr>
      <w:r>
        <w:rPr>
          <w:rFonts w:ascii="宋体" w:hAnsi="宋体" w:cs="Arial"/>
        </w:rPr>
        <w:t>2</w:t>
      </w:r>
      <w:r>
        <w:rPr>
          <w:rFonts w:hint="eastAsia" w:ascii="宋体" w:hAnsi="宋体" w:cs="Arial"/>
        </w:rPr>
        <w:t>、</w:t>
      </w:r>
      <w:r>
        <w:rPr>
          <w:rFonts w:ascii="宋体" w:hAnsi="宋体" w:cs="Arial"/>
        </w:rPr>
        <w:t>认购金额的计算：</w:t>
      </w:r>
    </w:p>
    <w:p w14:paraId="2E3F29B2">
      <w:pPr>
        <w:adjustRightInd w:val="0"/>
        <w:snapToGrid w:val="0"/>
        <w:spacing w:line="360" w:lineRule="auto"/>
        <w:ind w:firstLine="420"/>
        <w:rPr>
          <w:rFonts w:hint="eastAsia" w:ascii="宋体" w:hAnsi="宋体" w:cs="Arial"/>
        </w:rPr>
      </w:pPr>
      <w:r>
        <w:rPr>
          <w:rFonts w:hint="eastAsia" w:ascii="宋体" w:hAnsi="宋体" w:cs="Arial"/>
        </w:rPr>
        <w:t>（1）通过基金管理人进行网下现金认购的投资人，认购以基金份额申请，认购金额的计算公式为：</w:t>
      </w:r>
    </w:p>
    <w:p w14:paraId="520103AC">
      <w:pPr>
        <w:adjustRightInd w:val="0"/>
        <w:snapToGrid w:val="0"/>
        <w:spacing w:line="360" w:lineRule="auto"/>
        <w:ind w:firstLine="420"/>
        <w:rPr>
          <w:rFonts w:hint="eastAsia" w:ascii="宋体" w:hAnsi="宋体" w:cs="Arial"/>
        </w:rPr>
      </w:pPr>
      <w:r>
        <w:rPr>
          <w:rFonts w:hint="eastAsia" w:ascii="宋体" w:hAnsi="宋体" w:cs="Arial"/>
        </w:rPr>
        <w:t>认购金额＝认购份额×认购价格</w:t>
      </w:r>
    </w:p>
    <w:p w14:paraId="78D87996">
      <w:pPr>
        <w:adjustRightInd w:val="0"/>
        <w:snapToGrid w:val="0"/>
        <w:spacing w:line="360" w:lineRule="auto"/>
        <w:ind w:firstLine="420"/>
        <w:rPr>
          <w:rFonts w:hint="eastAsia" w:ascii="宋体" w:hAnsi="宋体" w:cs="Arial"/>
        </w:rPr>
      </w:pPr>
      <w:r>
        <w:rPr>
          <w:rFonts w:hint="eastAsia" w:ascii="宋体" w:hAnsi="宋体" w:cs="Arial"/>
        </w:rPr>
        <w:t>利息折算的份额＝利息/认购价格</w:t>
      </w:r>
    </w:p>
    <w:p w14:paraId="745D6905">
      <w:pPr>
        <w:adjustRightInd w:val="0"/>
        <w:snapToGrid w:val="0"/>
        <w:spacing w:line="360" w:lineRule="auto"/>
        <w:ind w:firstLine="420"/>
        <w:rPr>
          <w:rFonts w:hint="eastAsia" w:ascii="宋体" w:hAnsi="宋体" w:cs="Arial"/>
        </w:rPr>
      </w:pPr>
      <w:r>
        <w:rPr>
          <w:rFonts w:hint="eastAsia" w:ascii="宋体" w:hAnsi="宋体" w:cs="Arial"/>
        </w:rPr>
        <w:t>投资人实际可得份额=认购份额+利息折算的份额</w:t>
      </w:r>
    </w:p>
    <w:p w14:paraId="45250F0E">
      <w:pPr>
        <w:adjustRightInd w:val="0"/>
        <w:snapToGrid w:val="0"/>
        <w:spacing w:line="360" w:lineRule="auto"/>
        <w:ind w:firstLine="420" w:firstLineChars="200"/>
        <w:rPr>
          <w:rFonts w:hint="eastAsia" w:ascii="宋体" w:hAnsi="宋体" w:cs="Arial"/>
        </w:rPr>
      </w:pPr>
      <w:r>
        <w:rPr>
          <w:rFonts w:hint="eastAsia" w:ascii="宋体" w:hAnsi="宋体" w:cs="Arial"/>
        </w:rPr>
        <w:t xml:space="preserve">例：某投资人通过基金管理人以网下现金认购方式认购100,000份本基金，假设利息为10元，则投资人需准备的认购金额计算如下： </w:t>
      </w:r>
    </w:p>
    <w:p w14:paraId="74AAD41D">
      <w:pPr>
        <w:adjustRightInd w:val="0"/>
        <w:snapToGrid w:val="0"/>
        <w:spacing w:line="360" w:lineRule="auto"/>
        <w:ind w:firstLine="420" w:firstLineChars="200"/>
        <w:rPr>
          <w:rFonts w:hint="eastAsia" w:ascii="宋体" w:hAnsi="宋体" w:cs="Arial"/>
        </w:rPr>
      </w:pPr>
      <w:r>
        <w:rPr>
          <w:rFonts w:hint="eastAsia" w:ascii="宋体" w:hAnsi="宋体" w:cs="Arial"/>
        </w:rPr>
        <w:t>认购金额＝100,000×1.00＝100,000元</w:t>
      </w:r>
    </w:p>
    <w:p w14:paraId="534D6AF6">
      <w:pPr>
        <w:adjustRightInd w:val="0"/>
        <w:snapToGrid w:val="0"/>
        <w:spacing w:line="360" w:lineRule="auto"/>
        <w:ind w:firstLine="420" w:firstLineChars="200"/>
        <w:rPr>
          <w:rFonts w:hint="eastAsia" w:ascii="宋体" w:hAnsi="宋体" w:cs="Arial"/>
        </w:rPr>
      </w:pPr>
      <w:r>
        <w:rPr>
          <w:rFonts w:hint="eastAsia" w:ascii="宋体" w:hAnsi="宋体" w:cs="Arial"/>
        </w:rPr>
        <w:t>利息折算的份额=10/1.00=10份</w:t>
      </w:r>
    </w:p>
    <w:p w14:paraId="1E3D146A">
      <w:pPr>
        <w:adjustRightInd w:val="0"/>
        <w:snapToGrid w:val="0"/>
        <w:spacing w:line="360" w:lineRule="auto"/>
        <w:ind w:firstLine="420" w:firstLineChars="200"/>
        <w:rPr>
          <w:rFonts w:hint="eastAsia" w:ascii="宋体" w:hAnsi="宋体" w:cs="Arial"/>
        </w:rPr>
      </w:pPr>
      <w:r>
        <w:rPr>
          <w:rFonts w:hint="eastAsia" w:ascii="宋体" w:hAnsi="宋体" w:cs="Arial"/>
        </w:rPr>
        <w:t>投资人实际可得份额=100,000+10=100,010份</w:t>
      </w:r>
    </w:p>
    <w:p w14:paraId="7706F52D">
      <w:pPr>
        <w:adjustRightInd w:val="0"/>
        <w:snapToGrid w:val="0"/>
        <w:spacing w:line="360" w:lineRule="auto"/>
        <w:ind w:firstLine="420"/>
        <w:rPr>
          <w:rFonts w:hint="eastAsia" w:ascii="宋体" w:hAnsi="宋体" w:cs="Arial"/>
        </w:rPr>
      </w:pPr>
      <w:r>
        <w:rPr>
          <w:rFonts w:hint="eastAsia" w:ascii="宋体" w:hAnsi="宋体" w:cs="Arial"/>
        </w:rPr>
        <w:t>即，投资人通过基金管理人以网下现金认购需准备100,000元资金方可认购到100,000份本基金基金份额，假设利息10元，则其最终实际所得的基金份额为100,010份。</w:t>
      </w:r>
    </w:p>
    <w:p w14:paraId="018D88E5">
      <w:pPr>
        <w:adjustRightInd w:val="0"/>
        <w:snapToGrid w:val="0"/>
        <w:spacing w:line="360" w:lineRule="auto"/>
        <w:ind w:firstLine="420"/>
        <w:rPr>
          <w:rFonts w:ascii="宋体" w:hAnsi="宋体" w:cs="Arial"/>
        </w:rPr>
      </w:pPr>
      <w:r>
        <w:rPr>
          <w:rFonts w:hint="eastAsia" w:ascii="宋体" w:hAnsi="宋体" w:cs="Arial"/>
        </w:rPr>
        <w:t>（2）</w:t>
      </w:r>
      <w:r>
        <w:rPr>
          <w:rFonts w:ascii="宋体" w:hAnsi="宋体" w:cs="Arial"/>
        </w:rPr>
        <w:t>通过发售代理机构进行网下现金认购的投资人，认购以基金份额申请，认购</w:t>
      </w:r>
      <w:r>
        <w:rPr>
          <w:rFonts w:hint="eastAsia" w:ascii="宋体" w:hAnsi="宋体" w:cs="Arial"/>
        </w:rPr>
        <w:t>佣金</w:t>
      </w:r>
      <w:r>
        <w:rPr>
          <w:rFonts w:ascii="宋体" w:hAnsi="宋体" w:cs="Arial"/>
        </w:rPr>
        <w:t>和认购金额的计算公式为：</w:t>
      </w:r>
    </w:p>
    <w:p w14:paraId="1A5D6AFA">
      <w:pPr>
        <w:adjustRightInd w:val="0"/>
        <w:snapToGrid w:val="0"/>
        <w:spacing w:line="360" w:lineRule="auto"/>
        <w:ind w:firstLine="420"/>
        <w:rPr>
          <w:rFonts w:ascii="宋体" w:hAnsi="宋体" w:cs="Arial"/>
        </w:rPr>
      </w:pPr>
      <w:r>
        <w:rPr>
          <w:rFonts w:ascii="宋体" w:hAnsi="宋体" w:cs="Arial"/>
        </w:rPr>
        <w:t>认购</w:t>
      </w:r>
      <w:r>
        <w:rPr>
          <w:rFonts w:hint="eastAsia" w:ascii="宋体" w:hAnsi="宋体" w:cs="Arial"/>
        </w:rPr>
        <w:t>佣金</w:t>
      </w:r>
      <w:r>
        <w:rPr>
          <w:rFonts w:ascii="宋体" w:hAnsi="宋体" w:cs="Arial"/>
        </w:rPr>
        <w:t>＝认购份额×基金份额</w:t>
      </w:r>
      <w:r>
        <w:rPr>
          <w:rFonts w:hint="eastAsia" w:ascii="宋体" w:hAnsi="宋体" w:cs="Arial"/>
        </w:rPr>
        <w:t>发售</w:t>
      </w:r>
      <w:r>
        <w:rPr>
          <w:rFonts w:ascii="宋体" w:hAnsi="宋体" w:cs="Arial"/>
        </w:rPr>
        <w:t>面值×</w:t>
      </w:r>
      <w:r>
        <w:rPr>
          <w:rFonts w:hint="eastAsia" w:ascii="宋体" w:hAnsi="宋体" w:cs="Arial"/>
        </w:rPr>
        <w:t>佣金比率</w:t>
      </w:r>
    </w:p>
    <w:p w14:paraId="68C265D6">
      <w:pPr>
        <w:adjustRightInd w:val="0"/>
        <w:snapToGrid w:val="0"/>
        <w:spacing w:line="360" w:lineRule="auto"/>
        <w:ind w:firstLine="420"/>
        <w:rPr>
          <w:rFonts w:ascii="宋体" w:hAnsi="宋体" w:cs="Arial"/>
        </w:rPr>
      </w:pPr>
      <w:r>
        <w:rPr>
          <w:rFonts w:hint="eastAsia" w:ascii="宋体" w:hAnsi="宋体" w:cs="Arial"/>
        </w:rPr>
        <w:t>（或若适用固定费用的，认购佣金=固定费用）</w:t>
      </w:r>
    </w:p>
    <w:p w14:paraId="25BD01BB">
      <w:pPr>
        <w:adjustRightInd w:val="0"/>
        <w:snapToGrid w:val="0"/>
        <w:spacing w:line="360" w:lineRule="auto"/>
        <w:ind w:firstLine="420"/>
        <w:rPr>
          <w:rFonts w:ascii="宋体" w:hAnsi="宋体" w:cs="Arial"/>
        </w:rPr>
      </w:pPr>
      <w:r>
        <w:rPr>
          <w:rFonts w:ascii="宋体" w:hAnsi="宋体" w:cs="Arial"/>
        </w:rPr>
        <w:t>认购金额＝认购份额×基金份额</w:t>
      </w:r>
      <w:r>
        <w:rPr>
          <w:rFonts w:hint="eastAsia" w:ascii="宋体" w:hAnsi="宋体" w:cs="Arial"/>
        </w:rPr>
        <w:t>发售</w:t>
      </w:r>
      <w:r>
        <w:rPr>
          <w:rFonts w:ascii="宋体" w:hAnsi="宋体" w:cs="Arial"/>
        </w:rPr>
        <w:t>面值×（1＋</w:t>
      </w:r>
      <w:r>
        <w:rPr>
          <w:rFonts w:hint="eastAsia" w:ascii="宋体" w:hAnsi="宋体" w:cs="Arial"/>
        </w:rPr>
        <w:t>佣金比率</w:t>
      </w:r>
      <w:r>
        <w:rPr>
          <w:rFonts w:ascii="宋体" w:hAnsi="宋体" w:cs="Arial"/>
        </w:rPr>
        <w:t>）</w:t>
      </w:r>
    </w:p>
    <w:p w14:paraId="3026E720">
      <w:pPr>
        <w:adjustRightInd w:val="0"/>
        <w:snapToGrid w:val="0"/>
        <w:spacing w:line="360" w:lineRule="auto"/>
        <w:ind w:firstLine="420"/>
        <w:rPr>
          <w:rFonts w:ascii="宋体" w:hAnsi="宋体" w:cs="Arial"/>
        </w:rPr>
      </w:pPr>
      <w:r>
        <w:rPr>
          <w:rFonts w:hint="eastAsia" w:ascii="宋体" w:hAnsi="宋体" w:cs="Arial"/>
        </w:rPr>
        <w:t>利息折算的份额＝利息/认购价格</w:t>
      </w:r>
    </w:p>
    <w:p w14:paraId="2581DF30">
      <w:pPr>
        <w:adjustRightInd w:val="0"/>
        <w:snapToGrid w:val="0"/>
        <w:spacing w:line="360" w:lineRule="auto"/>
        <w:ind w:firstLine="420"/>
        <w:rPr>
          <w:rFonts w:ascii="宋体" w:hAnsi="宋体" w:cs="Arial"/>
        </w:rPr>
      </w:pPr>
      <w:r>
        <w:rPr>
          <w:rFonts w:hint="eastAsia" w:ascii="宋体" w:hAnsi="宋体" w:cs="Arial"/>
        </w:rPr>
        <w:t>（或若适用固定费用的，认购金额＝认购价格 ×认购份额+固定费用）</w:t>
      </w:r>
    </w:p>
    <w:p w14:paraId="49D5CF16">
      <w:pPr>
        <w:adjustRightInd w:val="0"/>
        <w:snapToGrid w:val="0"/>
        <w:spacing w:line="360" w:lineRule="auto"/>
        <w:ind w:firstLine="420" w:firstLineChars="200"/>
        <w:rPr>
          <w:rFonts w:ascii="宋体" w:hAnsi="宋体" w:cs="Arial"/>
        </w:rPr>
      </w:pPr>
      <w:r>
        <w:rPr>
          <w:rFonts w:hint="eastAsia" w:ascii="宋体" w:hAnsi="宋体" w:cs="Arial"/>
        </w:rPr>
        <w:t>认购佣金由发售代理机构向投资人收取，投资人需以现金方式交纳认购佣金。</w:t>
      </w:r>
    </w:p>
    <w:p w14:paraId="2B70FBE4">
      <w:pPr>
        <w:adjustRightInd w:val="0"/>
        <w:snapToGrid w:val="0"/>
        <w:spacing w:line="360" w:lineRule="auto"/>
        <w:ind w:firstLine="420" w:firstLineChars="200"/>
        <w:rPr>
          <w:rFonts w:ascii="宋体" w:hAnsi="宋体" w:cs="Arial"/>
        </w:rPr>
      </w:pPr>
      <w:r>
        <w:rPr>
          <w:rFonts w:hint="eastAsia" w:ascii="宋体" w:hAnsi="宋体" w:cs="Arial"/>
        </w:rPr>
        <w:t>例：某投资人到某发售代理机构网点认购10,000份本基金，假设该发售代理机构确认的佣金比率为0</w:t>
      </w:r>
      <w:r>
        <w:rPr>
          <w:rFonts w:ascii="宋体" w:hAnsi="宋体" w:cs="Arial"/>
        </w:rPr>
        <w:t>.</w:t>
      </w:r>
      <w:r>
        <w:rPr>
          <w:rFonts w:hint="eastAsia" w:ascii="宋体" w:hAnsi="宋体" w:cs="Arial"/>
          <w:lang w:val="en-US" w:eastAsia="zh-CN"/>
        </w:rPr>
        <w:t>3</w:t>
      </w:r>
      <w:r>
        <w:rPr>
          <w:rFonts w:hint="eastAsia" w:ascii="宋体" w:hAnsi="宋体" w:cs="Arial"/>
        </w:rPr>
        <w:t>0</w:t>
      </w:r>
      <w:r>
        <w:rPr>
          <w:rFonts w:ascii="宋体" w:hAnsi="宋体" w:cs="Arial"/>
        </w:rPr>
        <w:t>%</w:t>
      </w:r>
      <w:r>
        <w:rPr>
          <w:rFonts w:hint="eastAsia" w:ascii="宋体" w:hAnsi="宋体" w:cs="Arial"/>
        </w:rPr>
        <w:t>，利息为</w:t>
      </w:r>
      <w:r>
        <w:rPr>
          <w:rFonts w:ascii="宋体" w:hAnsi="宋体" w:cs="Arial"/>
        </w:rPr>
        <w:t>5</w:t>
      </w:r>
      <w:r>
        <w:rPr>
          <w:rFonts w:hint="eastAsia" w:ascii="宋体" w:hAnsi="宋体" w:cs="Arial"/>
        </w:rPr>
        <w:t>元，则需准备的资金金额计算如下：</w:t>
      </w:r>
    </w:p>
    <w:p w14:paraId="4E8A64D6">
      <w:pPr>
        <w:adjustRightInd w:val="0"/>
        <w:snapToGrid w:val="0"/>
        <w:spacing w:line="360" w:lineRule="auto"/>
        <w:ind w:firstLine="420" w:firstLineChars="200"/>
        <w:rPr>
          <w:rFonts w:ascii="宋体" w:hAnsi="宋体" w:cs="Arial"/>
        </w:rPr>
      </w:pPr>
      <w:r>
        <w:rPr>
          <w:rFonts w:hint="eastAsia" w:ascii="宋体" w:hAnsi="宋体" w:cs="Arial"/>
        </w:rPr>
        <w:t>认购佣金=1.00×10,000×0</w:t>
      </w:r>
      <w:r>
        <w:rPr>
          <w:rFonts w:ascii="宋体" w:hAnsi="宋体" w:cs="Arial"/>
        </w:rPr>
        <w:t>.</w:t>
      </w:r>
      <w:r>
        <w:rPr>
          <w:rFonts w:hint="eastAsia" w:ascii="宋体" w:hAnsi="宋体" w:cs="Arial"/>
          <w:lang w:val="en-US" w:eastAsia="zh-CN"/>
        </w:rPr>
        <w:t>3</w:t>
      </w:r>
      <w:r>
        <w:rPr>
          <w:rFonts w:hint="eastAsia" w:ascii="宋体" w:hAnsi="宋体" w:cs="Arial"/>
        </w:rPr>
        <w:t>0</w:t>
      </w:r>
      <w:r>
        <w:rPr>
          <w:rFonts w:ascii="宋体" w:hAnsi="宋体" w:cs="Arial"/>
        </w:rPr>
        <w:t>%</w:t>
      </w:r>
      <w:r>
        <w:rPr>
          <w:rFonts w:hint="eastAsia" w:ascii="宋体" w:hAnsi="宋体" w:cs="Arial"/>
        </w:rPr>
        <w:t>=</w:t>
      </w:r>
      <w:r>
        <w:rPr>
          <w:rFonts w:hint="eastAsia" w:ascii="宋体" w:hAnsi="宋体" w:cs="Arial"/>
          <w:lang w:val="en-US" w:eastAsia="zh-CN"/>
        </w:rPr>
        <w:t>3</w:t>
      </w:r>
      <w:r>
        <w:rPr>
          <w:rFonts w:hint="eastAsia" w:ascii="宋体" w:hAnsi="宋体" w:cs="Arial"/>
        </w:rPr>
        <w:t>0元</w:t>
      </w:r>
    </w:p>
    <w:p w14:paraId="3FD2BE89">
      <w:pPr>
        <w:adjustRightInd w:val="0"/>
        <w:snapToGrid w:val="0"/>
        <w:spacing w:line="360" w:lineRule="auto"/>
        <w:ind w:firstLine="420" w:firstLineChars="200"/>
        <w:rPr>
          <w:rFonts w:ascii="宋体" w:hAnsi="宋体" w:cs="Arial"/>
        </w:rPr>
      </w:pPr>
      <w:r>
        <w:rPr>
          <w:rFonts w:hint="eastAsia" w:ascii="宋体" w:hAnsi="宋体" w:cs="Arial"/>
        </w:rPr>
        <w:t>认购金额=1.00×10,000×（1＋0</w:t>
      </w:r>
      <w:r>
        <w:rPr>
          <w:rFonts w:ascii="宋体" w:hAnsi="宋体" w:cs="Arial"/>
        </w:rPr>
        <w:t>.</w:t>
      </w:r>
      <w:r>
        <w:rPr>
          <w:rFonts w:hint="eastAsia" w:ascii="宋体" w:hAnsi="宋体" w:cs="Arial"/>
          <w:lang w:val="en-US" w:eastAsia="zh-CN"/>
        </w:rPr>
        <w:t>3</w:t>
      </w:r>
      <w:r>
        <w:rPr>
          <w:rFonts w:hint="eastAsia" w:ascii="宋体" w:hAnsi="宋体" w:cs="Arial"/>
        </w:rPr>
        <w:t>0</w:t>
      </w:r>
      <w:r>
        <w:rPr>
          <w:rFonts w:ascii="宋体" w:hAnsi="宋体" w:cs="Arial"/>
        </w:rPr>
        <w:t>%</w:t>
      </w:r>
      <w:r>
        <w:rPr>
          <w:rFonts w:hint="eastAsia" w:ascii="宋体" w:hAnsi="宋体" w:cs="Arial"/>
        </w:rPr>
        <w:t>）＝10,0</w:t>
      </w:r>
      <w:r>
        <w:rPr>
          <w:rFonts w:hint="eastAsia" w:ascii="宋体" w:hAnsi="宋体" w:cs="Arial"/>
          <w:lang w:val="en-US" w:eastAsia="zh-CN"/>
        </w:rPr>
        <w:t>3</w:t>
      </w:r>
      <w:r>
        <w:rPr>
          <w:rFonts w:hint="eastAsia" w:ascii="宋体" w:hAnsi="宋体" w:cs="Arial"/>
        </w:rPr>
        <w:t>0元</w:t>
      </w:r>
    </w:p>
    <w:p w14:paraId="51A291BD">
      <w:pPr>
        <w:adjustRightInd w:val="0"/>
        <w:snapToGrid w:val="0"/>
        <w:spacing w:line="360" w:lineRule="auto"/>
        <w:ind w:firstLine="420" w:firstLineChars="200"/>
        <w:rPr>
          <w:rFonts w:ascii="宋体" w:hAnsi="宋体" w:cs="Arial"/>
        </w:rPr>
      </w:pPr>
      <w:r>
        <w:rPr>
          <w:rFonts w:hint="eastAsia" w:ascii="宋体" w:hAnsi="宋体" w:cs="Arial"/>
        </w:rPr>
        <w:t>利息折算的份额=</w:t>
      </w:r>
      <w:r>
        <w:rPr>
          <w:rFonts w:ascii="宋体" w:hAnsi="宋体" w:cs="Arial"/>
        </w:rPr>
        <w:t>5</w:t>
      </w:r>
      <w:r>
        <w:rPr>
          <w:rFonts w:hint="eastAsia" w:ascii="宋体" w:hAnsi="宋体" w:cs="Arial"/>
        </w:rPr>
        <w:t>/1.00=</w:t>
      </w:r>
      <w:r>
        <w:rPr>
          <w:rFonts w:ascii="宋体" w:hAnsi="宋体" w:cs="Arial"/>
        </w:rPr>
        <w:t>5</w:t>
      </w:r>
      <w:r>
        <w:rPr>
          <w:rFonts w:hint="eastAsia" w:ascii="宋体" w:hAnsi="宋体" w:cs="Arial"/>
        </w:rPr>
        <w:t>份</w:t>
      </w:r>
    </w:p>
    <w:p w14:paraId="64BDDD18">
      <w:pPr>
        <w:adjustRightInd w:val="0"/>
        <w:snapToGrid w:val="0"/>
        <w:spacing w:line="360" w:lineRule="auto"/>
        <w:ind w:firstLine="420" w:firstLineChars="200"/>
        <w:rPr>
          <w:rFonts w:hint="eastAsia" w:ascii="宋体" w:hAnsi="宋体" w:cs="Arial"/>
        </w:rPr>
      </w:pPr>
      <w:r>
        <w:rPr>
          <w:rFonts w:hint="eastAsia" w:ascii="宋体" w:hAnsi="宋体" w:cs="Arial"/>
        </w:rPr>
        <w:t>投资人实际可得份额=10,000+</w:t>
      </w:r>
      <w:r>
        <w:rPr>
          <w:rFonts w:ascii="宋体" w:hAnsi="宋体" w:cs="Arial"/>
        </w:rPr>
        <w:t>5</w:t>
      </w:r>
      <w:r>
        <w:rPr>
          <w:rFonts w:hint="eastAsia" w:ascii="宋体" w:hAnsi="宋体" w:cs="Arial"/>
        </w:rPr>
        <w:t>=</w:t>
      </w:r>
      <w:bookmarkStart w:id="32" w:name="OLE_LINK39"/>
      <w:bookmarkStart w:id="33" w:name="OLE_LINK38"/>
      <w:r>
        <w:rPr>
          <w:rFonts w:ascii="宋体" w:hAnsi="宋体" w:cs="Arial"/>
        </w:rPr>
        <w:t>10,005</w:t>
      </w:r>
      <w:bookmarkEnd w:id="32"/>
      <w:bookmarkEnd w:id="33"/>
      <w:r>
        <w:rPr>
          <w:rFonts w:hint="eastAsia" w:ascii="宋体" w:hAnsi="宋体" w:cs="Arial"/>
        </w:rPr>
        <w:t>份</w:t>
      </w:r>
    </w:p>
    <w:p w14:paraId="47ADE1BE">
      <w:pPr>
        <w:adjustRightInd w:val="0"/>
        <w:snapToGrid w:val="0"/>
        <w:spacing w:line="360" w:lineRule="auto"/>
        <w:ind w:firstLine="420" w:firstLineChars="200"/>
        <w:rPr>
          <w:rFonts w:ascii="宋体" w:hAnsi="宋体" w:cs="Arial"/>
        </w:rPr>
      </w:pPr>
      <w:r>
        <w:rPr>
          <w:rFonts w:hint="eastAsia" w:ascii="宋体" w:hAnsi="宋体" w:cs="Arial"/>
        </w:rPr>
        <w:t>即投资人需准备10,0</w:t>
      </w:r>
      <w:r>
        <w:rPr>
          <w:rFonts w:hint="eastAsia" w:ascii="宋体" w:hAnsi="宋体" w:cs="Arial"/>
          <w:lang w:val="en-US" w:eastAsia="zh-CN"/>
        </w:rPr>
        <w:t>3</w:t>
      </w:r>
      <w:r>
        <w:rPr>
          <w:rFonts w:hint="eastAsia" w:ascii="宋体" w:hAnsi="宋体" w:cs="Arial"/>
        </w:rPr>
        <w:t>0元资金，方可认购到10,000份本基金基金份额，</w:t>
      </w:r>
      <w:r>
        <w:rPr>
          <w:rFonts w:hint="eastAsia" w:ascii="宋体" w:hAnsi="宋体" w:cs="Arial"/>
          <w:highlight w:val="none"/>
        </w:rPr>
        <w:t>假设</w:t>
      </w:r>
      <w:r>
        <w:rPr>
          <w:rFonts w:hint="eastAsia" w:ascii="宋体" w:hAnsi="宋体" w:cs="Arial"/>
        </w:rPr>
        <w:t>利息为5元，</w:t>
      </w:r>
      <w:r>
        <w:rPr>
          <w:rFonts w:hint="eastAsia" w:ascii="宋体" w:hAnsi="宋体" w:cs="Arial"/>
          <w:lang w:val="en-US" w:eastAsia="zh-CN"/>
        </w:rPr>
        <w:t>则</w:t>
      </w:r>
      <w:r>
        <w:rPr>
          <w:rFonts w:hint="eastAsia" w:ascii="宋体" w:hAnsi="宋体" w:cs="Arial"/>
        </w:rPr>
        <w:t>其最终实际所得的基金份额为10,005份。</w:t>
      </w:r>
    </w:p>
    <w:p w14:paraId="111D0358">
      <w:pPr>
        <w:adjustRightInd w:val="0"/>
        <w:snapToGrid w:val="0"/>
        <w:spacing w:line="360" w:lineRule="auto"/>
        <w:ind w:firstLine="420" w:firstLineChars="200"/>
        <w:rPr>
          <w:rFonts w:ascii="宋体" w:hAnsi="宋体" w:cs="Arial"/>
        </w:rPr>
      </w:pPr>
      <w:r>
        <w:rPr>
          <w:rFonts w:ascii="宋体" w:hAnsi="宋体" w:cs="Arial"/>
        </w:rPr>
        <w:t>3</w:t>
      </w:r>
      <w:r>
        <w:rPr>
          <w:rFonts w:hint="eastAsia" w:ascii="宋体" w:hAnsi="宋体" w:cs="Arial"/>
        </w:rPr>
        <w:t>、</w:t>
      </w:r>
      <w:r>
        <w:rPr>
          <w:rFonts w:ascii="宋体" w:hAnsi="宋体" w:cs="Arial"/>
        </w:rPr>
        <w:t>认购限额：网下现金认购以基金份额申请。投资人通过发售代理机构办理网下现金认购的，每笔认购份额须为1000份或其整数倍；投资人通过基金管理人办理网下现金认购的，每笔认购份额须在</w:t>
      </w:r>
      <w:r>
        <w:rPr>
          <w:rFonts w:hint="eastAsia" w:ascii="宋体" w:hAnsi="宋体" w:cs="Arial"/>
        </w:rPr>
        <w:t>5</w:t>
      </w:r>
      <w:r>
        <w:rPr>
          <w:rFonts w:ascii="宋体" w:hAnsi="宋体" w:cs="Arial"/>
        </w:rPr>
        <w:t>万份以上（含</w:t>
      </w:r>
      <w:r>
        <w:rPr>
          <w:rFonts w:hint="eastAsia" w:ascii="宋体" w:hAnsi="宋体" w:cs="Arial"/>
        </w:rPr>
        <w:t>5</w:t>
      </w:r>
      <w:r>
        <w:rPr>
          <w:rFonts w:ascii="宋体" w:hAnsi="宋体" w:cs="Arial"/>
        </w:rPr>
        <w:t>万份），投资人可多次认购，累计认购份额不设上限。</w:t>
      </w:r>
    </w:p>
    <w:p w14:paraId="67DDBAA4">
      <w:pPr>
        <w:adjustRightInd w:val="0"/>
        <w:snapToGrid w:val="0"/>
        <w:spacing w:line="360" w:lineRule="auto"/>
        <w:ind w:firstLine="420"/>
        <w:rPr>
          <w:rFonts w:ascii="宋体" w:hAnsi="宋体" w:cs="Arial"/>
        </w:rPr>
      </w:pPr>
      <w:r>
        <w:rPr>
          <w:rFonts w:ascii="宋体" w:hAnsi="宋体" w:cs="Arial"/>
        </w:rPr>
        <w:t>4</w:t>
      </w:r>
      <w:r>
        <w:rPr>
          <w:rFonts w:hint="eastAsia" w:ascii="宋体" w:hAnsi="宋体" w:cs="Arial"/>
        </w:rPr>
        <w:t>、</w:t>
      </w:r>
      <w:r>
        <w:rPr>
          <w:rFonts w:ascii="宋体" w:hAnsi="宋体" w:cs="Arial"/>
        </w:rPr>
        <w:t>认购手续：投资人在认购本基金时，需按销售机构的规定，到销售网点办理相关认购手续，并备足认购资金。网下现金认购申请提交后</w:t>
      </w:r>
      <w:r>
        <w:rPr>
          <w:rFonts w:hint="eastAsia" w:ascii="宋体" w:hAnsi="宋体" w:cs="Arial"/>
        </w:rPr>
        <w:t>在销售机构规定的时间之后</w:t>
      </w:r>
      <w:r>
        <w:rPr>
          <w:rFonts w:ascii="宋体" w:hAnsi="宋体" w:cs="Arial"/>
        </w:rPr>
        <w:t>不得</w:t>
      </w:r>
      <w:r>
        <w:rPr>
          <w:rFonts w:hint="eastAsia" w:ascii="宋体" w:hAnsi="宋体" w:cs="Arial"/>
        </w:rPr>
        <w:t>撤销</w:t>
      </w:r>
      <w:r>
        <w:rPr>
          <w:rFonts w:ascii="宋体" w:hAnsi="宋体" w:cs="Arial"/>
        </w:rPr>
        <w:t>。</w:t>
      </w:r>
    </w:p>
    <w:p w14:paraId="221FCEC0">
      <w:pPr>
        <w:adjustRightInd w:val="0"/>
        <w:snapToGrid w:val="0"/>
        <w:spacing w:line="360" w:lineRule="auto"/>
        <w:ind w:firstLine="420"/>
        <w:rPr>
          <w:rFonts w:ascii="宋体" w:hAnsi="宋体" w:cs="Arial"/>
        </w:rPr>
      </w:pPr>
      <w:r>
        <w:rPr>
          <w:rFonts w:ascii="宋体" w:hAnsi="宋体" w:cs="Arial"/>
        </w:rPr>
        <w:t>5</w:t>
      </w:r>
      <w:r>
        <w:rPr>
          <w:rFonts w:hint="eastAsia" w:ascii="宋体" w:hAnsi="宋体" w:cs="Arial"/>
        </w:rPr>
        <w:t>、</w:t>
      </w:r>
      <w:r>
        <w:rPr>
          <w:rFonts w:ascii="宋体" w:hAnsi="宋体" w:cs="Arial"/>
        </w:rPr>
        <w:t>清算交收：</w:t>
      </w:r>
      <w:r>
        <w:rPr>
          <w:rFonts w:hint="eastAsia" w:ascii="宋体" w:hAnsi="宋体" w:cs="Arial"/>
        </w:rPr>
        <w:t>通过基金管理人提交的网下现金认购申请，由基金管理人进行有效认购款项的清算交收。通过发售代理机构提交的网下现金认购申请，由登记机构进行有效认购款项的清算交收。</w:t>
      </w:r>
    </w:p>
    <w:p w14:paraId="0A074976"/>
    <w:p w14:paraId="36967A39">
      <w:pPr>
        <w:adjustRightInd w:val="0"/>
        <w:snapToGrid w:val="0"/>
        <w:spacing w:line="360" w:lineRule="auto"/>
        <w:ind w:firstLine="0"/>
        <w:rPr>
          <w:rFonts w:ascii="宋体" w:hAnsi="宋体" w:cs="Arial"/>
        </w:rPr>
      </w:pPr>
    </w:p>
    <w:p w14:paraId="30E17F8B">
      <w:pPr>
        <w:adjustRightInd w:val="0"/>
        <w:snapToGrid w:val="0"/>
        <w:spacing w:line="360" w:lineRule="auto"/>
        <w:ind w:firstLine="420"/>
        <w:rPr>
          <w:rFonts w:ascii="宋体" w:hAnsi="宋体" w:cs="Arial"/>
        </w:rPr>
      </w:pPr>
      <w:r>
        <w:rPr>
          <w:rFonts w:ascii="宋体" w:hAnsi="宋体" w:cs="Arial"/>
        </w:rPr>
        <w:t>6</w:t>
      </w:r>
      <w:r>
        <w:rPr>
          <w:rFonts w:hint="eastAsia" w:ascii="宋体" w:hAnsi="宋体" w:cs="Arial"/>
        </w:rPr>
        <w:t>、</w:t>
      </w:r>
      <w:r>
        <w:rPr>
          <w:rFonts w:ascii="宋体" w:hAnsi="宋体" w:cs="Arial"/>
        </w:rPr>
        <w:t>认购确认：</w:t>
      </w:r>
      <w:r>
        <w:rPr>
          <w:rFonts w:hint="eastAsia" w:ascii="宋体" w:hAnsi="宋体" w:cs="Arial"/>
        </w:rPr>
        <w:t>待基金合同生效后</w:t>
      </w:r>
      <w:r>
        <w:rPr>
          <w:rFonts w:ascii="宋体" w:hAnsi="宋体" w:cs="Arial"/>
        </w:rPr>
        <w:t>，投资人可通过其办理认购的销售网点查询认购确认情况。</w:t>
      </w:r>
    </w:p>
    <w:p w14:paraId="60CEE9C1">
      <w:pPr>
        <w:snapToGrid w:val="0"/>
        <w:spacing w:line="360" w:lineRule="auto"/>
        <w:ind w:firstLine="420"/>
        <w:rPr>
          <w:rFonts w:ascii="宋体" w:hAnsi="宋体" w:cs="Arial"/>
          <w:b/>
        </w:rPr>
      </w:pPr>
      <w:bookmarkStart w:id="34" w:name="_Toc276561311"/>
      <w:r>
        <w:rPr>
          <w:rFonts w:ascii="宋体" w:hAnsi="宋体" w:cs="Arial"/>
          <w:b/>
        </w:rPr>
        <w:t>十</w:t>
      </w:r>
      <w:r>
        <w:rPr>
          <w:rFonts w:hint="eastAsia" w:ascii="宋体" w:hAnsi="宋体" w:cs="Arial"/>
          <w:b/>
        </w:rPr>
        <w:t>四</w:t>
      </w:r>
      <w:r>
        <w:rPr>
          <w:rFonts w:ascii="宋体" w:hAnsi="宋体" w:cs="Arial"/>
          <w:b/>
        </w:rPr>
        <w:t>、</w:t>
      </w:r>
      <w:r>
        <w:rPr>
          <w:rFonts w:hint="eastAsia" w:ascii="宋体" w:hAnsi="宋体" w:cs="Arial"/>
          <w:b/>
        </w:rPr>
        <w:t>本基金可设置首次募集规模上限，具体募集上限及规模控制的方案详见基金份额发售公告或其他公告。若本基金设置首次募集规模上限，基金合同生效后不受首次募集规模的限制。</w:t>
      </w:r>
    </w:p>
    <w:p w14:paraId="5736BCA6">
      <w:pPr>
        <w:snapToGrid w:val="0"/>
        <w:spacing w:line="360" w:lineRule="auto"/>
        <w:ind w:firstLine="420"/>
        <w:rPr>
          <w:rFonts w:ascii="宋体" w:hAnsi="宋体" w:cs="Arial"/>
          <w:b/>
        </w:rPr>
      </w:pPr>
      <w:r>
        <w:rPr>
          <w:rFonts w:hint="eastAsia" w:ascii="宋体" w:hAnsi="宋体" w:cs="Arial"/>
          <w:b/>
        </w:rPr>
        <w:t>十五、</w:t>
      </w:r>
      <w:r>
        <w:rPr>
          <w:rFonts w:ascii="宋体" w:hAnsi="宋体" w:cs="Arial"/>
          <w:b/>
        </w:rPr>
        <w:t>募集资金利息的处理方式</w:t>
      </w:r>
      <w:bookmarkEnd w:id="34"/>
    </w:p>
    <w:p w14:paraId="7F12AA2E">
      <w:pPr>
        <w:adjustRightInd w:val="0"/>
        <w:snapToGrid w:val="0"/>
        <w:spacing w:line="360" w:lineRule="auto"/>
        <w:ind w:firstLine="420" w:firstLineChars="200"/>
        <w:rPr>
          <w:rFonts w:ascii="宋体" w:hAnsi="宋体"/>
          <w:szCs w:val="21"/>
        </w:rPr>
      </w:pPr>
      <w:r>
        <w:rPr>
          <w:rFonts w:hint="eastAsia" w:ascii="宋体" w:hAnsi="宋体"/>
          <w:szCs w:val="21"/>
        </w:rPr>
        <w:t>网下现金认购及网上现金认购的有效认购资金在募集期间产生的利息将折算为基金份额归基金份额持有人所有。</w:t>
      </w:r>
    </w:p>
    <w:p w14:paraId="0BBC0DF5">
      <w:pPr>
        <w:snapToGrid w:val="0"/>
        <w:spacing w:line="360" w:lineRule="auto"/>
        <w:ind w:firstLine="420"/>
        <w:rPr>
          <w:rFonts w:ascii="宋体" w:hAnsi="宋体" w:cs="Arial"/>
          <w:b/>
        </w:rPr>
      </w:pPr>
      <w:r>
        <w:rPr>
          <w:rFonts w:hint="eastAsia" w:ascii="宋体" w:hAnsi="宋体" w:cs="Arial"/>
          <w:b/>
        </w:rPr>
        <w:t>十六、募集资金与费用</w:t>
      </w:r>
      <w:r>
        <w:rPr>
          <w:rFonts w:ascii="宋体" w:hAnsi="宋体" w:cs="Arial"/>
          <w:b/>
        </w:rPr>
        <w:t xml:space="preserve"> </w:t>
      </w:r>
    </w:p>
    <w:p w14:paraId="6C33770D">
      <w:pPr>
        <w:adjustRightInd w:val="0"/>
        <w:snapToGrid w:val="0"/>
        <w:spacing w:line="360" w:lineRule="auto"/>
        <w:ind w:firstLine="420" w:firstLineChars="200"/>
        <w:rPr>
          <w:rFonts w:ascii="宋体" w:hAnsi="宋体"/>
          <w:szCs w:val="21"/>
        </w:rPr>
      </w:pPr>
      <w:r>
        <w:rPr>
          <w:rFonts w:hint="eastAsia" w:ascii="宋体" w:hAnsi="宋体"/>
          <w:kern w:val="0"/>
        </w:rPr>
        <w:t>基金管理人应将基金募集期间募集的资金存入专门账户，在基金募集行为结束前，任何人不得动用。</w:t>
      </w:r>
      <w:r>
        <w:rPr>
          <w:rFonts w:hint="eastAsia" w:ascii="宋体" w:hAnsi="宋体" w:cs="宋体"/>
          <w:kern w:val="0"/>
          <w:szCs w:val="21"/>
        </w:rPr>
        <w:t>基金募集期间的信息披露费、会计师费、律师费以及其他费用，不得从基金财产中列支。</w:t>
      </w:r>
    </w:p>
    <w:p w14:paraId="5CC78157">
      <w:pPr>
        <w:adjustRightInd w:val="0"/>
        <w:snapToGrid w:val="0"/>
        <w:spacing w:line="360" w:lineRule="auto"/>
        <w:ind w:firstLine="422" w:firstLineChars="200"/>
        <w:rPr>
          <w:rFonts w:ascii="宋体" w:hAnsi="宋体" w:cs="Arial"/>
          <w:b/>
          <w:bCs/>
        </w:rPr>
      </w:pPr>
      <w:r>
        <w:rPr>
          <w:rFonts w:hint="eastAsia" w:ascii="宋体" w:hAnsi="宋体" w:cs="Arial"/>
          <w:b/>
          <w:bCs/>
        </w:rPr>
        <w:t>十七、增设新的份额类别或发行联接基金等相关业务</w:t>
      </w:r>
    </w:p>
    <w:p w14:paraId="0556AB6A">
      <w:pPr>
        <w:adjustRightInd w:val="0"/>
        <w:snapToGrid w:val="0"/>
        <w:spacing w:line="360" w:lineRule="auto"/>
        <w:ind w:firstLine="420" w:firstLineChars="200"/>
        <w:rPr>
          <w:rFonts w:ascii="宋体" w:hAnsi="宋体" w:cs="Arial"/>
        </w:rPr>
      </w:pPr>
      <w:r>
        <w:rPr>
          <w:rFonts w:hint="eastAsia" w:ascii="宋体" w:hAnsi="宋体" w:cs="Arial"/>
          <w:bCs/>
        </w:rPr>
        <w:t>在不违反法律法规及对基金份额持有人利益无实质性不利影响的前提下，基金管理人可根据基金发展需要，经与基金托管人协商一致</w:t>
      </w:r>
      <w:r>
        <w:rPr>
          <w:rFonts w:hint="eastAsia" w:ascii="宋体" w:hAnsi="宋体" w:cs="Arial"/>
          <w:szCs w:val="21"/>
        </w:rPr>
        <w:t>并履行相关程序后</w:t>
      </w:r>
      <w:r>
        <w:rPr>
          <w:rFonts w:hint="eastAsia" w:ascii="宋体" w:hAnsi="宋体" w:cs="Arial"/>
          <w:bCs/>
        </w:rPr>
        <w:t>，为本基金增设新的份额类别或开通场外申购、赎回相关业务并制定相应的业务规则，或募集并管理以本基金为目标ETF的一只或多只联接基金，无须召开基金份额持有人大会审议。</w:t>
      </w:r>
    </w:p>
    <w:bookmarkEnd w:id="19"/>
    <w:bookmarkEnd w:id="20"/>
    <w:bookmarkEnd w:id="21"/>
    <w:bookmarkEnd w:id="22"/>
    <w:p w14:paraId="17609044">
      <w:pPr>
        <w:adjustRightInd w:val="0"/>
        <w:snapToGrid w:val="0"/>
        <w:spacing w:line="360" w:lineRule="auto"/>
        <w:ind w:firstLine="420" w:firstLineChars="200"/>
        <w:rPr>
          <w:rFonts w:ascii="宋体" w:hAnsi="宋体" w:cs="Arial"/>
          <w:szCs w:val="21"/>
        </w:rPr>
        <w:sectPr>
          <w:footerReference r:id="rId21" w:type="first"/>
          <w:footerReference r:id="rId20" w:type="default"/>
          <w:pgSz w:w="11906" w:h="16838"/>
          <w:pgMar w:top="1440" w:right="1800" w:bottom="1440" w:left="1800" w:header="851" w:footer="992" w:gutter="0"/>
          <w:pgNumType w:start="1"/>
          <w:cols w:space="720" w:num="1"/>
          <w:titlePg/>
          <w:docGrid w:linePitch="312" w:charSpace="0"/>
        </w:sectPr>
      </w:pPr>
      <w:bookmarkStart w:id="35" w:name="_Toc355947447"/>
      <w:bookmarkStart w:id="36" w:name="_Toc237176223"/>
      <w:bookmarkStart w:id="37" w:name="_Toc21073391"/>
      <w:bookmarkStart w:id="38" w:name="_Toc214873597"/>
      <w:bookmarkStart w:id="39" w:name="_Toc12357171"/>
      <w:bookmarkStart w:id="40" w:name="_Toc147463118"/>
    </w:p>
    <w:p w14:paraId="29BF8AAD">
      <w:pPr>
        <w:pStyle w:val="2"/>
        <w:snapToGrid w:val="0"/>
        <w:spacing w:before="0" w:after="0" w:line="360" w:lineRule="auto"/>
        <w:rPr>
          <w:rFonts w:hAnsi="宋体" w:eastAsia="宋体" w:cs="Arial"/>
          <w:b/>
          <w:bCs/>
          <w:sz w:val="28"/>
          <w:szCs w:val="28"/>
        </w:rPr>
      </w:pPr>
      <w:bookmarkStart w:id="41" w:name="_Toc214873596"/>
      <w:bookmarkStart w:id="42" w:name="_Toc15431"/>
      <w:bookmarkStart w:id="43" w:name="_Toc408484002"/>
      <w:r>
        <w:rPr>
          <w:rFonts w:hAnsi="宋体" w:eastAsia="宋体" w:cs="Arial"/>
          <w:b/>
          <w:bCs/>
          <w:sz w:val="28"/>
          <w:szCs w:val="28"/>
        </w:rPr>
        <w:t>第</w:t>
      </w:r>
      <w:r>
        <w:rPr>
          <w:rFonts w:hint="eastAsia" w:hAnsi="宋体" w:eastAsia="宋体" w:cs="Arial"/>
          <w:b/>
          <w:bCs/>
          <w:sz w:val="28"/>
          <w:szCs w:val="28"/>
        </w:rPr>
        <w:t>七</w:t>
      </w:r>
      <w:r>
        <w:rPr>
          <w:rFonts w:hAnsi="宋体" w:eastAsia="宋体" w:cs="Arial"/>
          <w:b/>
          <w:bCs/>
          <w:sz w:val="28"/>
          <w:szCs w:val="28"/>
        </w:rPr>
        <w:t xml:space="preserve">部分  </w:t>
      </w:r>
      <w:bookmarkEnd w:id="41"/>
      <w:r>
        <w:rPr>
          <w:rFonts w:hint="eastAsia" w:hAnsi="宋体" w:eastAsia="宋体" w:cs="Arial"/>
          <w:b/>
          <w:bCs/>
          <w:sz w:val="28"/>
          <w:szCs w:val="28"/>
        </w:rPr>
        <w:t>基金合同的生效</w:t>
      </w:r>
      <w:bookmarkEnd w:id="42"/>
      <w:bookmarkEnd w:id="43"/>
    </w:p>
    <w:p w14:paraId="73ED3D0E">
      <w:pPr>
        <w:spacing w:line="360" w:lineRule="auto"/>
        <w:rPr>
          <w:rFonts w:ascii="宋体" w:hAnsi="宋体"/>
        </w:rPr>
      </w:pPr>
    </w:p>
    <w:p w14:paraId="020B7568">
      <w:pPr>
        <w:adjustRightInd w:val="0"/>
        <w:snapToGrid w:val="0"/>
        <w:spacing w:line="360" w:lineRule="auto"/>
        <w:ind w:firstLine="422" w:firstLineChars="200"/>
        <w:rPr>
          <w:rFonts w:ascii="宋体" w:hAnsi="宋体" w:cs="Arial"/>
          <w:b/>
          <w:kern w:val="0"/>
          <w:szCs w:val="21"/>
        </w:rPr>
      </w:pPr>
      <w:r>
        <w:rPr>
          <w:rFonts w:ascii="宋体" w:hAnsi="宋体" w:cs="Arial"/>
          <w:b/>
          <w:kern w:val="0"/>
          <w:szCs w:val="21"/>
        </w:rPr>
        <w:t>一、基金备案的条件</w:t>
      </w:r>
    </w:p>
    <w:p w14:paraId="0AA2FD42">
      <w:pPr>
        <w:adjustRightInd w:val="0"/>
        <w:snapToGrid w:val="0"/>
        <w:spacing w:line="360" w:lineRule="auto"/>
        <w:ind w:firstLine="420" w:firstLineChars="200"/>
        <w:rPr>
          <w:rFonts w:ascii="宋体" w:hAnsi="宋体" w:cs="Arial"/>
          <w:kern w:val="0"/>
          <w:szCs w:val="21"/>
        </w:rPr>
      </w:pPr>
      <w:r>
        <w:rPr>
          <w:rFonts w:hint="eastAsia" w:ascii="宋体" w:hAnsi="宋体" w:cs="Arial"/>
          <w:kern w:val="0"/>
          <w:szCs w:val="21"/>
        </w:rPr>
        <w:t>本基金自基金份额发售之日起3个月内，在基金募集份额总额不少于2亿份，基金募集金额不少于2 亿元人民币且基金认购人数不少于200人的条件下，基金募集期届满或基金管理人依据法律法规及招募说明书可以决定停止基金发售，并在10日内聘请法定验资机构验资，自收到验资报告之日起10日内，向中国证监会办理基金备案手续。</w:t>
      </w:r>
    </w:p>
    <w:p w14:paraId="4F625BF1">
      <w:pPr>
        <w:adjustRightInd w:val="0"/>
        <w:snapToGrid w:val="0"/>
        <w:spacing w:line="360" w:lineRule="auto"/>
        <w:ind w:firstLine="420" w:firstLineChars="200"/>
        <w:rPr>
          <w:rFonts w:ascii="宋体" w:hAnsi="宋体" w:cs="Arial"/>
          <w:kern w:val="0"/>
          <w:szCs w:val="21"/>
        </w:rPr>
      </w:pPr>
      <w:r>
        <w:rPr>
          <w:rFonts w:hint="eastAsia" w:ascii="宋体" w:hAnsi="宋体" w:cs="Arial"/>
          <w:kern w:val="0"/>
          <w:szCs w:val="21"/>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w:t>
      </w:r>
    </w:p>
    <w:p w14:paraId="754B315C">
      <w:pPr>
        <w:adjustRightInd w:val="0"/>
        <w:snapToGrid w:val="0"/>
        <w:spacing w:line="360" w:lineRule="auto"/>
        <w:ind w:firstLine="420" w:firstLineChars="200"/>
        <w:rPr>
          <w:rFonts w:ascii="宋体" w:hAnsi="宋体" w:cs="Arial"/>
          <w:kern w:val="0"/>
          <w:szCs w:val="21"/>
        </w:rPr>
      </w:pPr>
      <w:r>
        <w:rPr>
          <w:rFonts w:hint="eastAsia" w:ascii="宋体" w:hAnsi="宋体" w:cs="Arial"/>
          <w:kern w:val="0"/>
          <w:szCs w:val="21"/>
        </w:rPr>
        <w:t>基金管理人应将基金募集期间募集的资金存入专门账户，在基金募集行为结束前，任何人不得动用。</w:t>
      </w:r>
    </w:p>
    <w:p w14:paraId="14316037">
      <w:pPr>
        <w:adjustRightInd w:val="0"/>
        <w:snapToGrid w:val="0"/>
        <w:spacing w:line="360" w:lineRule="auto"/>
        <w:ind w:firstLine="422" w:firstLineChars="200"/>
        <w:rPr>
          <w:rFonts w:ascii="宋体" w:hAnsi="宋体"/>
          <w:b/>
        </w:rPr>
      </w:pPr>
      <w:r>
        <w:rPr>
          <w:rFonts w:hint="eastAsia" w:ascii="宋体" w:hAnsi="宋体" w:cs="Arial"/>
          <w:b/>
          <w:kern w:val="0"/>
          <w:szCs w:val="21"/>
        </w:rPr>
        <w:t>二、</w:t>
      </w:r>
      <w:r>
        <w:rPr>
          <w:rFonts w:hint="eastAsia" w:ascii="宋体" w:hAnsi="宋体"/>
          <w:b/>
        </w:rPr>
        <w:t>基金合同不能生效时募集资金的处理方式</w:t>
      </w:r>
    </w:p>
    <w:p w14:paraId="604E2342">
      <w:pPr>
        <w:snapToGrid w:val="0"/>
        <w:spacing w:line="360" w:lineRule="auto"/>
        <w:ind w:firstLine="42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如果募集期限届满，未满足基金备案条件，基金管理人应当承担下列责任：</w:t>
      </w:r>
    </w:p>
    <w:p w14:paraId="444C5A8A">
      <w:pPr>
        <w:snapToGrid w:val="0"/>
        <w:spacing w:line="360" w:lineRule="auto"/>
        <w:ind w:firstLine="42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1、以其固有财产承担因募集行为而产生的债务和费用；</w:t>
      </w:r>
    </w:p>
    <w:p w14:paraId="644B917B">
      <w:pPr>
        <w:snapToGrid w:val="0"/>
        <w:spacing w:line="360" w:lineRule="auto"/>
        <w:ind w:firstLine="42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2、在基金募集期限届满后30日内返还投资者已缴纳的款项，并加计银行同期活期存款利息；</w:t>
      </w:r>
    </w:p>
    <w:p w14:paraId="6BBB54C7">
      <w:pPr>
        <w:snapToGrid w:val="0"/>
        <w:spacing w:line="360" w:lineRule="auto"/>
        <w:ind w:firstLine="42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3、如基金募集失败，基金管理人、基金托管人及销售机构不得请求报酬。</w:t>
      </w:r>
    </w:p>
    <w:p w14:paraId="559EE157">
      <w:pPr>
        <w:snapToGrid w:val="0"/>
        <w:spacing w:line="360" w:lineRule="auto"/>
        <w:ind w:firstLine="42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基金管理人、基金托管人和销售机构为基金募集支付之一切费用应由各方各自承担。</w:t>
      </w:r>
    </w:p>
    <w:p w14:paraId="75D010C4">
      <w:pPr>
        <w:snapToGrid w:val="0"/>
        <w:spacing w:line="360" w:lineRule="auto"/>
        <w:ind w:firstLine="420"/>
        <w:rPr>
          <w:rFonts w:ascii="宋体" w:hAnsi="宋体" w:cs="Arial"/>
          <w:b/>
          <w:kern w:val="0"/>
          <w:szCs w:val="21"/>
        </w:rPr>
      </w:pPr>
      <w:r>
        <w:rPr>
          <w:rFonts w:hint="eastAsia" w:ascii="宋体" w:hAnsi="宋体" w:cs="Arial"/>
          <w:b/>
          <w:kern w:val="0"/>
          <w:szCs w:val="21"/>
        </w:rPr>
        <w:t>三、</w:t>
      </w:r>
      <w:r>
        <w:rPr>
          <w:rFonts w:ascii="宋体" w:hAnsi="宋体" w:cs="Arial"/>
          <w:b/>
          <w:kern w:val="0"/>
          <w:szCs w:val="21"/>
        </w:rPr>
        <w:t>基金存续期内的基金份额持有人数量和资产规模</w:t>
      </w:r>
    </w:p>
    <w:bookmarkEnd w:id="35"/>
    <w:p w14:paraId="18884787">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《基金合同》生效后，连续</w:t>
      </w:r>
      <w:r>
        <w:rPr>
          <w:rFonts w:asciiTheme="minorEastAsia" w:hAnsiTheme="minorEastAsia"/>
          <w:color w:val="0D0D0D" w:themeColor="text1" w:themeTint="F2"/>
          <w:kern w:val="0"/>
          <w14:textFill>
            <w14:solidFill>
              <w14:schemeClr w14:val="tx1">
                <w14:lumMod w14:val="95000"/>
                <w14:lumOff w14:val="5000"/>
              </w14:schemeClr>
            </w14:solidFill>
          </w14:textFill>
        </w:rPr>
        <w:t>20</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个工作日出现基金份额持有人数量不满</w:t>
      </w:r>
      <w:r>
        <w:rPr>
          <w:rFonts w:asciiTheme="minorEastAsia" w:hAnsiTheme="minorEastAsia"/>
          <w:color w:val="0D0D0D" w:themeColor="text1" w:themeTint="F2"/>
          <w:kern w:val="0"/>
          <w14:textFill>
            <w14:solidFill>
              <w14:schemeClr w14:val="tx1">
                <w14:lumMod w14:val="95000"/>
                <w14:lumOff w14:val="5000"/>
              </w14:schemeClr>
            </w14:solidFill>
          </w14:textFill>
        </w:rPr>
        <w:t>200</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人或者基金资产净值低于</w:t>
      </w:r>
      <w:r>
        <w:rPr>
          <w:rFonts w:asciiTheme="minorEastAsia" w:hAnsiTheme="minorEastAsia"/>
          <w:color w:val="0D0D0D" w:themeColor="text1" w:themeTint="F2"/>
          <w:kern w:val="0"/>
          <w14:textFill>
            <w14:solidFill>
              <w14:schemeClr w14:val="tx1">
                <w14:lumMod w14:val="95000"/>
                <w14:lumOff w14:val="5000"/>
              </w14:schemeClr>
            </w14:solidFill>
          </w14:textFill>
        </w:rPr>
        <w:t>5000</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万元情形的，基金管理人应当在定期报告中予以披露；连续60个工作日出现前述情形的，基金管理人应当在十个工作日内向中国证监会报告并提出解决方案，如持续运作、转换运作方式、与其他基金合并或者终止基金合同等，并在六个月内召集基金份额持有人大会。</w:t>
      </w:r>
    </w:p>
    <w:p w14:paraId="5A44C970">
      <w:pPr>
        <w:adjustRightInd w:val="0"/>
        <w:snapToGrid w:val="0"/>
        <w:spacing w:line="360" w:lineRule="auto"/>
        <w:ind w:firstLine="420" w:firstLineChars="200"/>
        <w:rPr>
          <w:rFonts w:ascii="宋体" w:hAnsi="宋体" w:cs="Arial"/>
          <w:bCs/>
          <w:kern w:val="0"/>
          <w:szCs w:val="21"/>
        </w:rPr>
        <w:sectPr>
          <w:footerReference r:id="rId23" w:type="first"/>
          <w:footerReference r:id="rId22" w:type="default"/>
          <w:pgSz w:w="11906" w:h="16838"/>
          <w:pgMar w:top="1440" w:right="1800" w:bottom="1440" w:left="1800" w:header="851" w:footer="992" w:gutter="0"/>
          <w:pgNumType w:start="1"/>
          <w:cols w:space="720" w:num="1"/>
          <w:docGrid w:linePitch="312" w:charSpace="0"/>
        </w:sect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法律法规或中国证监会另有规定时，从其规定。</w:t>
      </w:r>
    </w:p>
    <w:p w14:paraId="1534C6A0">
      <w:pPr>
        <w:pStyle w:val="2"/>
        <w:snapToGrid w:val="0"/>
        <w:spacing w:before="0" w:after="0" w:line="360" w:lineRule="auto"/>
        <w:rPr>
          <w:rFonts w:hAnsi="宋体" w:eastAsia="宋体" w:cs="Arial"/>
          <w:b/>
          <w:bCs/>
          <w:sz w:val="28"/>
          <w:szCs w:val="28"/>
        </w:rPr>
      </w:pPr>
      <w:bookmarkStart w:id="44" w:name="_Toc408484003"/>
      <w:bookmarkStart w:id="45" w:name="_Toc19002"/>
      <w:r>
        <w:rPr>
          <w:rFonts w:hint="eastAsia" w:hAnsi="宋体" w:eastAsia="宋体" w:cs="Arial"/>
          <w:b/>
          <w:bCs/>
          <w:sz w:val="28"/>
          <w:szCs w:val="28"/>
        </w:rPr>
        <w:t>第八部分  基金的份额折算与变更登记</w:t>
      </w:r>
      <w:bookmarkEnd w:id="44"/>
      <w:bookmarkEnd w:id="45"/>
    </w:p>
    <w:p w14:paraId="3CDAD435">
      <w:pPr>
        <w:rPr>
          <w:rFonts w:ascii="宋体" w:hAnsi="宋体"/>
        </w:rPr>
      </w:pPr>
    </w:p>
    <w:p w14:paraId="0722F79A">
      <w:pPr>
        <w:spacing w:line="360" w:lineRule="auto"/>
        <w:ind w:firstLine="420" w:firstLineChars="200"/>
        <w:rPr>
          <w:rFonts w:ascii="宋体" w:hAnsi="宋体"/>
          <w:bCs/>
          <w:szCs w:val="21"/>
        </w:rPr>
      </w:pPr>
      <w:r>
        <w:rPr>
          <w:rFonts w:hint="eastAsia" w:ascii="宋体" w:hAnsi="宋体"/>
          <w:bCs/>
          <w:szCs w:val="21"/>
        </w:rPr>
        <w:t>基金合同生效后，本基金可以进行份额折算。</w:t>
      </w:r>
    </w:p>
    <w:p w14:paraId="5A6713C7">
      <w:pPr>
        <w:spacing w:line="360" w:lineRule="auto"/>
        <w:ind w:firstLine="420" w:firstLineChars="200"/>
        <w:rPr>
          <w:rFonts w:ascii="宋体" w:hAnsi="宋体"/>
          <w:bCs/>
          <w:szCs w:val="21"/>
        </w:rPr>
      </w:pPr>
      <w:r>
        <w:rPr>
          <w:rFonts w:hint="eastAsia" w:ascii="宋体" w:hAnsi="宋体"/>
          <w:bCs/>
          <w:szCs w:val="21"/>
        </w:rPr>
        <w:t>一、基金份额折算的时间</w:t>
      </w:r>
    </w:p>
    <w:p w14:paraId="258FE08F">
      <w:pPr>
        <w:spacing w:line="360" w:lineRule="auto"/>
        <w:ind w:firstLine="420" w:firstLineChars="200"/>
        <w:rPr>
          <w:rFonts w:ascii="宋体" w:hAnsi="宋体"/>
          <w:bCs/>
          <w:szCs w:val="21"/>
        </w:rPr>
      </w:pPr>
      <w:r>
        <w:rPr>
          <w:rFonts w:hint="eastAsia" w:ascii="宋体" w:hAnsi="宋体"/>
          <w:bCs/>
          <w:szCs w:val="21"/>
        </w:rPr>
        <w:t>基金管理人应事先确定基金份额折算日，并依照《信息披露办法》的有关规定进行公告。</w:t>
      </w:r>
    </w:p>
    <w:p w14:paraId="50BBE4FC">
      <w:pPr>
        <w:spacing w:line="360" w:lineRule="auto"/>
        <w:ind w:firstLine="420" w:firstLineChars="200"/>
        <w:rPr>
          <w:rFonts w:ascii="宋体" w:hAnsi="宋体"/>
          <w:bCs/>
          <w:szCs w:val="21"/>
        </w:rPr>
      </w:pPr>
      <w:r>
        <w:rPr>
          <w:rFonts w:hint="eastAsia" w:ascii="宋体" w:hAnsi="宋体"/>
          <w:bCs/>
          <w:szCs w:val="21"/>
        </w:rPr>
        <w:t>二、基金份额折算的原则</w:t>
      </w:r>
    </w:p>
    <w:p w14:paraId="14F1F1E7">
      <w:pPr>
        <w:spacing w:line="360" w:lineRule="auto"/>
        <w:ind w:firstLine="420" w:firstLineChars="200"/>
        <w:rPr>
          <w:rFonts w:ascii="宋体" w:hAnsi="宋体"/>
          <w:bCs/>
          <w:szCs w:val="21"/>
        </w:rPr>
      </w:pPr>
      <w:r>
        <w:rPr>
          <w:rFonts w:hint="eastAsia" w:ascii="宋体" w:hAnsi="宋体"/>
          <w:bCs/>
          <w:szCs w:val="21"/>
        </w:rPr>
        <w:t>基金份额折算由基金管理人向登记机构申请办理，并由登记机构进行基金份额的变更登记。</w:t>
      </w:r>
    </w:p>
    <w:p w14:paraId="7E29626C">
      <w:pPr>
        <w:spacing w:line="360" w:lineRule="auto"/>
        <w:ind w:firstLine="420" w:firstLineChars="200"/>
        <w:rPr>
          <w:rFonts w:ascii="宋体" w:hAnsi="宋体"/>
          <w:bCs/>
          <w:szCs w:val="21"/>
        </w:rPr>
      </w:pPr>
      <w:r>
        <w:rPr>
          <w:rFonts w:hint="eastAsia" w:ascii="宋体" w:hAnsi="宋体"/>
          <w:bCs/>
          <w:szCs w:val="21"/>
        </w:rPr>
        <w:t>基金份额折算后，本基金的基金份额总额与基金份额持有人持有的基金份额数额将发生调整，但调整后的基金份额持有人持有的基金份额占基金份额总额的比例不发生变化。基金份额折算对基金份额持有人的权益无实质性影响（因尾数处理而产生的损益不视为实质性影响）。基金份额折算后，基金份额持有人将按照折算后的基金份额享有权利并承担义务。</w:t>
      </w:r>
    </w:p>
    <w:p w14:paraId="1D2576D3">
      <w:pPr>
        <w:spacing w:line="360" w:lineRule="auto"/>
        <w:ind w:firstLine="420" w:firstLineChars="200"/>
        <w:rPr>
          <w:rFonts w:ascii="宋体" w:hAnsi="宋体"/>
          <w:bCs/>
          <w:szCs w:val="21"/>
        </w:rPr>
      </w:pPr>
      <w:r>
        <w:rPr>
          <w:rFonts w:hint="eastAsia" w:ascii="宋体" w:hAnsi="宋体"/>
          <w:bCs/>
          <w:szCs w:val="21"/>
        </w:rPr>
        <w:t>如果基金份额折算过程中发生不可抗力，基金管理人可延迟办理基金份额折算。</w:t>
      </w:r>
    </w:p>
    <w:p w14:paraId="6CB6E8B0">
      <w:pPr>
        <w:spacing w:line="360" w:lineRule="auto"/>
        <w:ind w:firstLine="420" w:firstLineChars="200"/>
        <w:rPr>
          <w:rFonts w:ascii="宋体" w:hAnsi="宋体"/>
          <w:bCs/>
          <w:szCs w:val="21"/>
        </w:rPr>
      </w:pPr>
      <w:r>
        <w:rPr>
          <w:rFonts w:hint="eastAsia" w:ascii="宋体" w:hAnsi="宋体"/>
          <w:bCs/>
          <w:szCs w:val="21"/>
        </w:rPr>
        <w:t>三、基金份额折算的方法</w:t>
      </w:r>
    </w:p>
    <w:p w14:paraId="42D66151">
      <w:pPr>
        <w:spacing w:line="360" w:lineRule="auto"/>
        <w:ind w:firstLine="420" w:firstLineChars="200"/>
        <w:rPr>
          <w:rFonts w:ascii="宋体" w:hAnsi="宋体"/>
          <w:bCs/>
          <w:szCs w:val="21"/>
        </w:rPr>
      </w:pPr>
      <w:r>
        <w:rPr>
          <w:rFonts w:hint="eastAsia" w:ascii="宋体" w:hAnsi="宋体"/>
          <w:bCs/>
          <w:szCs w:val="21"/>
        </w:rPr>
        <w:t>基金份额折算的具体方法在份额折算公告中列示。</w:t>
      </w:r>
    </w:p>
    <w:p w14:paraId="165CE3CB">
      <w:pPr>
        <w:ind w:firstLine="315"/>
      </w:pPr>
    </w:p>
    <w:p w14:paraId="6E538D4E">
      <w:pPr>
        <w:ind w:firstLine="360"/>
      </w:pPr>
    </w:p>
    <w:p w14:paraId="4D257EEB">
      <w:pPr>
        <w:ind w:firstLine="360"/>
        <w:sectPr>
          <w:footerReference r:id="rId24" w:type="default"/>
          <w:pgSz w:w="11906" w:h="16838"/>
          <w:pgMar w:top="1440" w:right="1800" w:bottom="1440" w:left="1800" w:header="851" w:footer="992" w:gutter="0"/>
          <w:pgNumType w:start="1"/>
          <w:cols w:space="720" w:num="1"/>
          <w:docGrid w:linePitch="312" w:charSpace="0"/>
        </w:sectPr>
      </w:pPr>
    </w:p>
    <w:p w14:paraId="0F1A9F92">
      <w:pPr>
        <w:pStyle w:val="2"/>
        <w:snapToGrid w:val="0"/>
        <w:spacing w:before="0" w:after="0" w:line="360" w:lineRule="auto"/>
        <w:ind w:firstLine="422" w:firstLineChars="150"/>
        <w:rPr>
          <w:rFonts w:hAnsi="宋体" w:eastAsia="宋体" w:cs="Arial"/>
          <w:b/>
          <w:bCs/>
          <w:sz w:val="28"/>
          <w:szCs w:val="28"/>
        </w:rPr>
      </w:pPr>
      <w:bookmarkStart w:id="46" w:name="_Toc16078"/>
      <w:r>
        <w:rPr>
          <w:rFonts w:hAnsi="宋体" w:eastAsia="宋体" w:cs="Arial"/>
          <w:b/>
          <w:bCs/>
          <w:sz w:val="28"/>
          <w:szCs w:val="28"/>
        </w:rPr>
        <w:t>第</w:t>
      </w:r>
      <w:r>
        <w:rPr>
          <w:rFonts w:hint="eastAsia" w:hAnsi="宋体" w:eastAsia="宋体" w:cs="Arial"/>
          <w:b/>
          <w:bCs/>
          <w:sz w:val="28"/>
          <w:szCs w:val="28"/>
        </w:rPr>
        <w:t>九</w:t>
      </w:r>
      <w:r>
        <w:rPr>
          <w:rFonts w:hAnsi="宋体" w:eastAsia="宋体" w:cs="Arial"/>
          <w:b/>
          <w:bCs/>
          <w:sz w:val="28"/>
          <w:szCs w:val="28"/>
        </w:rPr>
        <w:t>部分  基金份额的</w:t>
      </w:r>
      <w:r>
        <w:rPr>
          <w:rFonts w:hint="eastAsia" w:hAnsi="宋体" w:eastAsia="宋体" w:cs="Arial"/>
          <w:b/>
          <w:bCs/>
          <w:sz w:val="28"/>
          <w:szCs w:val="28"/>
        </w:rPr>
        <w:t>上市</w:t>
      </w:r>
      <w:r>
        <w:rPr>
          <w:rFonts w:hAnsi="宋体" w:eastAsia="宋体" w:cs="Arial"/>
          <w:b/>
          <w:bCs/>
          <w:sz w:val="28"/>
          <w:szCs w:val="28"/>
        </w:rPr>
        <w:t>交易</w:t>
      </w:r>
      <w:bookmarkEnd w:id="36"/>
      <w:bookmarkEnd w:id="46"/>
    </w:p>
    <w:p w14:paraId="29C8D9D5">
      <w:pPr>
        <w:adjustRightInd w:val="0"/>
        <w:snapToGrid w:val="0"/>
        <w:spacing w:line="360" w:lineRule="auto"/>
        <w:ind w:firstLine="422" w:firstLineChars="200"/>
        <w:rPr>
          <w:rFonts w:ascii="宋体" w:hAnsi="宋体" w:cs="Arial"/>
          <w:b/>
          <w:bCs/>
          <w:kern w:val="0"/>
          <w:szCs w:val="21"/>
        </w:rPr>
      </w:pPr>
      <w:r>
        <w:rPr>
          <w:rFonts w:hint="eastAsia" w:ascii="宋体" w:hAnsi="宋体" w:cs="Arial"/>
          <w:b/>
          <w:bCs/>
          <w:kern w:val="0"/>
          <w:szCs w:val="21"/>
        </w:rPr>
        <w:t>一、基金上市</w:t>
      </w:r>
    </w:p>
    <w:p w14:paraId="2C1D92B2">
      <w:pPr>
        <w:adjustRightInd w:val="0"/>
        <w:snapToGrid w:val="0"/>
        <w:spacing w:line="360" w:lineRule="auto"/>
        <w:ind w:firstLine="420" w:firstLineChars="200"/>
        <w:rPr>
          <w:rFonts w:ascii="宋体" w:hAnsi="宋体" w:cs="Arial"/>
          <w:bCs/>
          <w:kern w:val="0"/>
          <w:szCs w:val="21"/>
        </w:rPr>
      </w:pPr>
      <w:r>
        <w:rPr>
          <w:rFonts w:hint="eastAsia" w:ascii="宋体" w:hAnsi="宋体" w:cs="Arial"/>
          <w:bCs/>
          <w:kern w:val="0"/>
          <w:szCs w:val="21"/>
        </w:rPr>
        <w:t>基金合同生效后，如基金具备如下条件，在符合上海证券交易所相关规定的条件下，本基金可申请在上海证券交易所上市交易。</w:t>
      </w:r>
    </w:p>
    <w:p w14:paraId="047D33FC">
      <w:pPr>
        <w:adjustRightInd w:val="0"/>
        <w:snapToGrid w:val="0"/>
        <w:spacing w:line="360" w:lineRule="auto"/>
        <w:ind w:firstLine="420" w:firstLineChars="200"/>
        <w:rPr>
          <w:rFonts w:ascii="宋体" w:hAnsi="宋体" w:cs="Arial"/>
          <w:bCs/>
          <w:kern w:val="0"/>
          <w:szCs w:val="21"/>
        </w:rPr>
      </w:pPr>
      <w:r>
        <w:rPr>
          <w:rFonts w:hint="eastAsia" w:ascii="宋体" w:hAnsi="宋体" w:cs="Arial"/>
          <w:bCs/>
          <w:kern w:val="0"/>
          <w:szCs w:val="21"/>
        </w:rPr>
        <w:t>1、本基金场内资产净值不少于2亿元；</w:t>
      </w:r>
    </w:p>
    <w:p w14:paraId="641FA03D">
      <w:pPr>
        <w:adjustRightInd w:val="0"/>
        <w:snapToGrid w:val="0"/>
        <w:spacing w:line="360" w:lineRule="auto"/>
        <w:ind w:firstLine="420" w:firstLineChars="200"/>
        <w:rPr>
          <w:rFonts w:ascii="宋体" w:hAnsi="宋体" w:cs="Arial"/>
          <w:bCs/>
          <w:kern w:val="0"/>
          <w:szCs w:val="21"/>
        </w:rPr>
      </w:pPr>
      <w:r>
        <w:rPr>
          <w:rFonts w:hint="eastAsia" w:ascii="宋体" w:hAnsi="宋体" w:cs="Arial"/>
          <w:bCs/>
          <w:kern w:val="0"/>
          <w:szCs w:val="21"/>
        </w:rPr>
        <w:t>2、本基金场内份额持有人不少于1000人；</w:t>
      </w:r>
    </w:p>
    <w:p w14:paraId="731F3F26">
      <w:pPr>
        <w:adjustRightInd w:val="0"/>
        <w:snapToGrid w:val="0"/>
        <w:spacing w:line="360" w:lineRule="auto"/>
        <w:ind w:firstLine="420" w:firstLineChars="200"/>
        <w:rPr>
          <w:rFonts w:ascii="宋体" w:hAnsi="宋体" w:cs="Arial"/>
          <w:bCs/>
          <w:kern w:val="0"/>
          <w:szCs w:val="21"/>
        </w:rPr>
      </w:pPr>
      <w:r>
        <w:rPr>
          <w:rFonts w:hint="eastAsia" w:ascii="宋体" w:hAnsi="宋体" w:cs="Arial"/>
          <w:bCs/>
          <w:kern w:val="0"/>
          <w:szCs w:val="21"/>
        </w:rPr>
        <w:t>3、符合法律法规或上海证券交易所规定的其他条件。</w:t>
      </w:r>
    </w:p>
    <w:p w14:paraId="042F69B4">
      <w:pPr>
        <w:adjustRightInd w:val="0"/>
        <w:snapToGrid w:val="0"/>
        <w:spacing w:line="360" w:lineRule="auto"/>
        <w:ind w:firstLine="420" w:firstLineChars="200"/>
        <w:rPr>
          <w:rFonts w:ascii="宋体" w:hAnsi="宋体" w:cs="Arial"/>
          <w:bCs/>
          <w:kern w:val="0"/>
          <w:szCs w:val="21"/>
        </w:rPr>
      </w:pPr>
      <w:r>
        <w:rPr>
          <w:rFonts w:hint="eastAsia" w:ascii="宋体" w:hAnsi="宋体" w:cs="Arial"/>
          <w:bCs/>
          <w:kern w:val="0"/>
          <w:szCs w:val="21"/>
        </w:rPr>
        <w:t>基金上市前，基金管理人应与上海证券交易所签订上市协议书。基金获准在上海证券交易所上市的，基金管理人应按照相关规定发布基金上市交易公告书。</w:t>
      </w:r>
    </w:p>
    <w:p w14:paraId="42E3640C">
      <w:pPr>
        <w:adjustRightInd w:val="0"/>
        <w:snapToGrid w:val="0"/>
        <w:spacing w:line="360" w:lineRule="auto"/>
        <w:ind w:firstLine="422" w:firstLineChars="200"/>
        <w:rPr>
          <w:rFonts w:ascii="宋体" w:hAnsi="宋体" w:cs="Arial"/>
          <w:b/>
          <w:bCs/>
          <w:kern w:val="0"/>
          <w:szCs w:val="21"/>
        </w:rPr>
      </w:pPr>
      <w:r>
        <w:rPr>
          <w:rFonts w:hint="eastAsia" w:ascii="宋体" w:hAnsi="宋体" w:cs="Arial"/>
          <w:b/>
          <w:bCs/>
          <w:kern w:val="0"/>
          <w:szCs w:val="21"/>
        </w:rPr>
        <w:t>二、基金份额的上市交易</w:t>
      </w:r>
    </w:p>
    <w:p w14:paraId="44596077">
      <w:pPr>
        <w:adjustRightInd w:val="0"/>
        <w:snapToGrid w:val="0"/>
        <w:spacing w:line="360" w:lineRule="auto"/>
        <w:ind w:firstLine="420" w:firstLineChars="200"/>
        <w:rPr>
          <w:rFonts w:ascii="宋体" w:hAnsi="宋体" w:cs="Arial"/>
          <w:bCs/>
          <w:kern w:val="0"/>
          <w:szCs w:val="21"/>
        </w:rPr>
      </w:pPr>
      <w:r>
        <w:rPr>
          <w:rFonts w:hint="eastAsia" w:ascii="宋体" w:hAnsi="宋体" w:cs="Arial"/>
          <w:bCs/>
          <w:kern w:val="0"/>
          <w:szCs w:val="21"/>
        </w:rPr>
        <w:t>基金份额在上海证券交易所的上市交易应遵照《上海证券交易所交易规则》、《上海证券交易所证券投资基金上市规则》、《上海证券交易所交易型开放式指数基金业务实施细则》等有关规定。</w:t>
      </w:r>
    </w:p>
    <w:p w14:paraId="2A524B27">
      <w:pPr>
        <w:adjustRightInd w:val="0"/>
        <w:snapToGrid w:val="0"/>
        <w:spacing w:line="360" w:lineRule="auto"/>
        <w:ind w:firstLine="422" w:firstLineChars="200"/>
        <w:rPr>
          <w:rFonts w:ascii="宋体" w:hAnsi="宋体" w:cs="Arial"/>
          <w:b/>
          <w:bCs/>
          <w:kern w:val="0"/>
          <w:szCs w:val="21"/>
        </w:rPr>
      </w:pPr>
      <w:r>
        <w:rPr>
          <w:rFonts w:hint="eastAsia" w:ascii="宋体" w:hAnsi="宋体" w:cs="Arial"/>
          <w:b/>
          <w:bCs/>
          <w:kern w:val="0"/>
          <w:szCs w:val="21"/>
        </w:rPr>
        <w:t>三、终止上市交易</w:t>
      </w:r>
    </w:p>
    <w:p w14:paraId="6A71B201">
      <w:pPr>
        <w:adjustRightInd w:val="0"/>
        <w:snapToGrid w:val="0"/>
        <w:spacing w:line="360" w:lineRule="auto"/>
        <w:ind w:firstLine="420" w:firstLineChars="200"/>
        <w:rPr>
          <w:rFonts w:ascii="宋体" w:hAnsi="宋体" w:cs="Arial"/>
          <w:bCs/>
          <w:kern w:val="0"/>
          <w:szCs w:val="21"/>
        </w:rPr>
      </w:pPr>
      <w:r>
        <w:rPr>
          <w:rFonts w:hint="eastAsia" w:ascii="宋体" w:hAnsi="宋体" w:cs="Arial"/>
          <w:bCs/>
          <w:kern w:val="0"/>
          <w:szCs w:val="21"/>
        </w:rPr>
        <w:t>基金份额上市交易后，有下列情形的，上海证券交易所可终止基金的上市交易：</w:t>
      </w:r>
    </w:p>
    <w:p w14:paraId="67AA159E">
      <w:pPr>
        <w:adjustRightInd w:val="0"/>
        <w:snapToGrid w:val="0"/>
        <w:spacing w:line="360" w:lineRule="auto"/>
        <w:ind w:firstLine="420" w:firstLineChars="200"/>
        <w:rPr>
          <w:rFonts w:ascii="宋体" w:hAnsi="宋体" w:cs="Arial"/>
          <w:bCs/>
          <w:kern w:val="0"/>
          <w:szCs w:val="21"/>
        </w:rPr>
      </w:pPr>
      <w:r>
        <w:rPr>
          <w:rFonts w:hint="eastAsia" w:ascii="宋体" w:hAnsi="宋体" w:cs="Arial"/>
          <w:bCs/>
          <w:kern w:val="0"/>
          <w:szCs w:val="21"/>
        </w:rPr>
        <w:t>1、不再具备本部分第一条规定的上市条件；</w:t>
      </w:r>
    </w:p>
    <w:p w14:paraId="155EBEA5">
      <w:pPr>
        <w:adjustRightInd w:val="0"/>
        <w:snapToGrid w:val="0"/>
        <w:spacing w:line="360" w:lineRule="auto"/>
        <w:ind w:firstLine="420" w:firstLineChars="200"/>
        <w:rPr>
          <w:rFonts w:ascii="宋体" w:hAnsi="宋体" w:cs="Arial"/>
          <w:bCs/>
          <w:kern w:val="0"/>
          <w:szCs w:val="21"/>
        </w:rPr>
      </w:pPr>
      <w:r>
        <w:rPr>
          <w:rFonts w:hint="eastAsia" w:ascii="宋体" w:hAnsi="宋体" w:cs="Arial"/>
          <w:bCs/>
          <w:kern w:val="0"/>
          <w:szCs w:val="21"/>
        </w:rPr>
        <w:t>2、基金合同终止；</w:t>
      </w:r>
    </w:p>
    <w:p w14:paraId="28366A0B">
      <w:pPr>
        <w:adjustRightInd w:val="0"/>
        <w:snapToGrid w:val="0"/>
        <w:spacing w:line="360" w:lineRule="auto"/>
        <w:ind w:firstLine="420" w:firstLineChars="200"/>
        <w:rPr>
          <w:rFonts w:ascii="宋体" w:hAnsi="宋体" w:cs="Arial"/>
          <w:bCs/>
          <w:kern w:val="0"/>
          <w:szCs w:val="21"/>
        </w:rPr>
      </w:pPr>
      <w:r>
        <w:rPr>
          <w:rFonts w:hint="eastAsia" w:ascii="宋体" w:hAnsi="宋体" w:cs="Arial"/>
          <w:bCs/>
          <w:kern w:val="0"/>
          <w:szCs w:val="21"/>
        </w:rPr>
        <w:t>3、基金份额持有人大会决定终止上市；</w:t>
      </w:r>
    </w:p>
    <w:p w14:paraId="5E7AC566">
      <w:pPr>
        <w:adjustRightInd w:val="0"/>
        <w:snapToGrid w:val="0"/>
        <w:spacing w:line="360" w:lineRule="auto"/>
        <w:ind w:firstLine="420" w:firstLineChars="200"/>
        <w:rPr>
          <w:rFonts w:ascii="宋体" w:hAnsi="宋体" w:cs="Arial"/>
          <w:bCs/>
          <w:kern w:val="0"/>
          <w:szCs w:val="21"/>
        </w:rPr>
      </w:pPr>
      <w:r>
        <w:rPr>
          <w:rFonts w:hint="eastAsia" w:ascii="宋体" w:hAnsi="宋体" w:cs="Arial"/>
          <w:bCs/>
          <w:kern w:val="0"/>
          <w:szCs w:val="21"/>
        </w:rPr>
        <w:t>4、基金合同约定的终止上市的其他情形；</w:t>
      </w:r>
    </w:p>
    <w:p w14:paraId="7D32CE53">
      <w:pPr>
        <w:adjustRightInd w:val="0"/>
        <w:snapToGrid w:val="0"/>
        <w:spacing w:line="360" w:lineRule="auto"/>
        <w:ind w:firstLine="420" w:firstLineChars="200"/>
        <w:rPr>
          <w:rFonts w:ascii="宋体" w:hAnsi="宋体" w:cs="Arial"/>
          <w:bCs/>
          <w:kern w:val="0"/>
          <w:szCs w:val="21"/>
        </w:rPr>
      </w:pPr>
      <w:r>
        <w:rPr>
          <w:rFonts w:hint="eastAsia" w:ascii="宋体" w:hAnsi="宋体" w:cs="Arial"/>
          <w:bCs/>
          <w:kern w:val="0"/>
          <w:szCs w:val="21"/>
        </w:rPr>
        <w:t xml:space="preserve">5、上海证券交易所认为应当终止上市的其他情形。 </w:t>
      </w:r>
    </w:p>
    <w:p w14:paraId="5FD7DC6C">
      <w:pPr>
        <w:adjustRightInd w:val="0"/>
        <w:snapToGrid w:val="0"/>
        <w:spacing w:line="360" w:lineRule="auto"/>
        <w:ind w:firstLine="420" w:firstLineChars="200"/>
        <w:rPr>
          <w:rFonts w:ascii="宋体" w:hAnsi="宋体" w:cs="Arial"/>
          <w:bCs/>
          <w:kern w:val="0"/>
          <w:szCs w:val="21"/>
        </w:rPr>
      </w:pPr>
      <w:r>
        <w:rPr>
          <w:rFonts w:hint="eastAsia" w:ascii="宋体" w:hAnsi="宋体" w:cs="Arial"/>
          <w:bCs/>
          <w:kern w:val="0"/>
          <w:szCs w:val="21"/>
        </w:rPr>
        <w:t xml:space="preserve">基金管理人应当在收到上海证券交易所终止基金上市的决定之日起依照《信息披露办法》发布基金终止上市公告。 </w:t>
      </w:r>
    </w:p>
    <w:p w14:paraId="1EA67EC3">
      <w:pPr>
        <w:adjustRightInd w:val="0"/>
        <w:snapToGrid w:val="0"/>
        <w:spacing w:line="360" w:lineRule="auto"/>
        <w:ind w:firstLine="420" w:firstLineChars="200"/>
        <w:rPr>
          <w:rFonts w:ascii="宋体" w:hAnsi="宋体" w:cs="Arial"/>
          <w:bCs/>
          <w:kern w:val="0"/>
          <w:szCs w:val="21"/>
        </w:rPr>
      </w:pPr>
      <w:r>
        <w:rPr>
          <w:rFonts w:hint="eastAsia" w:ascii="宋体" w:hAnsi="宋体" w:cs="Arial"/>
          <w:bCs/>
          <w:kern w:val="0"/>
          <w:szCs w:val="21"/>
        </w:rPr>
        <w:t>若因上述1、4、5项等原因使本基金不再具备上市条件而被上海证券交易所终止上市的，本基金将由交易型开放式基金变更为跟踪标的指数的非上市的开放式指数基金，而无需召开基金份额持有人大会。若届时本基金管理人已有以该指数作为标的指数的指数基金，则本基金将本着维护投资者合法权益的原则，履行适当的程序后与该指数基金合并或选取其他合适的指数作为标的指数。</w:t>
      </w:r>
    </w:p>
    <w:p w14:paraId="438CE9FF">
      <w:pPr>
        <w:adjustRightInd w:val="0"/>
        <w:snapToGrid w:val="0"/>
        <w:spacing w:line="360" w:lineRule="auto"/>
        <w:ind w:firstLine="422" w:firstLineChars="200"/>
        <w:rPr>
          <w:rFonts w:ascii="宋体" w:hAnsi="宋体" w:cs="Arial"/>
          <w:b/>
          <w:kern w:val="0"/>
          <w:szCs w:val="21"/>
        </w:rPr>
      </w:pPr>
      <w:r>
        <w:rPr>
          <w:rFonts w:hint="eastAsia" w:ascii="宋体" w:hAnsi="宋体" w:cs="Arial"/>
          <w:b/>
          <w:kern w:val="0"/>
          <w:szCs w:val="21"/>
        </w:rPr>
        <w:t>四</w:t>
      </w:r>
      <w:r>
        <w:rPr>
          <w:rFonts w:ascii="宋体" w:hAnsi="宋体" w:cs="Arial"/>
          <w:b/>
          <w:kern w:val="0"/>
          <w:szCs w:val="21"/>
        </w:rPr>
        <w:t>、</w:t>
      </w:r>
      <w:r>
        <w:rPr>
          <w:rFonts w:hint="eastAsia" w:ascii="宋体" w:hAnsi="宋体" w:cs="Arial"/>
          <w:b/>
          <w:kern w:val="0"/>
          <w:szCs w:val="21"/>
        </w:rPr>
        <w:t>基金份额参考净值的计算与公告</w:t>
      </w:r>
    </w:p>
    <w:p w14:paraId="37FC21FA">
      <w:pPr>
        <w:adjustRightInd w:val="0"/>
        <w:snapToGrid w:val="0"/>
        <w:spacing w:line="360" w:lineRule="auto"/>
        <w:ind w:firstLine="420" w:firstLineChars="200"/>
        <w:rPr>
          <w:rFonts w:ascii="宋体" w:hAnsi="宋体" w:cs="Arial"/>
          <w:kern w:val="0"/>
          <w:szCs w:val="21"/>
        </w:rPr>
      </w:pPr>
      <w:r>
        <w:rPr>
          <w:rFonts w:hint="eastAsia" w:ascii="宋体" w:hAnsi="宋体" w:cs="Arial"/>
          <w:kern w:val="0"/>
          <w:szCs w:val="21"/>
        </w:rPr>
        <w:t>基金管理人或基金管理人委托的机构在开市后根据基金管理人提供的申购赎回清单和组合证券内各只证券的实时成交数据及汇率数据计算并通过上海证券交易所发布的基金份额参考净值，供投资人交易、申购、赎回基金份额时参考。</w:t>
      </w:r>
    </w:p>
    <w:p w14:paraId="0CCF17C7">
      <w:pPr>
        <w:adjustRightInd w:val="0"/>
        <w:snapToGrid w:val="0"/>
        <w:spacing w:line="360" w:lineRule="auto"/>
        <w:ind w:firstLine="420" w:firstLineChars="200"/>
        <w:rPr>
          <w:rFonts w:ascii="宋体" w:hAnsi="宋体" w:cs="Arial"/>
          <w:kern w:val="0"/>
          <w:szCs w:val="21"/>
        </w:rPr>
      </w:pPr>
      <w:r>
        <w:rPr>
          <w:rFonts w:hint="eastAsia" w:ascii="宋体" w:hAnsi="宋体" w:cs="Arial"/>
          <w:kern w:val="0"/>
          <w:szCs w:val="21"/>
        </w:rPr>
        <w:t>（1）基金份额参考净值的计算公式：</w:t>
      </w:r>
    </w:p>
    <w:p w14:paraId="04B38C94">
      <w:pPr>
        <w:adjustRightInd w:val="0"/>
        <w:snapToGrid w:val="0"/>
        <w:spacing w:line="360" w:lineRule="auto"/>
        <w:ind w:left="2268" w:leftChars="200" w:hanging="1848" w:hangingChars="880"/>
        <w:rPr>
          <w:rFonts w:ascii="宋体" w:hAnsi="宋体" w:cs="Arial"/>
          <w:kern w:val="0"/>
          <w:szCs w:val="21"/>
        </w:rPr>
      </w:pPr>
      <w:r>
        <w:rPr>
          <w:rFonts w:hint="eastAsia" w:ascii="宋体" w:hAnsi="宋体" w:cs="Arial"/>
          <w:kern w:val="0"/>
          <w:szCs w:val="21"/>
        </w:rPr>
        <w:t>基金份额参考净值＝（申购赎回清单中必须用现金替代的固定替代金额总额＋申购赎回清单中</w:t>
      </w:r>
      <w:r>
        <w:rPr>
          <w:rFonts w:hint="eastAsia" w:ascii="宋体" w:hAnsi="宋体" w:cs="Arial"/>
          <w:kern w:val="0"/>
          <w:szCs w:val="21"/>
          <w:highlight w:val="none"/>
          <w:lang w:val="en-US" w:eastAsia="zh-CN"/>
        </w:rPr>
        <w:t>可以</w:t>
      </w:r>
      <w:r>
        <w:rPr>
          <w:rFonts w:hint="eastAsia" w:ascii="宋体" w:hAnsi="宋体" w:cs="Arial"/>
          <w:kern w:val="0"/>
          <w:szCs w:val="21"/>
        </w:rPr>
        <w:t>现金替代成份证券的数量、最新成交价以及汇率公允价的乘积之和＋申购赎回清单中的预估现金部分）／最小申购赎回单位所对应的基金份额</w:t>
      </w:r>
    </w:p>
    <w:p w14:paraId="3E27B2C8">
      <w:pPr>
        <w:adjustRightInd w:val="0"/>
        <w:snapToGrid w:val="0"/>
        <w:spacing w:line="360" w:lineRule="auto"/>
        <w:ind w:firstLine="420" w:firstLineChars="200"/>
        <w:rPr>
          <w:rFonts w:ascii="宋体" w:hAnsi="宋体" w:cs="Arial"/>
          <w:kern w:val="0"/>
          <w:szCs w:val="21"/>
        </w:rPr>
      </w:pPr>
      <w:r>
        <w:rPr>
          <w:rFonts w:hint="eastAsia" w:ascii="宋体" w:hAnsi="宋体" w:cs="Arial"/>
          <w:kern w:val="0"/>
          <w:szCs w:val="21"/>
        </w:rPr>
        <w:t>（2）汇率公允价包括指数公司在发布和计算境外指数产品中采用的实时汇率价格、基金管理人审慎决定的其他公允价格等。</w:t>
      </w:r>
    </w:p>
    <w:p w14:paraId="39A2DFFC">
      <w:pPr>
        <w:adjustRightInd w:val="0"/>
        <w:snapToGrid w:val="0"/>
        <w:spacing w:line="360" w:lineRule="auto"/>
        <w:ind w:firstLine="420" w:firstLineChars="200"/>
        <w:rPr>
          <w:rFonts w:ascii="宋体" w:hAnsi="宋体" w:cs="Arial"/>
          <w:kern w:val="0"/>
          <w:szCs w:val="21"/>
        </w:rPr>
      </w:pPr>
      <w:r>
        <w:rPr>
          <w:rFonts w:hint="eastAsia" w:ascii="宋体" w:hAnsi="宋体" w:cs="Arial"/>
          <w:kern w:val="0"/>
          <w:szCs w:val="21"/>
        </w:rPr>
        <w:t>（3）基金份额参考净值的计算以四舍五入的方法保留小数点后4位。</w:t>
      </w:r>
    </w:p>
    <w:p w14:paraId="67405744">
      <w:pPr>
        <w:adjustRightInd w:val="0"/>
        <w:snapToGrid w:val="0"/>
        <w:spacing w:line="360" w:lineRule="auto"/>
        <w:ind w:firstLine="420" w:firstLineChars="200"/>
        <w:rPr>
          <w:rFonts w:ascii="宋体" w:hAnsi="宋体" w:cs="Arial"/>
          <w:kern w:val="0"/>
          <w:szCs w:val="21"/>
        </w:rPr>
      </w:pPr>
      <w:r>
        <w:rPr>
          <w:rFonts w:hint="eastAsia" w:ascii="宋体" w:hAnsi="宋体" w:cs="Arial"/>
          <w:kern w:val="0"/>
          <w:szCs w:val="21"/>
        </w:rPr>
        <w:t>（4）上海证券交易所和基金管理人可以调整基金份额参考净值的计算方法及保留的小数点位数，并予以公告。</w:t>
      </w:r>
    </w:p>
    <w:p w14:paraId="29EE6052">
      <w:pPr>
        <w:adjustRightInd w:val="0"/>
        <w:snapToGrid w:val="0"/>
        <w:spacing w:line="360" w:lineRule="auto"/>
        <w:ind w:firstLine="422" w:firstLineChars="200"/>
        <w:rPr>
          <w:rFonts w:ascii="宋体" w:hAnsi="宋体" w:cs="Arial"/>
          <w:kern w:val="0"/>
          <w:szCs w:val="21"/>
        </w:rPr>
      </w:pPr>
      <w:r>
        <w:rPr>
          <w:rFonts w:hint="eastAsia" w:ascii="宋体" w:hAnsi="宋体" w:cs="Arial"/>
          <w:b/>
          <w:kern w:val="0"/>
          <w:szCs w:val="21"/>
        </w:rPr>
        <w:t>五、</w:t>
      </w:r>
      <w:r>
        <w:rPr>
          <w:rFonts w:hint="eastAsia" w:ascii="宋体" w:hAnsi="宋体" w:cs="Arial"/>
          <w:kern w:val="0"/>
          <w:szCs w:val="21"/>
        </w:rPr>
        <w:t>若上海证券交易所、中国证券登记结算有限责任公司增加了基金上市交易的新功能，基金管理人可以在履行适当的程序后增加相应功能。</w:t>
      </w:r>
    </w:p>
    <w:p w14:paraId="7C16E123">
      <w:pPr>
        <w:adjustRightInd w:val="0"/>
        <w:snapToGrid w:val="0"/>
        <w:spacing w:line="360" w:lineRule="auto"/>
        <w:ind w:firstLine="422" w:firstLineChars="200"/>
        <w:rPr>
          <w:rFonts w:ascii="宋体" w:hAnsi="宋体" w:cs="Arial"/>
          <w:b/>
          <w:kern w:val="0"/>
          <w:szCs w:val="21"/>
        </w:rPr>
      </w:pPr>
      <w:r>
        <w:rPr>
          <w:rFonts w:hint="eastAsia" w:ascii="宋体" w:hAnsi="宋体" w:cs="Arial"/>
          <w:b/>
          <w:kern w:val="0"/>
          <w:szCs w:val="21"/>
        </w:rPr>
        <w:t>六、</w:t>
      </w:r>
      <w:r>
        <w:rPr>
          <w:rFonts w:hint="eastAsia" w:ascii="宋体" w:hAnsi="宋体" w:cs="Arial"/>
          <w:bCs/>
          <w:kern w:val="0"/>
          <w:szCs w:val="21"/>
        </w:rPr>
        <w:t>在不违反法律法规及不损害基金份额持有人利益的前提下，基金管理人在履行适当的程序后，本基金可以申请在其他证券交易所（含境外证券交易所）上市交易，而无需召开基金份额持有人大会审议。</w:t>
      </w:r>
    </w:p>
    <w:p w14:paraId="6CD5BF61">
      <w:pPr>
        <w:adjustRightInd w:val="0"/>
        <w:snapToGrid w:val="0"/>
        <w:spacing w:line="360" w:lineRule="auto"/>
        <w:ind w:firstLine="422" w:firstLineChars="200"/>
        <w:rPr>
          <w:rFonts w:ascii="宋体" w:hAnsi="宋体"/>
          <w:szCs w:val="21"/>
        </w:rPr>
      </w:pPr>
      <w:r>
        <w:rPr>
          <w:rFonts w:hint="eastAsia" w:ascii="宋体" w:hAnsi="宋体" w:cs="Arial"/>
          <w:b/>
          <w:kern w:val="0"/>
          <w:szCs w:val="21"/>
        </w:rPr>
        <w:t>七、</w:t>
      </w:r>
      <w:r>
        <w:rPr>
          <w:rFonts w:hint="eastAsia" w:ascii="宋体" w:hAnsi="宋体" w:cs="宋体"/>
          <w:bCs/>
          <w:szCs w:val="21"/>
        </w:rPr>
        <w:t>相关法律法规、中国证监会、登记机构及上海证券交易所对基金上市交易的规则等相关规定内容进行调整的，本基金按照新规定执行，若由此需要对基金合同及招募说明书相应予以修改的，此项修改无需召开基金份额持有人大会。</w:t>
      </w:r>
    </w:p>
    <w:p w14:paraId="260FB045">
      <w:pPr>
        <w:adjustRightInd w:val="0"/>
        <w:snapToGrid w:val="0"/>
        <w:spacing w:line="360" w:lineRule="auto"/>
        <w:ind w:firstLine="562" w:firstLineChars="200"/>
        <w:rPr>
          <w:rFonts w:ascii="宋体" w:hAnsi="宋体" w:cs="Arial"/>
          <w:b/>
          <w:bCs/>
          <w:sz w:val="28"/>
          <w:szCs w:val="28"/>
        </w:rPr>
        <w:sectPr>
          <w:footerReference r:id="rId26" w:type="first"/>
          <w:footerReference r:id="rId25" w:type="default"/>
          <w:pgSz w:w="11906" w:h="16838"/>
          <w:pgMar w:top="1440" w:right="1800" w:bottom="1440" w:left="1800" w:header="851" w:footer="992" w:gutter="0"/>
          <w:pgNumType w:start="1"/>
          <w:cols w:space="720" w:num="1"/>
          <w:titlePg/>
          <w:docGrid w:linePitch="312" w:charSpace="0"/>
        </w:sectPr>
      </w:pPr>
    </w:p>
    <w:p w14:paraId="55160477">
      <w:pPr>
        <w:pStyle w:val="2"/>
        <w:snapToGrid w:val="0"/>
        <w:spacing w:before="0" w:after="0" w:line="360" w:lineRule="auto"/>
        <w:ind w:firstLine="141" w:firstLineChars="50"/>
        <w:rPr>
          <w:rFonts w:hAnsi="宋体" w:eastAsia="宋体" w:cs="Arial"/>
          <w:b/>
          <w:bCs/>
          <w:sz w:val="28"/>
          <w:szCs w:val="28"/>
        </w:rPr>
      </w:pPr>
      <w:bookmarkStart w:id="47" w:name="_Toc384"/>
      <w:r>
        <w:rPr>
          <w:rFonts w:hAnsi="宋体" w:eastAsia="宋体" w:cs="Arial"/>
          <w:b/>
          <w:bCs/>
          <w:sz w:val="28"/>
          <w:szCs w:val="28"/>
        </w:rPr>
        <w:t>第</w:t>
      </w:r>
      <w:r>
        <w:rPr>
          <w:rFonts w:hint="eastAsia" w:hAnsi="宋体" w:eastAsia="宋体" w:cs="Arial"/>
          <w:b/>
          <w:bCs/>
          <w:sz w:val="28"/>
          <w:szCs w:val="28"/>
        </w:rPr>
        <w:t>十</w:t>
      </w:r>
      <w:r>
        <w:rPr>
          <w:rFonts w:hAnsi="宋体" w:eastAsia="宋体" w:cs="Arial"/>
          <w:b/>
          <w:bCs/>
          <w:sz w:val="28"/>
          <w:szCs w:val="28"/>
        </w:rPr>
        <w:t>部分  基金份额的申购与赎回</w:t>
      </w:r>
      <w:bookmarkEnd w:id="37"/>
      <w:bookmarkEnd w:id="38"/>
      <w:bookmarkEnd w:id="39"/>
      <w:bookmarkEnd w:id="40"/>
      <w:bookmarkEnd w:id="47"/>
    </w:p>
    <w:p w14:paraId="6D4490CA">
      <w:pPr>
        <w:spacing w:line="360" w:lineRule="auto"/>
        <w:ind w:firstLine="420" w:firstLineChars="200"/>
        <w:rPr>
          <w:rFonts w:ascii="宋体" w:hAnsi="宋体"/>
        </w:rPr>
      </w:pPr>
      <w:r>
        <w:rPr>
          <w:rFonts w:hint="eastAsia" w:ascii="宋体" w:hAnsi="宋体"/>
        </w:rPr>
        <w:t>在目前结算规则下，本基金采用现金申购、赎回的方式运作。未来在条件允许的情况下，基金管理人可以在场内开通现金申购、赎回以外的方式办理申购、赎回业务，或开通场外申购、赎回相关业务，相应的业务规则、申购赎回原则等相关事项届时将另行约定并公告。</w:t>
      </w:r>
    </w:p>
    <w:p w14:paraId="4224511B">
      <w:pPr>
        <w:spacing w:line="360" w:lineRule="auto"/>
        <w:ind w:firstLine="422"/>
        <w:rPr>
          <w:rFonts w:ascii="宋体" w:hAnsi="宋体" w:cs="Arial"/>
          <w:b/>
          <w:kern w:val="0"/>
          <w:szCs w:val="21"/>
        </w:rPr>
      </w:pPr>
      <w:r>
        <w:rPr>
          <w:rFonts w:ascii="宋体" w:hAnsi="宋体" w:cs="Arial"/>
          <w:b/>
          <w:kern w:val="0"/>
          <w:szCs w:val="21"/>
        </w:rPr>
        <w:t>一</w:t>
      </w:r>
      <w:r>
        <w:rPr>
          <w:rFonts w:hint="eastAsia" w:ascii="宋体" w:hAnsi="宋体" w:cs="Arial"/>
          <w:b/>
          <w:kern w:val="0"/>
          <w:szCs w:val="21"/>
        </w:rPr>
        <w:t>、</w:t>
      </w:r>
      <w:r>
        <w:rPr>
          <w:rFonts w:ascii="宋体" w:hAnsi="宋体" w:cs="Arial"/>
          <w:b/>
          <w:kern w:val="0"/>
          <w:szCs w:val="21"/>
        </w:rPr>
        <w:t>申购和赎回场所</w:t>
      </w:r>
    </w:p>
    <w:p w14:paraId="38FCCE1F">
      <w:pPr>
        <w:tabs>
          <w:tab w:val="left" w:pos="3780"/>
        </w:tabs>
        <w:autoSpaceDE w:val="0"/>
        <w:autoSpaceDN w:val="0"/>
        <w:adjustRightInd w:val="0"/>
        <w:snapToGrid w:val="0"/>
        <w:spacing w:line="360" w:lineRule="auto"/>
        <w:ind w:firstLine="420" w:firstLineChars="200"/>
        <w:textAlignment w:val="bottom"/>
        <w:rPr>
          <w:rFonts w:ascii="宋体" w:hAnsi="宋体"/>
          <w:kern w:val="0"/>
        </w:rPr>
      </w:pPr>
      <w:r>
        <w:rPr>
          <w:rFonts w:hint="eastAsia" w:ascii="宋体" w:hAnsi="宋体"/>
          <w:kern w:val="0"/>
        </w:rPr>
        <w:t>本基金投资人应当在申购赎回代理券商办理基金申购、赎回业务的营业场所或按申购赎回代理券商提供的其他方式办理本基金的申购和赎回。</w:t>
      </w:r>
    </w:p>
    <w:p w14:paraId="17CBAD7A">
      <w:pPr>
        <w:tabs>
          <w:tab w:val="left" w:pos="3780"/>
        </w:tabs>
        <w:autoSpaceDE w:val="0"/>
        <w:autoSpaceDN w:val="0"/>
        <w:adjustRightInd w:val="0"/>
        <w:snapToGrid w:val="0"/>
        <w:spacing w:line="360" w:lineRule="auto"/>
        <w:ind w:firstLine="420" w:firstLineChars="200"/>
        <w:textAlignment w:val="bottom"/>
        <w:rPr>
          <w:rFonts w:ascii="宋体" w:hAnsi="宋体"/>
          <w:kern w:val="0"/>
        </w:rPr>
      </w:pPr>
      <w:r>
        <w:rPr>
          <w:rFonts w:hint="eastAsia" w:ascii="宋体" w:hAnsi="宋体"/>
          <w:kern w:val="0"/>
        </w:rPr>
        <w:t>基金管理人在开始申购、赎回业务前公告申购赎回代理券商的名单，并可依据实际情况变更申购赎回代理券商，并在基金管理人网站公示。基金管理人在确定、变更申购赎回代理券商名单时，均应在公告之前报请上海证券交易所认可。</w:t>
      </w:r>
    </w:p>
    <w:p w14:paraId="59F6F93A">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kern w:val="0"/>
        </w:rPr>
        <w:t>在法律法规、基金合同及未来条件允许的情况下，基金管理人直销机构可以开通申购赎回业务，具体业务的办理时间及办理方式基金管理人将另行公告。</w:t>
      </w:r>
    </w:p>
    <w:p w14:paraId="13C5062E">
      <w:pPr>
        <w:tabs>
          <w:tab w:val="left" w:pos="3780"/>
        </w:tabs>
        <w:autoSpaceDE w:val="0"/>
        <w:autoSpaceDN w:val="0"/>
        <w:adjustRightInd w:val="0"/>
        <w:snapToGrid w:val="0"/>
        <w:spacing w:line="360" w:lineRule="auto"/>
        <w:ind w:firstLine="422" w:firstLineChars="200"/>
        <w:textAlignment w:val="bottom"/>
        <w:rPr>
          <w:rFonts w:ascii="宋体" w:hAnsi="宋体" w:cs="Arial"/>
          <w:b/>
          <w:kern w:val="0"/>
          <w:szCs w:val="21"/>
        </w:rPr>
      </w:pPr>
      <w:r>
        <w:rPr>
          <w:rFonts w:ascii="宋体" w:hAnsi="宋体" w:cs="Arial"/>
          <w:b/>
          <w:kern w:val="0"/>
          <w:szCs w:val="21"/>
        </w:rPr>
        <w:t>二</w:t>
      </w:r>
      <w:r>
        <w:rPr>
          <w:rFonts w:hint="eastAsia" w:ascii="宋体" w:hAnsi="宋体" w:cs="Arial"/>
          <w:b/>
          <w:kern w:val="0"/>
          <w:szCs w:val="21"/>
        </w:rPr>
        <w:t>、</w:t>
      </w:r>
      <w:r>
        <w:rPr>
          <w:rFonts w:ascii="宋体" w:hAnsi="宋体" w:cs="Arial"/>
          <w:b/>
          <w:kern w:val="0"/>
          <w:szCs w:val="21"/>
        </w:rPr>
        <w:t>申购与赎回的开放日及时间</w:t>
      </w:r>
    </w:p>
    <w:p w14:paraId="51B3F819">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1、开放日及开放时间</w:t>
      </w:r>
    </w:p>
    <w:p w14:paraId="72CA1E99">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投资人在开放日办理基金份额的申购和赎回，具体办理时间为港股通、上海证券交易所同时正常开放交易的工作日，但基金管理人根据法律法规、中国证监会的要求或基金合同的规定公告暂停申购、赎回时除外。</w:t>
      </w:r>
    </w:p>
    <w:p w14:paraId="364216B8">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基金合同生效后，若出现新的证券/期货交易市场、证券/期货交易所交易时间变更、港股通交易规则变更或其他特殊情况，基金管理人将视情况对前述开放日及开放时间进行相应的调整，但应在实施日前依照《信息披露办法》的有关规定在规定媒介上公告。</w:t>
      </w:r>
    </w:p>
    <w:p w14:paraId="45A1353C">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2、申购、赎回开始日及业务办理时间</w:t>
      </w:r>
    </w:p>
    <w:p w14:paraId="2613F998">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基金管理人可根据实际情况依法决定本基金开始办理申购的具体日期，具体业务办理时间在申购开始公告中规定。</w:t>
      </w:r>
    </w:p>
    <w:p w14:paraId="15FBAC48">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基金管理人自基金合同生效之日起不超过3个月开始办理赎回，具体业务办理时间在赎回开始公告中规定。</w:t>
      </w:r>
    </w:p>
    <w:p w14:paraId="722697C8">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本基金可在基金上市交易之前开始办理申购、赎回，但在基金申请上市期间，可暂停办理申购、赎回。</w:t>
      </w:r>
    </w:p>
    <w:p w14:paraId="3D6820BE">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在确定申购开始与赎回开始时间后，基金管理人应在申购、赎回开放日前依照《信息披露办法》的有关规定在规定媒介上公告申购与赎回的开始时间。</w:t>
      </w:r>
    </w:p>
    <w:p w14:paraId="6E29EDCA">
      <w:pPr>
        <w:tabs>
          <w:tab w:val="left" w:pos="3780"/>
        </w:tabs>
        <w:autoSpaceDE w:val="0"/>
        <w:autoSpaceDN w:val="0"/>
        <w:adjustRightInd w:val="0"/>
        <w:snapToGrid w:val="0"/>
        <w:spacing w:line="360" w:lineRule="auto"/>
        <w:ind w:firstLine="422" w:firstLineChars="200"/>
        <w:textAlignment w:val="bottom"/>
        <w:rPr>
          <w:rFonts w:ascii="宋体" w:hAnsi="宋体" w:cs="Arial"/>
          <w:b/>
          <w:bCs/>
          <w:szCs w:val="21"/>
        </w:rPr>
      </w:pPr>
      <w:r>
        <w:rPr>
          <w:rFonts w:ascii="宋体" w:hAnsi="宋体" w:cs="Arial"/>
          <w:b/>
          <w:bCs/>
          <w:szCs w:val="21"/>
        </w:rPr>
        <w:t>三</w:t>
      </w:r>
      <w:r>
        <w:rPr>
          <w:rFonts w:hint="eastAsia" w:ascii="宋体" w:hAnsi="宋体" w:cs="Arial"/>
          <w:b/>
          <w:bCs/>
          <w:szCs w:val="21"/>
        </w:rPr>
        <w:t>、</w:t>
      </w:r>
      <w:r>
        <w:rPr>
          <w:rFonts w:ascii="宋体" w:hAnsi="宋体" w:cs="Arial"/>
          <w:b/>
          <w:bCs/>
          <w:szCs w:val="21"/>
        </w:rPr>
        <w:t>申购与赎回的原则</w:t>
      </w:r>
    </w:p>
    <w:p w14:paraId="7F80C8FB">
      <w:pPr>
        <w:adjustRightInd w:val="0"/>
        <w:snapToGrid w:val="0"/>
        <w:spacing w:line="360" w:lineRule="auto"/>
        <w:ind w:firstLine="420" w:firstLineChars="200"/>
        <w:rPr>
          <w:rFonts w:ascii="宋体" w:hAnsi="宋体"/>
          <w:kern w:val="0"/>
        </w:rPr>
      </w:pPr>
      <w:r>
        <w:rPr>
          <w:rFonts w:hint="eastAsia" w:ascii="宋体" w:hAnsi="宋体"/>
          <w:kern w:val="0"/>
        </w:rPr>
        <w:t>1、“份额申购、份额赎回”原则，即申购、赎回均以份额申请；</w:t>
      </w:r>
    </w:p>
    <w:p w14:paraId="3209A8BE">
      <w:pPr>
        <w:adjustRightInd w:val="0"/>
        <w:snapToGrid w:val="0"/>
        <w:spacing w:line="360" w:lineRule="auto"/>
        <w:ind w:firstLine="420" w:firstLineChars="200"/>
        <w:rPr>
          <w:rFonts w:ascii="宋体" w:hAnsi="宋体"/>
          <w:kern w:val="0"/>
        </w:rPr>
      </w:pPr>
      <w:r>
        <w:rPr>
          <w:rFonts w:hint="eastAsia" w:ascii="宋体" w:hAnsi="宋体"/>
          <w:kern w:val="0"/>
        </w:rPr>
        <w:t>2、本基金申购、赎回的币种为人民币；基金管理人可以在不违反法律法规规定的情况下，增加其他币种的申购、赎回，其他币种申购、赎回的具体规则届时将另行公告；</w:t>
      </w:r>
    </w:p>
    <w:p w14:paraId="6D2E5FFB">
      <w:pPr>
        <w:adjustRightInd w:val="0"/>
        <w:snapToGrid w:val="0"/>
        <w:spacing w:line="360" w:lineRule="auto"/>
        <w:ind w:firstLine="420" w:firstLineChars="200"/>
        <w:rPr>
          <w:rFonts w:ascii="宋体" w:hAnsi="宋体"/>
          <w:kern w:val="0"/>
        </w:rPr>
      </w:pPr>
      <w:r>
        <w:rPr>
          <w:rFonts w:hint="eastAsia" w:ascii="宋体" w:hAnsi="宋体"/>
          <w:kern w:val="0"/>
        </w:rPr>
        <w:t>3、本基金的申购对价、赎回对价包括现金替代、现金差额和/或其他对价；</w:t>
      </w:r>
    </w:p>
    <w:p w14:paraId="0B1B23B4">
      <w:pPr>
        <w:adjustRightInd w:val="0"/>
        <w:snapToGrid w:val="0"/>
        <w:spacing w:line="360" w:lineRule="auto"/>
        <w:ind w:firstLine="420" w:firstLineChars="200"/>
        <w:rPr>
          <w:rFonts w:ascii="宋体" w:hAnsi="宋体"/>
          <w:kern w:val="0"/>
        </w:rPr>
      </w:pPr>
      <w:r>
        <w:rPr>
          <w:rFonts w:hint="eastAsia" w:ascii="宋体" w:hAnsi="宋体"/>
          <w:kern w:val="0"/>
        </w:rPr>
        <w:t>4、申购、赎回申请提交后不得撤销；</w:t>
      </w:r>
    </w:p>
    <w:p w14:paraId="2AF35C8B">
      <w:pPr>
        <w:adjustRightInd w:val="0"/>
        <w:snapToGrid w:val="0"/>
        <w:spacing w:line="360" w:lineRule="auto"/>
        <w:ind w:firstLine="420" w:firstLineChars="200"/>
        <w:rPr>
          <w:rFonts w:ascii="宋体" w:hAnsi="宋体"/>
          <w:kern w:val="0"/>
        </w:rPr>
      </w:pPr>
      <w:r>
        <w:rPr>
          <w:rFonts w:hint="eastAsia" w:ascii="宋体" w:hAnsi="宋体"/>
          <w:kern w:val="0"/>
        </w:rPr>
        <w:t>5、申购、赎回应遵守《业务规则》及其他相关规定；</w:t>
      </w:r>
    </w:p>
    <w:p w14:paraId="52BD2727">
      <w:pPr>
        <w:adjustRightInd w:val="0"/>
        <w:snapToGrid w:val="0"/>
        <w:spacing w:line="360" w:lineRule="auto"/>
        <w:ind w:firstLine="420" w:firstLineChars="200"/>
        <w:rPr>
          <w:rFonts w:ascii="宋体" w:hAnsi="宋体"/>
          <w:kern w:val="0"/>
        </w:rPr>
      </w:pPr>
      <w:r>
        <w:rPr>
          <w:rFonts w:hint="eastAsia" w:ascii="宋体" w:hAnsi="宋体"/>
          <w:kern w:val="0"/>
        </w:rPr>
        <w:t>6、办理申购、赎回业务时，应当遵循基金份额持有人利益优先原则，确保投资者的合法权益不受损害并得到公平对待。</w:t>
      </w:r>
    </w:p>
    <w:p w14:paraId="5698244B">
      <w:pPr>
        <w:adjustRightInd w:val="0"/>
        <w:snapToGrid w:val="0"/>
        <w:spacing w:line="360" w:lineRule="auto"/>
        <w:ind w:firstLine="420" w:firstLineChars="200"/>
        <w:rPr>
          <w:rFonts w:ascii="宋体" w:hAnsi="宋体" w:cs="Arial"/>
          <w:kern w:val="0"/>
          <w:szCs w:val="21"/>
        </w:rPr>
      </w:pPr>
      <w:r>
        <w:rPr>
          <w:rFonts w:hint="eastAsia" w:ascii="宋体" w:hAnsi="宋体"/>
          <w:kern w:val="0"/>
        </w:rPr>
        <w:t>基金管理人可在不违反法律法规规定的情况下，对上述原则进行调整。基金管理人必须在新规则开始实施前依照《信息披露办法》的有关规定在规定媒介上公告。</w:t>
      </w:r>
    </w:p>
    <w:p w14:paraId="3E589D9D">
      <w:pPr>
        <w:tabs>
          <w:tab w:val="left" w:pos="3780"/>
        </w:tabs>
        <w:autoSpaceDE w:val="0"/>
        <w:autoSpaceDN w:val="0"/>
        <w:adjustRightInd w:val="0"/>
        <w:snapToGrid w:val="0"/>
        <w:spacing w:line="360" w:lineRule="auto"/>
        <w:ind w:firstLine="422" w:firstLineChars="200"/>
        <w:textAlignment w:val="bottom"/>
        <w:rPr>
          <w:rFonts w:ascii="宋体" w:hAnsi="宋体" w:cs="Arial"/>
          <w:b/>
          <w:bCs/>
          <w:szCs w:val="21"/>
        </w:rPr>
      </w:pPr>
      <w:r>
        <w:rPr>
          <w:rFonts w:ascii="宋体" w:hAnsi="宋体" w:cs="Arial"/>
          <w:b/>
          <w:bCs/>
          <w:szCs w:val="21"/>
        </w:rPr>
        <w:t>四</w:t>
      </w:r>
      <w:r>
        <w:rPr>
          <w:rFonts w:hint="eastAsia" w:ascii="宋体" w:hAnsi="宋体" w:cs="Arial"/>
          <w:b/>
          <w:bCs/>
          <w:szCs w:val="21"/>
        </w:rPr>
        <w:t>、</w:t>
      </w:r>
      <w:r>
        <w:rPr>
          <w:rFonts w:ascii="宋体" w:hAnsi="宋体" w:cs="Arial"/>
          <w:b/>
          <w:bCs/>
          <w:szCs w:val="21"/>
        </w:rPr>
        <w:t>申购与赎回的程序</w:t>
      </w:r>
    </w:p>
    <w:p w14:paraId="58790246">
      <w:pPr>
        <w:adjustRightInd w:val="0"/>
        <w:snapToGrid w:val="0"/>
        <w:spacing w:line="360" w:lineRule="auto"/>
        <w:ind w:firstLine="420" w:firstLineChars="200"/>
        <w:rPr>
          <w:rFonts w:ascii="宋体" w:hAnsi="宋体" w:cs="Arial"/>
          <w:kern w:val="0"/>
          <w:szCs w:val="21"/>
        </w:rPr>
      </w:pPr>
      <w:r>
        <w:rPr>
          <w:rFonts w:hint="eastAsia" w:ascii="宋体" w:hAnsi="宋体" w:cs="Arial"/>
          <w:kern w:val="0"/>
          <w:szCs w:val="21"/>
        </w:rPr>
        <w:t>1、申购和赎回的申请方式</w:t>
      </w:r>
    </w:p>
    <w:p w14:paraId="2CED396D">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投资人必须根据</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申购、赎回代理券商或基金管理人</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规定的程序，在开放日的具体业务办理时间内提出申购或赎回的申请。</w:t>
      </w:r>
    </w:p>
    <w:p w14:paraId="0A3B442F">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投资人交付申购</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对价</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，申购成立；登记机构确认</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申请</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时，申购生效。</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投资人在提交</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赎回申请</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时有足够的</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赎回</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对价，则赎回申请</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成立</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登记机构确认赎回时，赎回生效。</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投资人在提交申购申请时须按申购赎回清单的规定备足申购对价，投资人在提交赎回申请时须持有足够的基金份额余额和现金，否则所提交的申购、赎回申请不成立</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w:t>
      </w:r>
    </w:p>
    <w:p w14:paraId="67733E16">
      <w:pPr>
        <w:tabs>
          <w:tab w:val="left" w:pos="3780"/>
        </w:tabs>
        <w:autoSpaceDE w:val="0"/>
        <w:autoSpaceDN w:val="0"/>
        <w:adjustRightInd w:val="0"/>
        <w:snapToGrid w:val="0"/>
        <w:spacing w:line="360" w:lineRule="auto"/>
        <w:ind w:firstLine="420" w:firstLineChars="200"/>
        <w:textAlignment w:val="bottom"/>
        <w:rPr>
          <w:rFonts w:ascii="宋体" w:hAnsi="宋体" w:cs="Arial"/>
          <w:bCs/>
          <w:kern w:val="0"/>
          <w:szCs w:val="21"/>
        </w:rPr>
      </w:pPr>
      <w:r>
        <w:rPr>
          <w:rFonts w:hint="eastAsia" w:ascii="宋体" w:hAnsi="宋体" w:cs="Arial"/>
          <w:bCs/>
          <w:kern w:val="0"/>
          <w:szCs w:val="21"/>
        </w:rPr>
        <w:t>2、</w:t>
      </w:r>
      <w:r>
        <w:rPr>
          <w:rFonts w:ascii="宋体" w:hAnsi="宋体" w:cs="Arial"/>
          <w:bCs/>
          <w:kern w:val="0"/>
          <w:szCs w:val="21"/>
        </w:rPr>
        <w:t>申购和赎回申请的确认</w:t>
      </w:r>
    </w:p>
    <w:p w14:paraId="5FBC6809">
      <w:pPr>
        <w:tabs>
          <w:tab w:val="left" w:pos="3780"/>
        </w:tabs>
        <w:autoSpaceDE w:val="0"/>
        <w:autoSpaceDN w:val="0"/>
        <w:adjustRightInd w:val="0"/>
        <w:snapToGrid w:val="0"/>
        <w:spacing w:line="360" w:lineRule="auto"/>
        <w:ind w:firstLine="420" w:firstLineChars="200"/>
        <w:textAlignment w:val="bottom"/>
        <w:rPr>
          <w:rFonts w:ascii="宋体" w:hAnsi="宋体" w:cs="Arial"/>
          <w:bCs/>
          <w:kern w:val="0"/>
          <w:szCs w:val="21"/>
        </w:rPr>
      </w:pPr>
      <w:r>
        <w:rPr>
          <w:rFonts w:hint="eastAsia" w:ascii="宋体" w:hAnsi="宋体" w:cs="Arial"/>
          <w:bCs/>
          <w:kern w:val="0"/>
          <w:szCs w:val="21"/>
        </w:rPr>
        <w:t>基金投资人申购、赎回申请在受理当日进行确认。如投资人未能提供符合要求的申购对价，则申购申请不成立。如投资人持有的符合要求的基金份额不足或未能根据要求准备足额的现金，或本基金投资组合内不具备足额的符合要求的赎回对价或投资人提交的赎回申请超过基金管理人设定的当日净赎回份额上限、当日累计赎回份额上限、单个账户当日净赎回份额上限或单个账户当日累计赎回份额上限，则赎回申请不成立。</w:t>
      </w:r>
    </w:p>
    <w:p w14:paraId="416D5EFF">
      <w:pPr>
        <w:tabs>
          <w:tab w:val="left" w:pos="3780"/>
        </w:tabs>
        <w:autoSpaceDE w:val="0"/>
        <w:autoSpaceDN w:val="0"/>
        <w:adjustRightInd w:val="0"/>
        <w:snapToGrid w:val="0"/>
        <w:spacing w:line="360" w:lineRule="auto"/>
        <w:ind w:firstLine="420" w:firstLineChars="200"/>
        <w:textAlignment w:val="bottom"/>
        <w:rPr>
          <w:rFonts w:ascii="宋体" w:hAnsi="宋体" w:cs="Arial"/>
          <w:bCs/>
          <w:kern w:val="0"/>
          <w:szCs w:val="21"/>
        </w:rPr>
      </w:pPr>
      <w:r>
        <w:rPr>
          <w:rFonts w:ascii="宋体" w:hAnsi="宋体" w:cs="Arial"/>
          <w:bCs/>
          <w:kern w:val="0"/>
          <w:szCs w:val="21"/>
        </w:rPr>
        <w:t>申购</w:t>
      </w:r>
      <w:r>
        <w:rPr>
          <w:rFonts w:hint="eastAsia" w:ascii="宋体" w:hAnsi="宋体" w:cs="Arial"/>
          <w:bCs/>
          <w:kern w:val="0"/>
          <w:szCs w:val="21"/>
        </w:rPr>
        <w:t>、</w:t>
      </w:r>
      <w:r>
        <w:rPr>
          <w:rFonts w:ascii="宋体" w:hAnsi="宋体" w:cs="Arial"/>
          <w:bCs/>
          <w:kern w:val="0"/>
          <w:szCs w:val="21"/>
        </w:rPr>
        <w:t>赎回代理</w:t>
      </w:r>
      <w:r>
        <w:rPr>
          <w:rFonts w:hint="eastAsia" w:ascii="宋体" w:hAnsi="宋体" w:cs="Arial"/>
          <w:bCs/>
          <w:kern w:val="0"/>
          <w:szCs w:val="21"/>
        </w:rPr>
        <w:t>券商对申购、赎回申请的受理并不代表该申请一定成功，而仅代表</w:t>
      </w:r>
      <w:r>
        <w:rPr>
          <w:rFonts w:ascii="宋体" w:hAnsi="宋体" w:cs="Arial"/>
          <w:bCs/>
          <w:kern w:val="0"/>
          <w:szCs w:val="21"/>
        </w:rPr>
        <w:t>申购</w:t>
      </w:r>
      <w:r>
        <w:rPr>
          <w:rFonts w:hint="eastAsia" w:ascii="宋体" w:hAnsi="宋体" w:cs="Arial"/>
          <w:bCs/>
          <w:kern w:val="0"/>
          <w:szCs w:val="21"/>
        </w:rPr>
        <w:t>、</w:t>
      </w:r>
      <w:r>
        <w:rPr>
          <w:rFonts w:ascii="宋体" w:hAnsi="宋体" w:cs="Arial"/>
          <w:bCs/>
          <w:kern w:val="0"/>
          <w:szCs w:val="21"/>
        </w:rPr>
        <w:t>赎回代理</w:t>
      </w:r>
      <w:r>
        <w:rPr>
          <w:rFonts w:hint="eastAsia" w:ascii="宋体" w:hAnsi="宋体" w:cs="Arial"/>
          <w:bCs/>
          <w:kern w:val="0"/>
          <w:szCs w:val="21"/>
        </w:rPr>
        <w:t>券商确实接收到该申请。申购、赎回的确认以登记机构的确认结果为准。对于申购、赎回申请的确认情况，投资人应及时查询并妥善行使合法权利。</w:t>
      </w:r>
    </w:p>
    <w:p w14:paraId="51C39205">
      <w:pPr>
        <w:tabs>
          <w:tab w:val="left" w:pos="3780"/>
        </w:tabs>
        <w:autoSpaceDE w:val="0"/>
        <w:autoSpaceDN w:val="0"/>
        <w:adjustRightInd w:val="0"/>
        <w:snapToGrid w:val="0"/>
        <w:spacing w:line="360" w:lineRule="auto"/>
        <w:ind w:firstLine="420" w:firstLineChars="200"/>
        <w:textAlignment w:val="bottom"/>
        <w:rPr>
          <w:rFonts w:ascii="宋体" w:hAnsi="宋体"/>
          <w:kern w:val="0"/>
          <w:szCs w:val="21"/>
        </w:rPr>
      </w:pPr>
      <w:r>
        <w:rPr>
          <w:rFonts w:hint="eastAsia" w:ascii="宋体" w:hAnsi="宋体"/>
          <w:kern w:val="0"/>
          <w:szCs w:val="21"/>
        </w:rPr>
        <w:t>当日申购的基金份额，清算交收完成后方可卖出和赎回；当日买入的基金份额，同日可以赎回；当日申购总额、赎回总额超出基金管理人设定限额的，超出额度的申购、赎回申报为无效申报。</w:t>
      </w:r>
    </w:p>
    <w:p w14:paraId="3BC5FECD">
      <w:pPr>
        <w:tabs>
          <w:tab w:val="left" w:pos="3780"/>
        </w:tabs>
        <w:autoSpaceDE w:val="0"/>
        <w:autoSpaceDN w:val="0"/>
        <w:adjustRightInd w:val="0"/>
        <w:snapToGrid w:val="0"/>
        <w:spacing w:line="360" w:lineRule="auto"/>
        <w:ind w:firstLine="420" w:firstLineChars="200"/>
        <w:textAlignment w:val="bottom"/>
        <w:rPr>
          <w:rFonts w:ascii="宋体" w:hAnsi="宋体" w:cs="Arial"/>
          <w:bCs/>
          <w:kern w:val="0"/>
          <w:szCs w:val="21"/>
        </w:rPr>
      </w:pPr>
      <w:r>
        <w:rPr>
          <w:rFonts w:hint="eastAsia"/>
        </w:rPr>
        <w:t>如上海证券交易所、中国证券登记结算有限责任公司修改或更新上述规则并适用于本基金的，则按照新的规则执行，并在本招募说明书中进行更新，无需召开基金份额持有人大会。</w:t>
      </w:r>
    </w:p>
    <w:p w14:paraId="348B277B">
      <w:pPr>
        <w:tabs>
          <w:tab w:val="left" w:pos="3780"/>
        </w:tabs>
        <w:autoSpaceDE w:val="0"/>
        <w:autoSpaceDN w:val="0"/>
        <w:adjustRightInd w:val="0"/>
        <w:snapToGrid w:val="0"/>
        <w:spacing w:line="360" w:lineRule="auto"/>
        <w:ind w:firstLine="420" w:firstLineChars="200"/>
        <w:textAlignment w:val="bottom"/>
        <w:rPr>
          <w:rFonts w:ascii="宋体" w:hAnsi="宋体" w:cs="Arial"/>
          <w:bCs/>
          <w:kern w:val="0"/>
          <w:szCs w:val="21"/>
        </w:rPr>
      </w:pPr>
      <w:r>
        <w:rPr>
          <w:rFonts w:hint="eastAsia" w:ascii="宋体" w:hAnsi="宋体" w:cs="Arial"/>
          <w:bCs/>
          <w:kern w:val="0"/>
          <w:szCs w:val="21"/>
        </w:rPr>
        <w:t>3、申购和赎回的清算交收与登记</w:t>
      </w:r>
    </w:p>
    <w:p w14:paraId="02B2061F">
      <w:pPr>
        <w:tabs>
          <w:tab w:val="left" w:pos="3780"/>
        </w:tabs>
        <w:autoSpaceDE w:val="0"/>
        <w:autoSpaceDN w:val="0"/>
        <w:adjustRightInd w:val="0"/>
        <w:snapToGrid w:val="0"/>
        <w:spacing w:line="360" w:lineRule="auto"/>
        <w:ind w:firstLine="420" w:firstLineChars="200"/>
        <w:textAlignment w:val="bottom"/>
        <w:rPr>
          <w:rFonts w:ascii="宋体" w:hAnsi="宋体"/>
          <w:szCs w:val="21"/>
        </w:rPr>
      </w:pPr>
      <w:r>
        <w:rPr>
          <w:rFonts w:hint="eastAsia" w:ascii="宋体" w:hAnsi="宋体"/>
          <w:szCs w:val="21"/>
        </w:rPr>
        <w:t>本基金申购赎回过程中涉及的基金份额、现金替代、现金差额及其他对价的清算交收适用相关业务规则和参与各方相关协议的有关规定。</w:t>
      </w:r>
    </w:p>
    <w:p w14:paraId="2B7FCE4B">
      <w:pPr>
        <w:tabs>
          <w:tab w:val="left" w:pos="3780"/>
        </w:tabs>
        <w:autoSpaceDE w:val="0"/>
        <w:autoSpaceDN w:val="0"/>
        <w:adjustRightInd w:val="0"/>
        <w:snapToGrid w:val="0"/>
        <w:spacing w:line="360" w:lineRule="auto"/>
        <w:ind w:firstLine="420" w:firstLineChars="200"/>
        <w:textAlignment w:val="bottom"/>
        <w:rPr>
          <w:rFonts w:ascii="宋体" w:hAnsi="宋体"/>
          <w:szCs w:val="21"/>
        </w:rPr>
      </w:pPr>
      <w:r>
        <w:rPr>
          <w:rFonts w:hint="eastAsia" w:ascii="宋体" w:hAnsi="宋体"/>
          <w:szCs w:val="21"/>
        </w:rPr>
        <w:t xml:space="preserve">本基金现金申购业务中的现金替代采用实时逐笔全额结算（Real Time Gross Settlement）模式；现金赎回业务中的现金替代采用代收代付处理；现金申购、赎回业务涉及的现金差额和现金替代退补款采用代收代付处理。  </w:t>
      </w:r>
    </w:p>
    <w:p w14:paraId="0375DB26">
      <w:pPr>
        <w:tabs>
          <w:tab w:val="left" w:pos="3780"/>
        </w:tabs>
        <w:autoSpaceDE w:val="0"/>
        <w:autoSpaceDN w:val="0"/>
        <w:adjustRightInd w:val="0"/>
        <w:snapToGrid w:val="0"/>
        <w:spacing w:line="360" w:lineRule="auto"/>
        <w:ind w:firstLine="420" w:firstLineChars="200"/>
        <w:textAlignment w:val="bottom"/>
        <w:rPr>
          <w:rFonts w:ascii="宋体" w:hAnsi="宋体"/>
          <w:szCs w:val="21"/>
        </w:rPr>
      </w:pPr>
      <w:r>
        <w:rPr>
          <w:rFonts w:hint="eastAsia" w:ascii="宋体" w:hAnsi="宋体"/>
          <w:szCs w:val="21"/>
        </w:rPr>
        <w:t>投资者T日申购成功后，登记机构在T日收市后为投资者办理基金份额的交收登记以及现金替代的清算和交收；在T+2日内办理现金差额的清算交收，并将结果发送给申购赎回代理券商、基金管理人和基金托管人。若发生特殊情况，基金管理人可以对清算交收日期进行相应调整。</w:t>
      </w:r>
    </w:p>
    <w:p w14:paraId="2B86A5E1">
      <w:pPr>
        <w:tabs>
          <w:tab w:val="left" w:pos="3780"/>
        </w:tabs>
        <w:autoSpaceDE w:val="0"/>
        <w:autoSpaceDN w:val="0"/>
        <w:adjustRightInd w:val="0"/>
        <w:snapToGrid w:val="0"/>
        <w:spacing w:line="360" w:lineRule="auto"/>
        <w:ind w:firstLine="420" w:firstLineChars="200"/>
        <w:textAlignment w:val="bottom"/>
        <w:rPr>
          <w:rFonts w:ascii="宋体" w:hAnsi="宋体"/>
          <w:szCs w:val="21"/>
        </w:rPr>
      </w:pPr>
      <w:r>
        <w:rPr>
          <w:rFonts w:hint="eastAsia" w:ascii="宋体" w:hAnsi="宋体"/>
          <w:szCs w:val="21"/>
        </w:rPr>
        <w:t>投资者T日赎回成功后，登记机构在T日收市后办理基金份额的注销；在T+2日内办理现金差额的清算交收，并将结果发送给申购赎回代理券商、基金管理人和基金托管人。赎回现金替代款的清算交收由基金管理人和申购赎回代理券商协商处理，正常情况下将自有效赎回申请之日起7个开放日内办理。若发生特殊情况（包括但不限于基金投资市场交易清算规则发生较大变化、港股通暂停交易或交收、基金赎回数额较大或组合证券内的部分证券因停牌、流动性不足等原因导致无法足额卖出等），基金管理人可以对清算交收日期进行相应调整。</w:t>
      </w:r>
    </w:p>
    <w:p w14:paraId="49767944">
      <w:pPr>
        <w:tabs>
          <w:tab w:val="left" w:pos="3780"/>
        </w:tabs>
        <w:autoSpaceDE w:val="0"/>
        <w:autoSpaceDN w:val="0"/>
        <w:adjustRightInd w:val="0"/>
        <w:snapToGrid w:val="0"/>
        <w:spacing w:line="360" w:lineRule="auto"/>
        <w:ind w:firstLine="420" w:firstLineChars="200"/>
        <w:textAlignment w:val="bottom"/>
        <w:rPr>
          <w:rFonts w:ascii="宋体" w:hAnsi="宋体"/>
          <w:szCs w:val="21"/>
        </w:rPr>
      </w:pPr>
      <w:r>
        <w:rPr>
          <w:rFonts w:hint="eastAsia" w:ascii="宋体" w:hAnsi="宋体"/>
          <w:szCs w:val="21"/>
        </w:rPr>
        <w:t>如果登记机构、基金管理人、申购赎回代理券商之间在清算交收时发现不能正常履约的情形，则依据相关业务规则的有关规定和其他相关约定进行处理。</w:t>
      </w:r>
    </w:p>
    <w:p w14:paraId="339F4A75">
      <w:pPr>
        <w:tabs>
          <w:tab w:val="left" w:pos="3780"/>
        </w:tabs>
        <w:autoSpaceDE w:val="0"/>
        <w:autoSpaceDN w:val="0"/>
        <w:adjustRightInd w:val="0"/>
        <w:snapToGrid w:val="0"/>
        <w:spacing w:line="360" w:lineRule="auto"/>
        <w:ind w:firstLine="420" w:firstLineChars="200"/>
        <w:textAlignment w:val="bottom"/>
        <w:rPr>
          <w:rFonts w:ascii="宋体" w:hAnsi="宋体"/>
          <w:szCs w:val="21"/>
        </w:rPr>
      </w:pPr>
      <w:r>
        <w:rPr>
          <w:rFonts w:hint="eastAsia" w:ascii="宋体" w:hAnsi="宋体"/>
          <w:szCs w:val="21"/>
        </w:rPr>
        <w:t>如上海证券交易所、中国证券登记结算有限责任公司修改或更新上述规则并适用于本基金的，则按照新的规则执行，并在本招募说明书中进行更新，无需召开基金份额持有人大会。</w:t>
      </w:r>
    </w:p>
    <w:p w14:paraId="1BED6E43">
      <w:pPr>
        <w:tabs>
          <w:tab w:val="left" w:pos="3780"/>
        </w:tabs>
        <w:autoSpaceDE w:val="0"/>
        <w:autoSpaceDN w:val="0"/>
        <w:adjustRightInd w:val="0"/>
        <w:snapToGrid w:val="0"/>
        <w:spacing w:line="360" w:lineRule="auto"/>
        <w:ind w:firstLine="420" w:firstLineChars="200"/>
        <w:textAlignment w:val="bottom"/>
        <w:rPr>
          <w:rFonts w:ascii="宋体" w:hAnsi="宋体"/>
          <w:szCs w:val="21"/>
        </w:rPr>
      </w:pPr>
      <w:r>
        <w:rPr>
          <w:rFonts w:hint="eastAsia" w:ascii="宋体" w:hAnsi="宋体"/>
          <w:szCs w:val="21"/>
        </w:rPr>
        <w:t>投资人应按照基金合同的约定和申购、赎回代理券商的规定按时足额支付应付的现金差额和现金替代退补款。因投资人原因导致现金差额或现金替代退补款未能按时足额交收的，基金管理人有权为基金的利益向该投资人追偿，并要求其承担由此导致的其他基金份额持有人或基金资产的损失。</w:t>
      </w:r>
    </w:p>
    <w:p w14:paraId="0828BD7E">
      <w:pPr>
        <w:tabs>
          <w:tab w:val="left" w:pos="3780"/>
        </w:tabs>
        <w:autoSpaceDE w:val="0"/>
        <w:autoSpaceDN w:val="0"/>
        <w:adjustRightInd w:val="0"/>
        <w:snapToGrid w:val="0"/>
        <w:spacing w:line="360" w:lineRule="auto"/>
        <w:ind w:firstLine="420" w:firstLineChars="200"/>
        <w:textAlignment w:val="bottom"/>
        <w:rPr>
          <w:rFonts w:ascii="宋体" w:hAnsi="宋体"/>
          <w:szCs w:val="21"/>
        </w:rPr>
      </w:pPr>
      <w:r>
        <w:rPr>
          <w:rFonts w:hint="eastAsia" w:ascii="宋体" w:hAnsi="宋体"/>
          <w:szCs w:val="21"/>
        </w:rPr>
        <w:t>基金管理人、登记机构可在法律法规允许的范围内，对清算交收和登记的办理时间、方式进行调整，并最迟于开始实施日前按照《信息披露办法》的有关规定在中国证监会规定媒介公告。</w:t>
      </w:r>
    </w:p>
    <w:p w14:paraId="4AAD56DA">
      <w:pPr>
        <w:tabs>
          <w:tab w:val="left" w:pos="3780"/>
        </w:tabs>
        <w:autoSpaceDE w:val="0"/>
        <w:autoSpaceDN w:val="0"/>
        <w:adjustRightInd w:val="0"/>
        <w:snapToGrid w:val="0"/>
        <w:spacing w:line="360" w:lineRule="auto"/>
        <w:ind w:firstLine="420" w:firstLineChars="200"/>
        <w:textAlignment w:val="bottom"/>
        <w:rPr>
          <w:rFonts w:ascii="宋体" w:hAnsi="宋体"/>
          <w:szCs w:val="21"/>
        </w:rPr>
      </w:pPr>
      <w:r>
        <w:rPr>
          <w:rFonts w:ascii="宋体" w:hAnsi="宋体"/>
          <w:szCs w:val="21"/>
        </w:rPr>
        <w:t>4、本基金获批后，若上海证券交易所和中国证券登记结算有限责任公司针对交易型开放式证券投资基金推出新的清算交收与登记模式并引入新的申购、赎回方式，</w:t>
      </w:r>
      <w:r>
        <w:rPr>
          <w:rFonts w:hint="eastAsia" w:ascii="宋体" w:hAnsi="宋体"/>
          <w:szCs w:val="21"/>
        </w:rPr>
        <w:t>在履行适当程序后，本基金管理人有权调整本基金的清算交收与登记模式及申购、赎回方式，或新增本基金的清算交收与登记模式并引入新的申购、赎回方式，届时将发布公告予以披露并对本基金的基金合同和招募说明书予以更新，无需召开基金份额持有人大会审议</w:t>
      </w:r>
      <w:r>
        <w:rPr>
          <w:rFonts w:ascii="宋体" w:hAnsi="宋体"/>
          <w:szCs w:val="21"/>
        </w:rPr>
        <w:t>。</w:t>
      </w:r>
    </w:p>
    <w:p w14:paraId="6CA9B659">
      <w:pPr>
        <w:tabs>
          <w:tab w:val="left" w:pos="3780"/>
        </w:tabs>
        <w:autoSpaceDE w:val="0"/>
        <w:autoSpaceDN w:val="0"/>
        <w:adjustRightInd w:val="0"/>
        <w:snapToGrid w:val="0"/>
        <w:spacing w:line="360" w:lineRule="auto"/>
        <w:ind w:firstLine="422" w:firstLineChars="200"/>
        <w:textAlignment w:val="bottom"/>
        <w:rPr>
          <w:rFonts w:ascii="宋体" w:hAnsi="宋体" w:cs="Arial"/>
          <w:b/>
          <w:bCs/>
          <w:szCs w:val="21"/>
        </w:rPr>
      </w:pPr>
      <w:r>
        <w:rPr>
          <w:rFonts w:hint="eastAsia" w:ascii="宋体" w:hAnsi="宋体" w:cs="Arial"/>
          <w:b/>
          <w:bCs/>
          <w:szCs w:val="21"/>
        </w:rPr>
        <w:t>五、</w:t>
      </w:r>
      <w:r>
        <w:rPr>
          <w:rFonts w:ascii="宋体" w:hAnsi="宋体" w:cs="Arial"/>
          <w:b/>
          <w:bCs/>
          <w:szCs w:val="21"/>
        </w:rPr>
        <w:t>申购与赎回的数额限制</w:t>
      </w:r>
    </w:p>
    <w:p w14:paraId="16829FB9">
      <w:pPr>
        <w:adjustRightInd w:val="0"/>
        <w:snapToGrid w:val="0"/>
        <w:spacing w:line="360" w:lineRule="auto"/>
        <w:ind w:firstLine="420" w:firstLineChars="200"/>
        <w:rPr>
          <w:rFonts w:ascii="宋体" w:hAnsi="宋体" w:cs="Arial"/>
          <w:kern w:val="0"/>
          <w:szCs w:val="21"/>
        </w:rPr>
      </w:pPr>
      <w:r>
        <w:rPr>
          <w:rFonts w:hint="eastAsia" w:ascii="宋体" w:hAnsi="宋体" w:cs="Arial"/>
          <w:kern w:val="0"/>
          <w:szCs w:val="21"/>
        </w:rPr>
        <w:t>1、</w:t>
      </w:r>
      <w:r>
        <w:rPr>
          <w:rFonts w:ascii="宋体" w:hAnsi="宋体" w:cs="Arial"/>
          <w:kern w:val="0"/>
          <w:szCs w:val="21"/>
        </w:rPr>
        <w:t>投资者申购、赎回的基金份额需为最小申购、赎回单位的整数倍。</w:t>
      </w:r>
    </w:p>
    <w:p w14:paraId="54FA8C1E">
      <w:pPr>
        <w:adjustRightInd w:val="0"/>
        <w:snapToGrid w:val="0"/>
        <w:spacing w:line="360" w:lineRule="auto"/>
        <w:ind w:firstLine="420" w:firstLineChars="200"/>
        <w:rPr>
          <w:rFonts w:ascii="宋体" w:hAnsi="宋体" w:cs="Arial"/>
          <w:bCs/>
          <w:szCs w:val="21"/>
        </w:rPr>
      </w:pPr>
      <w:r>
        <w:rPr>
          <w:rFonts w:ascii="宋体" w:hAnsi="宋体" w:cs="Arial"/>
        </w:rPr>
        <w:t>本基金的</w:t>
      </w:r>
      <w:r>
        <w:rPr>
          <w:rFonts w:ascii="宋体" w:hAnsi="宋体" w:cs="Arial"/>
          <w:bCs/>
          <w:szCs w:val="21"/>
        </w:rPr>
        <w:t>最小申购赎回单位为</w:t>
      </w:r>
      <w:r>
        <w:rPr>
          <w:rFonts w:hint="eastAsia" w:ascii="宋体" w:hAnsi="宋体" w:cs="Arial"/>
          <w:bCs/>
          <w:szCs w:val="21"/>
        </w:rPr>
        <w:t>60万</w:t>
      </w:r>
      <w:r>
        <w:rPr>
          <w:rFonts w:ascii="宋体" w:hAnsi="宋体" w:cs="Arial"/>
          <w:bCs/>
          <w:szCs w:val="21"/>
        </w:rPr>
        <w:t>份</w:t>
      </w:r>
      <w:r>
        <w:rPr>
          <w:rFonts w:hint="eastAsia" w:ascii="宋体" w:hAnsi="宋体" w:cs="Arial"/>
          <w:bCs/>
          <w:szCs w:val="21"/>
        </w:rPr>
        <w:t>。</w:t>
      </w:r>
    </w:p>
    <w:p w14:paraId="5A0E04C5">
      <w:pPr>
        <w:adjustRightInd w:val="0"/>
        <w:snapToGrid w:val="0"/>
        <w:spacing w:line="360" w:lineRule="auto"/>
        <w:ind w:firstLine="420" w:firstLineChars="200"/>
        <w:rPr>
          <w:rFonts w:ascii="宋体" w:hAnsi="宋体" w:cs="Arial"/>
          <w:bCs/>
          <w:szCs w:val="21"/>
        </w:rPr>
      </w:pPr>
      <w:r>
        <w:rPr>
          <w:rFonts w:hint="eastAsia" w:ascii="宋体" w:hAnsi="宋体" w:cs="Arial"/>
          <w:bCs/>
          <w:szCs w:val="21"/>
        </w:rPr>
        <w:t>2、基金管理人可以规定本基金当日申购份额及当日赎回份额上限，具体规定详见申购赎回清单。</w:t>
      </w:r>
    </w:p>
    <w:p w14:paraId="60429DCC">
      <w:pPr>
        <w:adjustRightInd w:val="0"/>
        <w:snapToGrid w:val="0"/>
        <w:spacing w:line="360" w:lineRule="auto"/>
        <w:ind w:firstLine="420" w:firstLineChars="200"/>
        <w:rPr>
          <w:rFonts w:ascii="宋体" w:hAnsi="宋体" w:cs="Arial"/>
          <w:bCs/>
          <w:szCs w:val="21"/>
        </w:rPr>
      </w:pPr>
      <w:r>
        <w:rPr>
          <w:rFonts w:hint="eastAsia" w:ascii="宋体" w:hAnsi="宋体" w:cs="Arial"/>
          <w:bCs/>
          <w:szCs w:val="21"/>
        </w:rPr>
        <w:t>3、基金管理人可以规定投资人每个交易账户的最低基金份额余额，具体规定请参见更新的招募说明书或相关公告。</w:t>
      </w:r>
    </w:p>
    <w:p w14:paraId="4477B80B">
      <w:pPr>
        <w:adjustRightInd w:val="0"/>
        <w:snapToGrid w:val="0"/>
        <w:spacing w:line="360" w:lineRule="auto"/>
        <w:ind w:firstLine="420" w:firstLineChars="200"/>
        <w:rPr>
          <w:rFonts w:ascii="宋体" w:hAnsi="宋体" w:cs="Arial"/>
          <w:bCs/>
          <w:szCs w:val="21"/>
        </w:rPr>
      </w:pPr>
      <w:r>
        <w:rPr>
          <w:rFonts w:hint="eastAsia" w:ascii="宋体" w:hAnsi="宋体" w:cs="Arial"/>
          <w:bCs/>
          <w:szCs w:val="21"/>
        </w:rPr>
        <w:t>4、基金管理人可以规定单个投资人累计持有的基金份额上限，具体规定请参见更新的招募说明书或相关公告。</w:t>
      </w:r>
    </w:p>
    <w:p w14:paraId="2B097BFD">
      <w:pPr>
        <w:adjustRightInd w:val="0"/>
        <w:snapToGrid w:val="0"/>
        <w:spacing w:line="360" w:lineRule="auto"/>
        <w:ind w:firstLine="420" w:firstLineChars="200"/>
        <w:rPr>
          <w:rFonts w:ascii="宋体" w:hAnsi="宋体" w:cs="Arial"/>
          <w:bCs/>
          <w:szCs w:val="21"/>
        </w:rPr>
      </w:pPr>
      <w:r>
        <w:rPr>
          <w:rFonts w:hint="eastAsia" w:ascii="宋体" w:hAnsi="宋体" w:cs="Arial"/>
          <w:bCs/>
          <w:szCs w:val="21"/>
        </w:rPr>
        <w:t>5、当接受申购申请对存量基金份额持有人利益构成潜在重大不利影响时，基金管理人可以采取设定单一投资者申购份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w:t>
      </w:r>
    </w:p>
    <w:p w14:paraId="7E5E7D07">
      <w:pPr>
        <w:adjustRightInd w:val="0"/>
        <w:snapToGrid w:val="0"/>
        <w:spacing w:line="360" w:lineRule="auto"/>
        <w:ind w:firstLine="420" w:firstLineChars="200"/>
        <w:rPr>
          <w:rFonts w:ascii="宋体" w:hAnsi="宋体" w:cs="Arial"/>
          <w:kern w:val="0"/>
          <w:szCs w:val="21"/>
        </w:rPr>
      </w:pPr>
      <w:r>
        <w:rPr>
          <w:rFonts w:hint="eastAsia" w:ascii="宋体" w:hAnsi="宋体" w:cs="Arial"/>
          <w:bCs/>
          <w:szCs w:val="21"/>
        </w:rPr>
        <w:t>6、基金管理人可根据市场情况，在不违反法律法规规定的情况下，调整上述规定数量或比例等限制。基金管理人必须在调整实施前依照《信息披露办法》的有关规定在规定媒介上公告（其中上述第2、3、4条基金管理人必须于前一交易日设定并在当日基金申购、赎回清单上公布，而不必在规定媒介上公告也无需报中国证监会备案）。</w:t>
      </w:r>
    </w:p>
    <w:p w14:paraId="1241003B">
      <w:pPr>
        <w:tabs>
          <w:tab w:val="left" w:pos="3780"/>
        </w:tabs>
        <w:autoSpaceDE w:val="0"/>
        <w:autoSpaceDN w:val="0"/>
        <w:adjustRightInd w:val="0"/>
        <w:snapToGrid w:val="0"/>
        <w:spacing w:line="360" w:lineRule="auto"/>
        <w:ind w:firstLine="422" w:firstLineChars="200"/>
        <w:textAlignment w:val="bottom"/>
        <w:rPr>
          <w:rFonts w:ascii="宋体" w:hAnsi="宋体" w:cs="Arial"/>
          <w:b/>
          <w:bCs/>
          <w:szCs w:val="21"/>
        </w:rPr>
      </w:pPr>
      <w:r>
        <w:rPr>
          <w:rFonts w:hint="eastAsia" w:ascii="宋体" w:hAnsi="宋体" w:cs="Arial"/>
          <w:b/>
          <w:bCs/>
          <w:szCs w:val="21"/>
        </w:rPr>
        <w:t>六、</w:t>
      </w:r>
      <w:r>
        <w:rPr>
          <w:rFonts w:ascii="宋体" w:hAnsi="宋体" w:cs="Arial"/>
          <w:b/>
          <w:bCs/>
          <w:szCs w:val="21"/>
        </w:rPr>
        <w:t>申购与赎回的对价和费用</w:t>
      </w:r>
    </w:p>
    <w:p w14:paraId="2652EEE0">
      <w:pPr>
        <w:tabs>
          <w:tab w:val="left" w:pos="3780"/>
        </w:tabs>
        <w:autoSpaceDE w:val="0"/>
        <w:autoSpaceDN w:val="0"/>
        <w:adjustRightInd w:val="0"/>
        <w:snapToGrid w:val="0"/>
        <w:spacing w:line="360" w:lineRule="auto"/>
        <w:ind w:firstLine="420" w:firstLineChars="200"/>
        <w:textAlignment w:val="bottom"/>
        <w:rPr>
          <w:rFonts w:ascii="宋体" w:hAnsi="宋体" w:cs="Arial"/>
          <w:bCs/>
          <w:kern w:val="0"/>
          <w:szCs w:val="21"/>
        </w:rPr>
      </w:pPr>
      <w:r>
        <w:rPr>
          <w:rFonts w:hint="eastAsia" w:ascii="宋体" w:hAnsi="宋体" w:cs="Arial"/>
          <w:kern w:val="0"/>
          <w:szCs w:val="21"/>
        </w:rPr>
        <w:t>1、</w:t>
      </w:r>
      <w:r>
        <w:rPr>
          <w:rFonts w:hint="eastAsia" w:ascii="宋体" w:hAnsi="宋体" w:cs="Arial"/>
          <w:bCs/>
          <w:kern w:val="0"/>
          <w:szCs w:val="21"/>
        </w:rPr>
        <w:t>申购对价、赎回对价根据申购、赎回清单和投资人申购、赎回的基金份额数额确定。申购对价是指投资人申购基金份额时应交付的现金替代、现金差额和/或其他对价。赎回对价是指投资人赎回基金份额时，基金管理人应交付给投资人的现金替代、现金差额和/或其他对价。</w:t>
      </w:r>
    </w:p>
    <w:p w14:paraId="475366B1">
      <w:pPr>
        <w:tabs>
          <w:tab w:val="left" w:pos="3780"/>
        </w:tabs>
        <w:autoSpaceDE w:val="0"/>
        <w:autoSpaceDN w:val="0"/>
        <w:adjustRightInd w:val="0"/>
        <w:snapToGrid w:val="0"/>
        <w:spacing w:line="360" w:lineRule="auto"/>
        <w:ind w:firstLine="420" w:firstLineChars="200"/>
        <w:textAlignment w:val="bottom"/>
        <w:rPr>
          <w:rFonts w:ascii="宋体" w:hAnsi="宋体" w:cs="Arial"/>
          <w:kern w:val="0"/>
          <w:szCs w:val="21"/>
        </w:rPr>
      </w:pPr>
      <w:r>
        <w:rPr>
          <w:rFonts w:hint="eastAsia" w:ascii="宋体" w:hAnsi="宋体" w:cs="Arial"/>
          <w:kern w:val="0"/>
          <w:szCs w:val="21"/>
        </w:rPr>
        <w:t>2、申购、赎回清单由基金管理人编制。T日的申购、赎回清单在当日上海证券交易所开市前公告。如遇特殊情况，可以适当延迟计算或公告。申购赎回清单的内容与格式见下文“七、申购赎回清单的内容与格式”。</w:t>
      </w:r>
    </w:p>
    <w:p w14:paraId="6FB8FF93">
      <w:pPr>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lang w:val="en-US" w:eastAsia="zh-CN"/>
        </w:rPr>
        <w:t>3</w:t>
      </w:r>
      <w:r>
        <w:rPr>
          <w:rFonts w:hint="eastAsia" w:ascii="宋体" w:hAnsi="宋体" w:cs="Arial"/>
          <w:kern w:val="0"/>
          <w:szCs w:val="21"/>
        </w:rPr>
        <w:t>、投资者在申购本基金时，申购赎回代理券商可按照不超过0.3%的标准收取佣金，投资者在赎回本基金份额时，申购赎回代理机构可按照不超过0.5%的标准收取佣金，其中包含证券交易所、登记机构等收取的相关费用。</w:t>
      </w:r>
    </w:p>
    <w:p w14:paraId="3DB7E676">
      <w:pPr>
        <w:adjustRightInd w:val="0"/>
        <w:snapToGrid w:val="0"/>
        <w:spacing w:line="360" w:lineRule="auto"/>
        <w:ind w:firstLine="420" w:firstLineChars="200"/>
        <w:rPr>
          <w:rFonts w:ascii="宋体" w:hAnsi="宋体" w:cs="Arial"/>
          <w:bCs/>
          <w:kern w:val="0"/>
          <w:szCs w:val="21"/>
        </w:rPr>
      </w:pPr>
      <w:r>
        <w:rPr>
          <w:rFonts w:hint="eastAsia" w:ascii="宋体" w:hAnsi="宋体" w:cs="Arial"/>
          <w:kern w:val="0"/>
          <w:szCs w:val="21"/>
        </w:rPr>
        <w:t>4、本基金份额净值的计算，保留到小数点后4位，小数点后第5位四舍五入，由此产生的收益或损失由基金财产承担。根据本基金目前的实际情况，本基金T日的基金份额净值在当天收市后计算，并按照基金合同的约定公告。遇特殊情况，经履行适当</w:t>
      </w:r>
      <w:r>
        <w:rPr>
          <w:rFonts w:ascii="宋体" w:hAnsi="宋体" w:cs="Arial"/>
          <w:kern w:val="0"/>
          <w:szCs w:val="21"/>
        </w:rPr>
        <w:t>程序</w:t>
      </w:r>
      <w:r>
        <w:rPr>
          <w:rFonts w:hint="eastAsia" w:ascii="宋体" w:hAnsi="宋体" w:cs="Arial"/>
          <w:kern w:val="0"/>
          <w:szCs w:val="21"/>
        </w:rPr>
        <w:t>，可以适当延迟计算或公告。</w:t>
      </w:r>
    </w:p>
    <w:p w14:paraId="430ACB57">
      <w:pPr>
        <w:adjustRightInd w:val="0"/>
        <w:snapToGrid w:val="0"/>
        <w:spacing w:line="360" w:lineRule="auto"/>
        <w:ind w:firstLine="420" w:firstLineChars="200"/>
        <w:rPr>
          <w:rFonts w:ascii="宋体" w:hAnsi="宋体" w:cs="Arial"/>
          <w:kern w:val="0"/>
          <w:szCs w:val="21"/>
        </w:rPr>
      </w:pPr>
      <w:r>
        <w:rPr>
          <w:rFonts w:hint="eastAsia" w:ascii="宋体" w:hAnsi="宋体" w:cs="Arial"/>
          <w:bCs/>
          <w:kern w:val="0"/>
          <w:szCs w:val="21"/>
        </w:rPr>
        <w:t>5、</w:t>
      </w:r>
      <w:r>
        <w:rPr>
          <w:rFonts w:ascii="宋体" w:hAnsi="宋体" w:cs="Arial"/>
          <w:bCs/>
          <w:kern w:val="0"/>
          <w:szCs w:val="21"/>
        </w:rPr>
        <w:t>基金管理人可以在不违反相关法律法规的情况下对基金份额净值、申购赎回清单计算和公告时间进行调整并提前公告。</w:t>
      </w:r>
    </w:p>
    <w:p w14:paraId="0A2E2B9E">
      <w:pPr>
        <w:adjustRightInd w:val="0"/>
        <w:snapToGrid w:val="0"/>
        <w:spacing w:line="360" w:lineRule="auto"/>
        <w:ind w:firstLine="420"/>
        <w:rPr>
          <w:rFonts w:ascii="宋体" w:hAnsi="宋体" w:cs="Arial"/>
          <w:b/>
          <w:kern w:val="0"/>
          <w:szCs w:val="21"/>
        </w:rPr>
      </w:pPr>
      <w:r>
        <w:rPr>
          <w:rFonts w:hint="eastAsia" w:ascii="宋体" w:hAnsi="宋体" w:cs="Arial"/>
          <w:b/>
          <w:kern w:val="0"/>
          <w:szCs w:val="21"/>
        </w:rPr>
        <w:t>七、</w:t>
      </w:r>
      <w:r>
        <w:rPr>
          <w:rFonts w:ascii="宋体" w:hAnsi="宋体" w:cs="Arial"/>
          <w:b/>
          <w:kern w:val="0"/>
          <w:szCs w:val="21"/>
        </w:rPr>
        <w:t>申购赎回清单的内容与格式</w:t>
      </w:r>
    </w:p>
    <w:p w14:paraId="4FCAA0AB">
      <w:pPr>
        <w:adjustRightInd w:val="0"/>
        <w:snapToGrid w:val="0"/>
        <w:spacing w:line="360" w:lineRule="auto"/>
        <w:ind w:firstLine="420"/>
        <w:rPr>
          <w:rFonts w:ascii="宋体" w:hAnsi="宋体" w:cs="Arial"/>
        </w:rPr>
      </w:pPr>
      <w:r>
        <w:rPr>
          <w:rFonts w:hint="eastAsia" w:ascii="宋体" w:hAnsi="宋体" w:cs="Arial"/>
        </w:rPr>
        <w:t>1、</w:t>
      </w:r>
      <w:r>
        <w:rPr>
          <w:rFonts w:ascii="宋体" w:hAnsi="宋体" w:cs="Arial"/>
        </w:rPr>
        <w:t>申购赎回清单的内容</w:t>
      </w:r>
    </w:p>
    <w:p w14:paraId="1EC105A8">
      <w:pPr>
        <w:adjustRightInd w:val="0"/>
        <w:snapToGrid w:val="0"/>
        <w:spacing w:line="360" w:lineRule="auto"/>
        <w:ind w:firstLine="420"/>
        <w:rPr>
          <w:rFonts w:ascii="宋体" w:hAnsi="宋体" w:cs="Arial"/>
        </w:rPr>
      </w:pPr>
      <w:r>
        <w:rPr>
          <w:rFonts w:hint="eastAsia" w:ascii="宋体" w:hAnsi="宋体" w:cs="Arial"/>
        </w:rPr>
        <w:t>T日申购赎回清单公告内容包括最小申购、赎回单位所对应的组合证券内各成份证券数据、现金替代、T日预估现金部分、T-1日的现金差额、基金份额净值及其他相关内容。</w:t>
      </w:r>
    </w:p>
    <w:p w14:paraId="7103A479">
      <w:pPr>
        <w:adjustRightInd w:val="0"/>
        <w:snapToGrid w:val="0"/>
        <w:spacing w:line="360" w:lineRule="auto"/>
        <w:ind w:firstLine="420"/>
        <w:rPr>
          <w:rFonts w:ascii="宋体" w:hAnsi="宋体" w:cs="Arial"/>
        </w:rPr>
      </w:pPr>
      <w:r>
        <w:rPr>
          <w:rFonts w:hint="eastAsia" w:ascii="宋体" w:hAnsi="宋体" w:cs="Arial"/>
        </w:rPr>
        <w:t>2、</w:t>
      </w:r>
      <w:r>
        <w:rPr>
          <w:rFonts w:ascii="宋体" w:hAnsi="宋体" w:cs="Arial"/>
        </w:rPr>
        <w:t>组合证券相关内容</w:t>
      </w:r>
    </w:p>
    <w:p w14:paraId="08A96604">
      <w:pPr>
        <w:adjustRightInd w:val="0"/>
        <w:snapToGrid w:val="0"/>
        <w:spacing w:line="360" w:lineRule="auto"/>
        <w:ind w:firstLine="420"/>
        <w:rPr>
          <w:rFonts w:ascii="宋体" w:hAnsi="宋体" w:cs="Arial"/>
        </w:rPr>
      </w:pPr>
      <w:r>
        <w:rPr>
          <w:rFonts w:ascii="宋体" w:hAnsi="宋体" w:cs="Arial"/>
        </w:rPr>
        <w:t>组合证券是指本基金标的指数所包含的全部或部分证券。申购赎回清单将公告最小申购赎回单位所对应的各成份证券名称、证券代码及数量。</w:t>
      </w:r>
    </w:p>
    <w:p w14:paraId="67BEC274">
      <w:pPr>
        <w:adjustRightInd w:val="0"/>
        <w:snapToGrid w:val="0"/>
        <w:spacing w:line="360" w:lineRule="auto"/>
        <w:ind w:firstLine="420"/>
        <w:rPr>
          <w:rFonts w:ascii="宋体" w:hAnsi="宋体" w:cs="Arial"/>
        </w:rPr>
      </w:pPr>
      <w:r>
        <w:rPr>
          <w:rFonts w:hint="eastAsia" w:ascii="宋体" w:hAnsi="宋体" w:cs="Arial"/>
        </w:rPr>
        <w:t>3、</w:t>
      </w:r>
      <w:r>
        <w:rPr>
          <w:rFonts w:ascii="宋体" w:hAnsi="宋体" w:cs="Arial"/>
        </w:rPr>
        <w:t>现金替代相关内容</w:t>
      </w:r>
    </w:p>
    <w:p w14:paraId="6BC83220">
      <w:pPr>
        <w:adjustRightInd w:val="0"/>
        <w:snapToGrid w:val="0"/>
        <w:spacing w:line="360" w:lineRule="auto"/>
        <w:ind w:firstLine="420"/>
        <w:rPr>
          <w:rFonts w:hint="eastAsia" w:ascii="宋体" w:hAnsi="宋体" w:cs="Arial"/>
        </w:rPr>
      </w:pPr>
      <w:r>
        <w:rPr>
          <w:rFonts w:hint="eastAsia" w:ascii="宋体" w:hAnsi="宋体" w:cs="Arial"/>
        </w:rPr>
        <w:t>现金替代是指申购、赎回过程中，投资人按基金合同和招募说明书规定的原则，用于替代组合证券中部分证券的一定数量的现金。</w:t>
      </w:r>
    </w:p>
    <w:p w14:paraId="5243A8A7">
      <w:pPr>
        <w:adjustRightInd w:val="0"/>
        <w:snapToGrid w:val="0"/>
        <w:spacing w:line="360" w:lineRule="auto"/>
        <w:ind w:firstLine="420"/>
        <w:rPr>
          <w:rFonts w:hint="eastAsia" w:ascii="宋体" w:hAnsi="宋体" w:cs="Arial"/>
        </w:rPr>
      </w:pPr>
      <w:r>
        <w:rPr>
          <w:rFonts w:hint="eastAsia" w:ascii="宋体" w:hAnsi="宋体" w:cs="Arial"/>
        </w:rPr>
        <w:t>现金替代分为两种类型：必须现金替代（标志为“必须”）和可以现金替代（标志为“允许”）。</w:t>
      </w:r>
    </w:p>
    <w:p w14:paraId="08FF8CC3">
      <w:pPr>
        <w:adjustRightInd w:val="0"/>
        <w:snapToGrid w:val="0"/>
        <w:spacing w:line="360" w:lineRule="auto"/>
        <w:ind w:firstLine="420"/>
        <w:rPr>
          <w:rFonts w:hint="eastAsia" w:ascii="宋体" w:hAnsi="宋体" w:cs="Arial"/>
        </w:rPr>
      </w:pPr>
      <w:r>
        <w:rPr>
          <w:rFonts w:hint="eastAsia" w:ascii="宋体" w:hAnsi="宋体" w:cs="Arial"/>
        </w:rPr>
        <w:t>必须现金替代适用于所有成份股，是指在申购、赎回基金份额时，该成份证券必须使用现金作为替代。</w:t>
      </w:r>
    </w:p>
    <w:p w14:paraId="227811A6">
      <w:pPr>
        <w:adjustRightInd w:val="0"/>
        <w:snapToGrid w:val="0"/>
        <w:spacing w:line="360" w:lineRule="auto"/>
        <w:ind w:firstLine="420"/>
        <w:rPr>
          <w:rFonts w:hint="eastAsia" w:ascii="宋体" w:hAnsi="宋体" w:cs="Arial"/>
          <w:b/>
        </w:rPr>
      </w:pPr>
      <w:r>
        <w:rPr>
          <w:rFonts w:hint="eastAsia" w:ascii="宋体" w:hAnsi="宋体" w:cs="Arial"/>
        </w:rPr>
        <w:t>可以现金替代是指当投资人申购或赎回基金份额时，允许使用现金作为组合证券的替代，基金管理人按照申购赎回清单要求，代理投资人买入或卖出组合证券，并与投资人进行相应结算。</w:t>
      </w:r>
    </w:p>
    <w:p w14:paraId="0789A4B9">
      <w:pPr>
        <w:adjustRightInd w:val="0"/>
        <w:snapToGrid w:val="0"/>
        <w:spacing w:line="360" w:lineRule="auto"/>
        <w:ind w:firstLine="420"/>
        <w:rPr>
          <w:rFonts w:ascii="宋体" w:hAnsi="宋体" w:cs="Arial"/>
          <w:b/>
        </w:rPr>
      </w:pPr>
      <w:r>
        <w:rPr>
          <w:rFonts w:hint="eastAsia" w:ascii="宋体" w:hAnsi="宋体" w:cs="Arial"/>
          <w:b/>
        </w:rPr>
        <w:t>（1）</w:t>
      </w:r>
      <w:r>
        <w:rPr>
          <w:rFonts w:ascii="宋体" w:hAnsi="宋体" w:cs="Arial"/>
          <w:b/>
        </w:rPr>
        <w:t>关于必须现金替代</w:t>
      </w:r>
    </w:p>
    <w:p w14:paraId="7D7645C3">
      <w:pPr>
        <w:adjustRightInd w:val="0"/>
        <w:snapToGrid w:val="0"/>
        <w:spacing w:line="360" w:lineRule="auto"/>
        <w:ind w:firstLine="420"/>
        <w:rPr>
          <w:rFonts w:ascii="宋体" w:hAnsi="宋体" w:cs="Arial"/>
        </w:rPr>
      </w:pPr>
      <w:r>
        <w:rPr>
          <w:rFonts w:hint="eastAsia" w:ascii="宋体" w:hAnsi="宋体" w:cs="Arial"/>
        </w:rPr>
        <w:t>1）适用情形：必须现金替代的证券一般是由于标的指数调整将被剔除的成份证券以及处于停牌的股票，或出于保护基金持有人利益等目的基金管理人认为有必要实行必须现金替代的成份证券。</w:t>
      </w:r>
    </w:p>
    <w:p w14:paraId="73FF9E0B">
      <w:pPr>
        <w:adjustRightInd w:val="0"/>
        <w:snapToGrid w:val="0"/>
        <w:spacing w:line="360" w:lineRule="auto"/>
        <w:ind w:firstLine="420"/>
        <w:rPr>
          <w:rFonts w:ascii="宋体" w:hAnsi="宋体" w:cs="Arial"/>
        </w:rPr>
      </w:pPr>
      <w:r>
        <w:rPr>
          <w:rFonts w:hint="eastAsia" w:ascii="宋体" w:hAnsi="宋体" w:cs="Arial"/>
        </w:rPr>
        <w:t>2）替代金额：对于必须现金替代的证券，基金管理人将在申购赎回清单中公告替代的一定数量的现金，即“固定替代金额”。固定替代金额的计算方法为申购赎回清单中该证券的数量乘以其T日预估开盘价并按照T-1日估值汇率换算或基金管理人认为合理的其他方法。</w:t>
      </w:r>
    </w:p>
    <w:p w14:paraId="26190992">
      <w:pPr>
        <w:adjustRightInd w:val="0"/>
        <w:snapToGrid w:val="0"/>
        <w:spacing w:line="360" w:lineRule="auto"/>
        <w:ind w:firstLine="420"/>
        <w:rPr>
          <w:rFonts w:ascii="宋体" w:hAnsi="宋体" w:cs="Arial"/>
          <w:b/>
          <w:highlight w:val="none"/>
        </w:rPr>
      </w:pPr>
      <w:r>
        <w:rPr>
          <w:rFonts w:hint="eastAsia" w:ascii="宋体" w:hAnsi="宋体" w:cs="Arial"/>
          <w:b/>
          <w:highlight w:val="none"/>
        </w:rPr>
        <w:t>（2）关于</w:t>
      </w:r>
      <w:r>
        <w:rPr>
          <w:rFonts w:hint="eastAsia" w:ascii="宋体" w:hAnsi="宋体" w:cs="Arial"/>
          <w:b/>
          <w:highlight w:val="none"/>
          <w:lang w:val="en-US" w:eastAsia="zh-CN"/>
        </w:rPr>
        <w:t>可以</w:t>
      </w:r>
      <w:r>
        <w:rPr>
          <w:rFonts w:hint="eastAsia" w:ascii="宋体" w:hAnsi="宋体" w:cs="Arial"/>
          <w:b/>
          <w:highlight w:val="none"/>
        </w:rPr>
        <w:t>现金替代</w:t>
      </w:r>
    </w:p>
    <w:p w14:paraId="6FBDB1DF">
      <w:pPr>
        <w:adjustRightInd w:val="0"/>
        <w:snapToGrid w:val="0"/>
        <w:spacing w:line="360" w:lineRule="auto"/>
        <w:ind w:firstLine="420"/>
        <w:rPr>
          <w:rFonts w:ascii="宋体" w:hAnsi="宋体"/>
          <w:szCs w:val="21"/>
          <w:highlight w:val="none"/>
        </w:rPr>
      </w:pPr>
      <w:r>
        <w:rPr>
          <w:rFonts w:hint="eastAsia" w:ascii="宋体" w:hAnsi="宋体"/>
          <w:szCs w:val="21"/>
          <w:highlight w:val="none"/>
        </w:rPr>
        <w:t>1）适用情形：</w:t>
      </w:r>
      <w:r>
        <w:rPr>
          <w:rFonts w:hint="eastAsia" w:ascii="宋体" w:hAnsi="宋体"/>
          <w:szCs w:val="21"/>
          <w:highlight w:val="none"/>
          <w:lang w:val="en-US" w:eastAsia="zh-CN"/>
        </w:rPr>
        <w:t>可以</w:t>
      </w:r>
      <w:r>
        <w:rPr>
          <w:rFonts w:hint="eastAsia" w:ascii="宋体" w:hAnsi="宋体"/>
          <w:szCs w:val="21"/>
          <w:highlight w:val="none"/>
        </w:rPr>
        <w:t>现金替代的组合证券是需要在投资人现金申购或赎回时代理投资人买入或卖出的组合证券。</w:t>
      </w:r>
    </w:p>
    <w:p w14:paraId="03A33CD0">
      <w:pPr>
        <w:adjustRightInd w:val="0"/>
        <w:snapToGrid w:val="0"/>
        <w:spacing w:line="360" w:lineRule="auto"/>
        <w:ind w:firstLine="420"/>
        <w:rPr>
          <w:rFonts w:ascii="宋体" w:hAnsi="宋体"/>
          <w:szCs w:val="21"/>
          <w:highlight w:val="none"/>
        </w:rPr>
      </w:pPr>
      <w:r>
        <w:rPr>
          <w:rFonts w:hint="eastAsia" w:ascii="宋体" w:hAnsi="宋体"/>
          <w:szCs w:val="21"/>
          <w:highlight w:val="none"/>
        </w:rPr>
        <w:t>2）替代金额：对于</w:t>
      </w:r>
      <w:r>
        <w:rPr>
          <w:rFonts w:hint="eastAsia" w:ascii="宋体" w:hAnsi="宋体"/>
          <w:szCs w:val="21"/>
          <w:highlight w:val="none"/>
          <w:lang w:val="en-US" w:eastAsia="zh-CN"/>
        </w:rPr>
        <w:t>可以</w:t>
      </w:r>
      <w:r>
        <w:rPr>
          <w:rFonts w:hint="eastAsia" w:ascii="宋体" w:hAnsi="宋体"/>
          <w:szCs w:val="21"/>
          <w:highlight w:val="none"/>
        </w:rPr>
        <w:t>现金替代的证券，替代金额的计算公式为：</w:t>
      </w:r>
    </w:p>
    <w:p w14:paraId="6E05C83F">
      <w:pPr>
        <w:adjustRightInd w:val="0"/>
        <w:snapToGrid w:val="0"/>
        <w:spacing w:line="360" w:lineRule="auto"/>
        <w:ind w:firstLine="420"/>
        <w:rPr>
          <w:rFonts w:ascii="宋体" w:hAnsi="宋体"/>
          <w:szCs w:val="21"/>
          <w:highlight w:val="none"/>
        </w:rPr>
      </w:pPr>
      <w:r>
        <w:rPr>
          <w:rFonts w:hint="eastAsia" w:ascii="宋体" w:hAnsi="宋体"/>
          <w:szCs w:val="21"/>
          <w:highlight w:val="none"/>
        </w:rPr>
        <w:t>申购的替代金额＝替代证券数量×该证券调整后T日开盘参考价×T-1日估值汇率×（1+现金替代溢价比例）。</w:t>
      </w:r>
    </w:p>
    <w:p w14:paraId="48AE00AD">
      <w:pPr>
        <w:adjustRightInd w:val="0"/>
        <w:snapToGrid w:val="0"/>
        <w:spacing w:line="360" w:lineRule="auto"/>
        <w:ind w:firstLine="420"/>
        <w:rPr>
          <w:rFonts w:ascii="宋体" w:hAnsi="宋体"/>
          <w:szCs w:val="21"/>
          <w:highlight w:val="none"/>
        </w:rPr>
      </w:pPr>
      <w:r>
        <w:rPr>
          <w:rFonts w:hint="eastAsia" w:ascii="宋体" w:hAnsi="宋体"/>
          <w:szCs w:val="21"/>
          <w:highlight w:val="none"/>
        </w:rPr>
        <w:t>3）替代金额的处理程序</w:t>
      </w:r>
    </w:p>
    <w:p w14:paraId="4069E99C">
      <w:pPr>
        <w:adjustRightInd w:val="0"/>
        <w:snapToGrid w:val="0"/>
        <w:spacing w:line="360" w:lineRule="auto"/>
        <w:ind w:firstLine="420"/>
        <w:rPr>
          <w:rFonts w:ascii="宋体" w:hAnsi="宋体"/>
          <w:szCs w:val="21"/>
          <w:highlight w:val="none"/>
        </w:rPr>
      </w:pPr>
      <w:r>
        <w:rPr>
          <w:rFonts w:hint="eastAsia" w:ascii="宋体" w:hAnsi="宋体"/>
          <w:szCs w:val="21"/>
          <w:highlight w:val="none"/>
        </w:rPr>
        <w:t>对</w:t>
      </w:r>
      <w:r>
        <w:rPr>
          <w:rFonts w:hint="eastAsia" w:ascii="宋体" w:hAnsi="宋体"/>
          <w:szCs w:val="21"/>
          <w:highlight w:val="none"/>
          <w:lang w:val="en-US" w:eastAsia="zh-CN"/>
        </w:rPr>
        <w:t>可以</w:t>
      </w:r>
      <w:r>
        <w:rPr>
          <w:rFonts w:hint="eastAsia" w:ascii="宋体" w:hAnsi="宋体"/>
          <w:szCs w:val="21"/>
          <w:highlight w:val="none"/>
        </w:rPr>
        <w:t>现金替代而言，申购时收取现金替代溢价的原因是，基金管理人需要在收到申购确认信息后，在香港市场买入组合证券，结算成本与替代金额可能有所差异。对于使用现金替代的证券，基金管理人将买入该证券，实际买入价格加上相关交易费用并折算为人民币后与该证券调整后T日开盘参考价，按照汇率折算后的金额，可能有所差异。为便于操作，基金管理人在申购赎回清单中预先确定现金替代溢价比例，并据此收取替代金额。如果预先收取的金额高于基金购入该部分证券的实际成本，则基金管理人将退还多收取的差额；如果预先收取的金额低于基金购入该部分证券的实际成本，则基金管理人将向投资者收取欠缺的差额。</w:t>
      </w:r>
    </w:p>
    <w:p w14:paraId="70C83BB2">
      <w:pPr>
        <w:adjustRightInd w:val="0"/>
        <w:snapToGrid w:val="0"/>
        <w:spacing w:line="360" w:lineRule="auto"/>
        <w:ind w:firstLine="420"/>
        <w:rPr>
          <w:rFonts w:ascii="宋体" w:hAnsi="宋体"/>
          <w:szCs w:val="21"/>
          <w:highlight w:val="none"/>
        </w:rPr>
      </w:pPr>
      <w:r>
        <w:rPr>
          <w:rFonts w:hint="eastAsia" w:ascii="宋体" w:hAnsi="宋体"/>
          <w:szCs w:val="21"/>
          <w:highlight w:val="none"/>
        </w:rPr>
        <w:t>对于确认成功的T 日申购申请，T日（指开放日）内基金管理人根据申购规模进行组合证券的代理买入。T日（指开放日）日终，基金管理人根据所购入的被替代组合证券的实际单位购入成本、实际购入的相关费用、未购入的被替代组合证券的T日（指开放日）收盘价（折算为人民币，折算汇率包括但不限于中国外汇交易中心</w:t>
      </w:r>
      <w:r>
        <w:rPr>
          <w:rFonts w:hint="eastAsia" w:ascii="宋体" w:hAnsi="宋体"/>
          <w:szCs w:val="21"/>
          <w:highlight w:val="none"/>
          <w:lang w:val="en-US" w:eastAsia="zh-CN"/>
        </w:rPr>
        <w:t>公布的北京时间16:00主要货币兑人民币</w:t>
      </w:r>
      <w:r>
        <w:rPr>
          <w:rFonts w:hint="eastAsia" w:ascii="宋体" w:hAnsi="宋体"/>
          <w:szCs w:val="21"/>
          <w:highlight w:val="none"/>
        </w:rPr>
        <w:t>参考汇率、中国人民银行或其授权机构最新公布的人民币汇率中间价、与基金托管人商定的其他公允价格等；被替代组合证券T日（指开放日）无交易的，取最近交易日的收盘价）计算并确定被替代组合证券的单位结算成本，在此基础上根据替代组合证券数量和现金替代保证金确定基金应退还投资人的款项或投资人应补交的款项。T日后的两个工作日内，基金管理人将应退款或补款与相关申购赎回代理机构办理交收。若发生特殊情况，基金管理人可以对交收日期进行相应调整。</w:t>
      </w:r>
    </w:p>
    <w:p w14:paraId="77900CCD">
      <w:pPr>
        <w:adjustRightInd w:val="0"/>
        <w:snapToGrid w:val="0"/>
        <w:spacing w:line="360" w:lineRule="auto"/>
        <w:ind w:firstLine="420"/>
        <w:rPr>
          <w:rFonts w:ascii="宋体" w:hAnsi="宋体"/>
          <w:szCs w:val="21"/>
          <w:highlight w:val="none"/>
        </w:rPr>
      </w:pPr>
      <w:r>
        <w:rPr>
          <w:rFonts w:hint="eastAsia" w:ascii="宋体" w:hAnsi="宋体"/>
          <w:szCs w:val="21"/>
          <w:highlight w:val="none"/>
        </w:rPr>
        <w:t>如遇港股通临时停市、港股通交易每日额度或总额度不足等特殊情况，组合证券的代理买入及结算价格可依次顺延至下一港股通交易日直至交易正常。如遇证券长期停牌、流动性不足等可能导致收盘价或最后成交价不公允的特殊情况，可参照证券的估值价格，对结算成本进行调整。如果基金管理人认为该证券复牌后的价格可能存在较大波动，且可能对基金资产净值产生较大影响，为了更好的维护持有人利益，该证券对应的现金替代款的清算交收可在其复牌后按照实际交易成本办理。在此期间若该证券发生除息、送股（转增）、配股等重要权益变动，则进行相应调整。</w:t>
      </w:r>
    </w:p>
    <w:p w14:paraId="1AE00996">
      <w:pPr>
        <w:adjustRightInd w:val="0"/>
        <w:snapToGrid w:val="0"/>
        <w:spacing w:line="360" w:lineRule="auto"/>
        <w:ind w:firstLine="420"/>
        <w:rPr>
          <w:rFonts w:ascii="宋体" w:hAnsi="宋体"/>
          <w:szCs w:val="21"/>
          <w:highlight w:val="none"/>
        </w:rPr>
      </w:pPr>
      <w:r>
        <w:rPr>
          <w:rFonts w:hint="eastAsia" w:ascii="宋体" w:hAnsi="宋体"/>
          <w:szCs w:val="21"/>
          <w:highlight w:val="none"/>
        </w:rPr>
        <w:t>对于确认成功的T 日赎回申请，T日（指开放日）内基金管理人根据所卖出的被替代组合证券的实际单位卖出成本、实际卖出的相关费用、未卖出的被替代组合证券的T日（指开放日）收盘价（折算为人民币，折算汇率</w:t>
      </w:r>
      <w:r>
        <w:rPr>
          <w:rFonts w:hint="eastAsia" w:ascii="宋体" w:hAnsi="宋体" w:cs="Arial"/>
          <w:szCs w:val="21"/>
          <w:highlight w:val="none"/>
        </w:rPr>
        <w:t>包括但不限于中国外汇交易中心</w:t>
      </w:r>
      <w:r>
        <w:rPr>
          <w:rFonts w:hint="eastAsia" w:ascii="宋体" w:hAnsi="宋体"/>
          <w:szCs w:val="21"/>
          <w:highlight w:val="none"/>
          <w:lang w:val="en-US" w:eastAsia="zh-CN"/>
        </w:rPr>
        <w:t>公布的北京时间16:00主要货币兑人民币</w:t>
      </w:r>
      <w:r>
        <w:rPr>
          <w:rFonts w:hint="eastAsia" w:ascii="宋体" w:hAnsi="宋体" w:cs="Arial"/>
          <w:szCs w:val="21"/>
          <w:highlight w:val="none"/>
        </w:rPr>
        <w:t>参考汇率、中国人民银行或其授权机构最新公布的人民币汇率中间价、与基金托管人商定的其他公允价格等</w:t>
      </w:r>
      <w:r>
        <w:rPr>
          <w:rFonts w:hint="eastAsia" w:ascii="宋体" w:hAnsi="宋体"/>
          <w:szCs w:val="21"/>
          <w:highlight w:val="none"/>
        </w:rPr>
        <w:t>；被替代组合证券T日（指开放日）无交易的，取最近交易日的收盘价；交易日无收盘价的，取最后收盘价）计算并确定被替代组合证券的单位结算成本，在此基础上根据替代组合证券数量确定赎回替代金额。T日后的第3个港股通交收日后的两个工作日内，基金管理人将应支付的赎回现金替代款与相关申购赎回代理机构办理交收。若发生特殊情况，基金管理人可以对交收日期进行相应调整。</w:t>
      </w:r>
    </w:p>
    <w:p w14:paraId="289F5EDD">
      <w:pPr>
        <w:adjustRightInd w:val="0"/>
        <w:snapToGrid w:val="0"/>
        <w:spacing w:line="360" w:lineRule="auto"/>
        <w:ind w:firstLine="420"/>
        <w:rPr>
          <w:rFonts w:ascii="宋体" w:hAnsi="宋体"/>
          <w:szCs w:val="21"/>
          <w:highlight w:val="none"/>
        </w:rPr>
      </w:pPr>
      <w:r>
        <w:rPr>
          <w:rFonts w:hint="eastAsia" w:ascii="宋体" w:hAnsi="宋体"/>
          <w:szCs w:val="21"/>
          <w:highlight w:val="none"/>
        </w:rPr>
        <w:t>如遇港股通临时停市等特殊情况，组合证券的代理卖出及结算价格可依次顺延至下一港股通交易日直至交易正常。如遇证券长期停牌、流动性不足等可能导致收盘价或最后成交价不公允的特殊情况，可参照证券的估值价格，对结算成本进行调整。如果基金管理人认为该证券复牌后的价格可能存在较大波动，且可能对基金资产净值产生较大影响，为了更好的维护持有人利益，该证券对应的现金替代款的清算交收可在其复牌后按照实际交易成本办理。在此期间若该证券发生除息、送股（转增）、配股等重要权益变动，则进行相应调整。</w:t>
      </w:r>
    </w:p>
    <w:p w14:paraId="131E9D26">
      <w:pPr>
        <w:adjustRightInd w:val="0"/>
        <w:snapToGrid w:val="0"/>
        <w:spacing w:line="360" w:lineRule="auto"/>
        <w:ind w:firstLine="420"/>
        <w:rPr>
          <w:rFonts w:ascii="宋体" w:hAnsi="宋体"/>
          <w:szCs w:val="21"/>
          <w:highlight w:val="none"/>
        </w:rPr>
      </w:pPr>
      <w:r>
        <w:rPr>
          <w:rFonts w:hint="eastAsia" w:ascii="宋体" w:hAnsi="宋体"/>
          <w:szCs w:val="21"/>
          <w:highlight w:val="none"/>
        </w:rPr>
        <w:t>未来如港股通的交易、结算规则发生改变，或《业务规则》发生改变，或基金管理人与基金托管人及申购赎回代理机构之间的结算相关安排发生改变，基金管理人可以对上述</w:t>
      </w:r>
      <w:r>
        <w:rPr>
          <w:rFonts w:hint="eastAsia" w:ascii="宋体" w:hAnsi="宋体"/>
          <w:szCs w:val="21"/>
          <w:highlight w:val="none"/>
          <w:lang w:val="en-US" w:eastAsia="zh-CN"/>
        </w:rPr>
        <w:t>可以</w:t>
      </w:r>
      <w:r>
        <w:rPr>
          <w:rFonts w:hint="eastAsia" w:ascii="宋体" w:hAnsi="宋体"/>
          <w:szCs w:val="21"/>
          <w:highlight w:val="none"/>
        </w:rPr>
        <w:t>现金替代处理规则进行调整，并按规定公告。</w:t>
      </w:r>
    </w:p>
    <w:p w14:paraId="6777D958">
      <w:pPr>
        <w:adjustRightInd w:val="0"/>
        <w:snapToGrid w:val="0"/>
        <w:spacing w:line="360" w:lineRule="auto"/>
        <w:ind w:firstLine="420"/>
        <w:rPr>
          <w:rFonts w:ascii="宋体" w:hAnsi="宋体"/>
          <w:szCs w:val="21"/>
          <w:highlight w:val="none"/>
        </w:rPr>
      </w:pPr>
      <w:r>
        <w:rPr>
          <w:rFonts w:hint="eastAsia" w:ascii="宋体" w:hAnsi="宋体"/>
          <w:szCs w:val="21"/>
          <w:highlight w:val="none"/>
        </w:rPr>
        <w:t>4、</w:t>
      </w:r>
      <w:r>
        <w:rPr>
          <w:rFonts w:ascii="宋体" w:hAnsi="宋体"/>
          <w:szCs w:val="21"/>
          <w:highlight w:val="none"/>
        </w:rPr>
        <w:t>预估现金部分相关内容</w:t>
      </w:r>
    </w:p>
    <w:p w14:paraId="2066F6EF">
      <w:pPr>
        <w:adjustRightInd w:val="0"/>
        <w:snapToGrid w:val="0"/>
        <w:spacing w:line="360" w:lineRule="auto"/>
        <w:ind w:firstLine="420"/>
        <w:rPr>
          <w:rFonts w:ascii="宋体" w:hAnsi="宋体" w:cs="Arial"/>
          <w:highlight w:val="none"/>
        </w:rPr>
      </w:pPr>
      <w:r>
        <w:rPr>
          <w:rFonts w:hint="eastAsia" w:ascii="宋体" w:hAnsi="宋体" w:cs="Arial"/>
          <w:highlight w:val="none"/>
        </w:rPr>
        <w:t>预估现金部分是指，为便于计算基金份额参考净值及申购赎回代理券商预先冻结申请申购、赎回的投资人的相应资金，由基金管理人计算的现金数额。</w:t>
      </w:r>
    </w:p>
    <w:p w14:paraId="196474E3">
      <w:pPr>
        <w:adjustRightInd w:val="0"/>
        <w:snapToGrid w:val="0"/>
        <w:spacing w:line="360" w:lineRule="auto"/>
        <w:ind w:firstLine="420"/>
        <w:rPr>
          <w:rFonts w:ascii="宋体" w:hAnsi="宋体" w:cs="Arial"/>
          <w:highlight w:val="none"/>
        </w:rPr>
      </w:pPr>
      <w:r>
        <w:rPr>
          <w:rFonts w:hint="eastAsia" w:ascii="宋体" w:hAnsi="宋体" w:cs="Arial"/>
          <w:highlight w:val="none"/>
        </w:rPr>
        <w:t>T日申购赎回清单中公告T日预估现金部分，其计算公式为：</w:t>
      </w:r>
    </w:p>
    <w:p w14:paraId="633E263D">
      <w:pPr>
        <w:adjustRightInd w:val="0"/>
        <w:snapToGrid w:val="0"/>
        <w:spacing w:line="360" w:lineRule="auto"/>
        <w:ind w:left="1890" w:hanging="1470"/>
        <w:rPr>
          <w:rFonts w:ascii="宋体" w:hAnsi="宋体" w:cs="Arial"/>
          <w:highlight w:val="none"/>
        </w:rPr>
      </w:pPr>
      <w:r>
        <w:rPr>
          <w:rFonts w:ascii="宋体" w:hAnsi="宋体" w:cs="Arial"/>
          <w:highlight w:val="none"/>
        </w:rPr>
        <w:t>T日预估现金部分＝</w:t>
      </w:r>
      <w:r>
        <w:rPr>
          <w:rFonts w:hint="eastAsia" w:ascii="宋体" w:hAnsi="宋体" w:cs="Arial"/>
          <w:highlight w:val="none"/>
        </w:rPr>
        <w:t>T—1日最小申购赎回单位的基金资产净值－（申购赎回清单中必须用现金替代的固定替代金额总额＋申购赎回清单中</w:t>
      </w:r>
      <w:r>
        <w:rPr>
          <w:rFonts w:hint="eastAsia" w:ascii="宋体" w:hAnsi="宋体" w:cs="Arial"/>
          <w:highlight w:val="none"/>
          <w:lang w:val="en-US" w:eastAsia="zh-CN"/>
        </w:rPr>
        <w:t>可以</w:t>
      </w:r>
      <w:r>
        <w:rPr>
          <w:rFonts w:hint="eastAsia" w:ascii="宋体" w:hAnsi="宋体" w:cs="Arial"/>
          <w:highlight w:val="none"/>
        </w:rPr>
        <w:t>现金替代成份证券的数量、T日预计开盘价及T-1日估值汇率乘积之和）</w:t>
      </w:r>
    </w:p>
    <w:p w14:paraId="25BD9EA5">
      <w:pPr>
        <w:adjustRightInd w:val="0"/>
        <w:snapToGrid w:val="0"/>
        <w:spacing w:line="360" w:lineRule="auto"/>
        <w:ind w:firstLine="420"/>
        <w:rPr>
          <w:rFonts w:hint="eastAsia" w:ascii="宋体" w:hAnsi="宋体" w:cs="Arial"/>
        </w:rPr>
      </w:pPr>
      <w:r>
        <w:rPr>
          <w:rFonts w:hint="eastAsia" w:ascii="宋体" w:hAnsi="宋体" w:cs="Arial"/>
          <w:highlight w:val="none"/>
        </w:rPr>
        <w:t>若T日为基金分红除息日，则计算公式中的“T－1日最小申购赎回单位的基金资产净值”需要扣减相应的收益分配数额。</w:t>
      </w:r>
      <w:r>
        <w:rPr>
          <w:rFonts w:hint="eastAsia" w:ascii="宋体" w:hAnsi="宋体" w:cs="Arial"/>
        </w:rPr>
        <w:t>若T日为基金最小申购、赎回单位调整生效日，则计算公式中的“T-1日最小申购、赎回单位的基金资产净值”需根据调整后最小申购、赎回单位进行计算。</w:t>
      </w:r>
    </w:p>
    <w:p w14:paraId="0186B333">
      <w:pPr>
        <w:adjustRightInd w:val="0"/>
        <w:snapToGrid w:val="0"/>
        <w:spacing w:line="360" w:lineRule="auto"/>
        <w:ind w:firstLine="420"/>
        <w:rPr>
          <w:rFonts w:ascii="宋体" w:hAnsi="宋体" w:cs="Arial"/>
          <w:highlight w:val="none"/>
        </w:rPr>
      </w:pPr>
    </w:p>
    <w:p w14:paraId="5F80D3D3">
      <w:pPr>
        <w:adjustRightInd w:val="0"/>
        <w:snapToGrid w:val="0"/>
        <w:spacing w:line="360" w:lineRule="auto"/>
        <w:ind w:firstLine="420"/>
        <w:rPr>
          <w:rFonts w:ascii="宋体" w:hAnsi="宋体" w:cs="Arial"/>
          <w:highlight w:val="none"/>
        </w:rPr>
      </w:pPr>
      <w:r>
        <w:rPr>
          <w:rFonts w:hint="eastAsia" w:ascii="宋体" w:hAnsi="宋体" w:cs="Arial"/>
          <w:highlight w:val="none"/>
        </w:rPr>
        <w:t>预估现金部分的数值可能为正、为负或为零。</w:t>
      </w:r>
    </w:p>
    <w:p w14:paraId="51D6CA62">
      <w:pPr>
        <w:adjustRightInd w:val="0"/>
        <w:snapToGrid w:val="0"/>
        <w:spacing w:line="360" w:lineRule="auto"/>
        <w:ind w:firstLine="424" w:firstLineChars="202"/>
        <w:rPr>
          <w:rFonts w:ascii="宋体" w:hAnsi="宋体" w:cs="Arial"/>
          <w:highlight w:val="none"/>
        </w:rPr>
      </w:pPr>
      <w:r>
        <w:rPr>
          <w:rFonts w:hint="eastAsia" w:ascii="宋体" w:hAnsi="宋体" w:cs="Arial"/>
          <w:highlight w:val="none"/>
        </w:rPr>
        <w:t>5、</w:t>
      </w:r>
      <w:r>
        <w:rPr>
          <w:rFonts w:ascii="宋体" w:hAnsi="宋体" w:cs="Arial"/>
          <w:highlight w:val="none"/>
        </w:rPr>
        <w:t>现金差额相关内容</w:t>
      </w:r>
    </w:p>
    <w:p w14:paraId="39F14FA9">
      <w:pPr>
        <w:adjustRightInd w:val="0"/>
        <w:snapToGrid w:val="0"/>
        <w:spacing w:line="360" w:lineRule="auto"/>
        <w:ind w:firstLine="420"/>
        <w:rPr>
          <w:rFonts w:ascii="宋体" w:hAnsi="宋体" w:cs="Arial"/>
          <w:highlight w:val="none"/>
        </w:rPr>
      </w:pPr>
      <w:r>
        <w:rPr>
          <w:rFonts w:ascii="宋体" w:hAnsi="宋体" w:cs="Arial"/>
          <w:highlight w:val="none"/>
        </w:rPr>
        <w:t>T日现金差额在T＋1日的申购赎回清单中公告，其计算公式为：</w:t>
      </w:r>
    </w:p>
    <w:p w14:paraId="008BCA6B">
      <w:pPr>
        <w:adjustRightInd w:val="0"/>
        <w:snapToGrid w:val="0"/>
        <w:spacing w:line="360" w:lineRule="auto"/>
        <w:ind w:left="1890" w:hanging="1470"/>
        <w:rPr>
          <w:rFonts w:ascii="宋体" w:hAnsi="宋体" w:cs="Arial"/>
          <w:highlight w:val="none"/>
        </w:rPr>
      </w:pPr>
      <w:r>
        <w:rPr>
          <w:rFonts w:ascii="宋体" w:hAnsi="宋体" w:cs="Arial"/>
          <w:highlight w:val="none"/>
        </w:rPr>
        <w:t>T日现金差额＝</w:t>
      </w:r>
      <w:r>
        <w:rPr>
          <w:rFonts w:hint="eastAsia" w:ascii="宋体" w:hAnsi="宋体" w:cs="Arial"/>
          <w:highlight w:val="none"/>
        </w:rPr>
        <w:t>T日最小申购赎回单位的基金资产净值－（申购赎回清单中必须用现金替代的固定替代金额总额＋申购赎回清单中</w:t>
      </w:r>
      <w:r>
        <w:rPr>
          <w:rFonts w:hint="eastAsia" w:ascii="宋体" w:hAnsi="宋体" w:cs="Arial"/>
          <w:highlight w:val="none"/>
          <w:lang w:val="en-US" w:eastAsia="zh-CN"/>
        </w:rPr>
        <w:t>可以</w:t>
      </w:r>
      <w:r>
        <w:rPr>
          <w:rFonts w:hint="eastAsia" w:ascii="宋体" w:hAnsi="宋体" w:cs="Arial"/>
          <w:highlight w:val="none"/>
        </w:rPr>
        <w:t>现金替代成份证券的数量、T日收盘价和T日估值汇率相乘之和）</w:t>
      </w:r>
    </w:p>
    <w:p w14:paraId="005E6225">
      <w:pPr>
        <w:adjustRightInd w:val="0"/>
        <w:snapToGrid w:val="0"/>
        <w:spacing w:line="360" w:lineRule="auto"/>
        <w:ind w:firstLine="420"/>
        <w:rPr>
          <w:rFonts w:ascii="宋体" w:hAnsi="宋体" w:cs="Arial"/>
          <w:highlight w:val="none"/>
        </w:rPr>
      </w:pPr>
      <w:r>
        <w:rPr>
          <w:rFonts w:ascii="宋体" w:hAnsi="宋体" w:cs="Arial"/>
          <w:highlight w:val="none"/>
        </w:rPr>
        <w:t>T日投资人申购、赎回基金份额时，需按T＋1日公告的T日现金差额进行资金的清算交收。现金差额的数值可能为正、为负或为零。在投资人申购时，如现金差额为正数，则投资人应根据其申购的基金份额支付相应的现金，如现金差额为负数，则投资人将根据其申购的基金份额获得相应的现金；在投资人赎回时，如现金差额为正数，则投资人将根据其赎回的基金份额获得相应的现金，如现金差额为负数，则投资人应根据其赎回的基金份额支付相应的现金。</w:t>
      </w:r>
    </w:p>
    <w:p w14:paraId="01B302A3">
      <w:pPr>
        <w:adjustRightInd w:val="0"/>
        <w:snapToGrid w:val="0"/>
        <w:spacing w:line="360" w:lineRule="auto"/>
        <w:ind w:firstLine="420"/>
        <w:rPr>
          <w:rFonts w:ascii="宋体" w:hAnsi="宋体" w:cs="Arial"/>
          <w:highlight w:val="none"/>
        </w:rPr>
      </w:pPr>
      <w:r>
        <w:rPr>
          <w:rFonts w:hint="eastAsia" w:ascii="宋体" w:hAnsi="宋体" w:cs="Arial"/>
          <w:highlight w:val="none"/>
        </w:rPr>
        <w:t>6、</w:t>
      </w:r>
      <w:r>
        <w:rPr>
          <w:rFonts w:ascii="宋体" w:hAnsi="宋体" w:cs="Arial"/>
          <w:highlight w:val="none"/>
        </w:rPr>
        <w:t>申购赎回清单的格式</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7"/>
        <w:gridCol w:w="1568"/>
        <w:gridCol w:w="1000"/>
        <w:gridCol w:w="802"/>
        <w:gridCol w:w="766"/>
        <w:gridCol w:w="1568"/>
        <w:gridCol w:w="857"/>
        <w:gridCol w:w="636"/>
        <w:gridCol w:w="468"/>
      </w:tblGrid>
      <w:tr w14:paraId="2A265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516" w:type="dxa"/>
            <w:gridSpan w:val="9"/>
            <w:shd w:val="clear" w:color="auto" w:fill="auto"/>
          </w:tcPr>
          <w:p w14:paraId="48E2ED95">
            <w:pPr>
              <w:numPr>
                <w:ilvl w:val="-1"/>
                <w:numId w:val="0"/>
              </w:numPr>
              <w:rPr>
                <w:rFonts w:ascii="宋体" w:hAnsi="宋体" w:eastAsia="宋体" w:cs="宋体"/>
                <w:sz w:val="24"/>
                <w:szCs w:val="24"/>
              </w:rPr>
            </w:pPr>
            <w:r>
              <w:rPr>
                <w:rFonts w:hint="eastAsia" w:ascii="宋体" w:hAnsi="宋体" w:eastAsia="宋体"/>
              </w:rPr>
              <w:t xml:space="preserve">基本信息 </w:t>
            </w:r>
          </w:p>
        </w:tc>
      </w:tr>
      <w:tr w14:paraId="2E913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5895FEE1">
            <w:pPr>
              <w:numPr>
                <w:ilvl w:val="-1"/>
                <w:numId w:val="0"/>
              </w:numPr>
              <w:rPr>
                <w:rFonts w:ascii="宋体" w:hAnsi="宋体" w:eastAsia="宋体" w:cs="宋体"/>
                <w:sz w:val="24"/>
                <w:szCs w:val="24"/>
              </w:rPr>
            </w:pPr>
            <w:r>
              <w:rPr>
                <w:rFonts w:hint="eastAsia" w:ascii="宋体" w:hAnsi="宋体" w:eastAsia="宋体"/>
              </w:rPr>
              <w:t xml:space="preserve">最新公告日期 </w:t>
            </w:r>
          </w:p>
        </w:tc>
        <w:tc>
          <w:tcPr>
            <w:tcW w:w="4208" w:type="dxa"/>
            <w:gridSpan w:val="5"/>
            <w:shd w:val="clear" w:color="auto" w:fill="auto"/>
          </w:tcPr>
          <w:p w14:paraId="680DA64D">
            <w:pPr>
              <w:numPr>
                <w:ilvl w:val="-1"/>
                <w:numId w:val="0"/>
              </w:numPr>
              <w:rPr>
                <w:rFonts w:ascii="宋体" w:hAnsi="宋体" w:eastAsia="宋体" w:cs="宋体"/>
                <w:sz w:val="24"/>
                <w:szCs w:val="24"/>
              </w:rPr>
            </w:pPr>
            <w:r>
              <w:rPr>
                <w:rFonts w:hint="eastAsia" w:ascii="宋体" w:hAnsi="宋体" w:eastAsia="宋体"/>
              </w:rPr>
              <w:t xml:space="preserve">20XX年 月 日 </w:t>
            </w:r>
          </w:p>
        </w:tc>
      </w:tr>
      <w:tr w14:paraId="2CD58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0AE7041B">
            <w:pPr>
              <w:numPr>
                <w:ilvl w:val="-1"/>
                <w:numId w:val="0"/>
              </w:numPr>
              <w:rPr>
                <w:rFonts w:ascii="宋体" w:hAnsi="宋体" w:eastAsia="宋体" w:cs="宋体"/>
                <w:sz w:val="24"/>
                <w:szCs w:val="24"/>
              </w:rPr>
            </w:pPr>
            <w:r>
              <w:rPr>
                <w:rFonts w:hint="eastAsia" w:ascii="宋体" w:hAnsi="宋体" w:eastAsia="宋体"/>
              </w:rPr>
              <w:t xml:space="preserve">基金名称 </w:t>
            </w:r>
          </w:p>
        </w:tc>
        <w:tc>
          <w:tcPr>
            <w:tcW w:w="4208" w:type="dxa"/>
            <w:gridSpan w:val="5"/>
            <w:shd w:val="clear" w:color="auto" w:fill="auto"/>
          </w:tcPr>
          <w:p w14:paraId="3CF496EB">
            <w:pPr>
              <w:numPr>
                <w:ilvl w:val="-1"/>
                <w:numId w:val="0"/>
              </w:numPr>
              <w:rPr>
                <w:rFonts w:ascii="宋体" w:hAnsi="宋体" w:eastAsia="宋体" w:cs="宋体"/>
                <w:sz w:val="24"/>
                <w:szCs w:val="24"/>
              </w:rPr>
            </w:pPr>
            <w:r>
              <w:rPr>
                <w:rFonts w:hint="eastAsia" w:ascii="宋体" w:hAnsi="宋体" w:cs="Times New Roman"/>
                <w:kern w:val="2"/>
                <w:sz w:val="21"/>
                <w:szCs w:val="24"/>
                <w:highlight w:val="none"/>
              </w:rPr>
              <w:t>博时恒生港股通</w:t>
            </w:r>
            <w:r>
              <w:rPr>
                <w:rFonts w:hint="eastAsia" w:ascii="宋体" w:hAnsi="宋体" w:cs="Times New Roman"/>
                <w:kern w:val="2"/>
                <w:sz w:val="21"/>
                <w:szCs w:val="24"/>
                <w:highlight w:val="none"/>
                <w:lang w:val="en-US" w:eastAsia="zh-CN"/>
              </w:rPr>
              <w:t>红利低波动</w:t>
            </w:r>
            <w:r>
              <w:rPr>
                <w:rFonts w:hint="eastAsia" w:ascii="宋体" w:hAnsi="宋体" w:cs="Times New Roman"/>
                <w:kern w:val="2"/>
                <w:sz w:val="21"/>
                <w:szCs w:val="24"/>
                <w:highlight w:val="none"/>
              </w:rPr>
              <w:t>交易型开放式指数证券投资基金</w:t>
            </w:r>
            <w:r>
              <w:rPr>
                <w:rFonts w:hint="eastAsia" w:ascii="宋体" w:hAnsi="宋体" w:eastAsia="宋体"/>
              </w:rPr>
              <w:t xml:space="preserve">  </w:t>
            </w:r>
          </w:p>
        </w:tc>
      </w:tr>
      <w:tr w14:paraId="72393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48A6E87E">
            <w:pPr>
              <w:numPr>
                <w:ilvl w:val="-1"/>
                <w:numId w:val="0"/>
              </w:numPr>
              <w:rPr>
                <w:rFonts w:ascii="宋体" w:hAnsi="宋体" w:eastAsia="宋体" w:cs="宋体"/>
                <w:sz w:val="24"/>
                <w:szCs w:val="24"/>
              </w:rPr>
            </w:pPr>
            <w:r>
              <w:rPr>
                <w:rFonts w:hint="eastAsia" w:ascii="宋体" w:hAnsi="宋体" w:eastAsia="宋体"/>
              </w:rPr>
              <w:t xml:space="preserve">基金管理公司名称 </w:t>
            </w:r>
          </w:p>
        </w:tc>
        <w:tc>
          <w:tcPr>
            <w:tcW w:w="4208" w:type="dxa"/>
            <w:gridSpan w:val="5"/>
            <w:shd w:val="clear" w:color="auto" w:fill="auto"/>
          </w:tcPr>
          <w:p w14:paraId="475BBBA7">
            <w:pPr>
              <w:numPr>
                <w:ilvl w:val="-1"/>
                <w:numId w:val="0"/>
              </w:numPr>
              <w:rPr>
                <w:rFonts w:ascii="宋体" w:hAnsi="宋体" w:eastAsia="宋体" w:cs="宋体"/>
                <w:sz w:val="24"/>
                <w:szCs w:val="24"/>
              </w:rPr>
            </w:pPr>
            <w:r>
              <w:rPr>
                <w:rFonts w:hint="eastAsia" w:ascii="宋体" w:hAnsi="宋体" w:eastAsia="宋体"/>
              </w:rPr>
              <w:t xml:space="preserve">博时基金管理有限公司  </w:t>
            </w:r>
          </w:p>
        </w:tc>
      </w:tr>
      <w:tr w14:paraId="04E09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083ADF7F">
            <w:pPr>
              <w:numPr>
                <w:ilvl w:val="-1"/>
                <w:numId w:val="0"/>
              </w:numPr>
              <w:rPr>
                <w:rFonts w:ascii="宋体" w:hAnsi="宋体" w:eastAsia="宋体" w:cs="宋体"/>
                <w:sz w:val="24"/>
                <w:szCs w:val="24"/>
              </w:rPr>
            </w:pPr>
            <w:r>
              <w:rPr>
                <w:rFonts w:hint="eastAsia" w:ascii="宋体" w:hAnsi="宋体" w:eastAsia="宋体"/>
              </w:rPr>
              <w:t xml:space="preserve">基金代码 </w:t>
            </w:r>
          </w:p>
        </w:tc>
        <w:tc>
          <w:tcPr>
            <w:tcW w:w="4208" w:type="dxa"/>
            <w:gridSpan w:val="5"/>
            <w:shd w:val="clear" w:color="auto" w:fill="auto"/>
          </w:tcPr>
          <w:p w14:paraId="0E9B38B2">
            <w:pPr>
              <w:pStyle w:val="37"/>
              <w:numPr>
                <w:ilvl w:val="-1"/>
                <w:numId w:val="0"/>
              </w:numPr>
            </w:pPr>
            <w:r>
              <w:rPr>
                <w:rFonts w:hint="eastAsia" w:cs="宋体"/>
                <w:kern w:val="0"/>
                <w:szCs w:val="21"/>
                <w:highlight w:val="none"/>
                <w:lang w:val="en-US" w:eastAsia="zh-CN"/>
              </w:rPr>
              <w:t>513790</w:t>
            </w:r>
            <w:r>
              <w:rPr>
                <w:rFonts w:hint="eastAsia"/>
              </w:rPr>
              <w:t xml:space="preserve"> </w:t>
            </w:r>
          </w:p>
        </w:tc>
      </w:tr>
      <w:tr w14:paraId="1EB2B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516" w:type="dxa"/>
            <w:gridSpan w:val="9"/>
            <w:shd w:val="clear" w:color="auto" w:fill="auto"/>
          </w:tcPr>
          <w:p w14:paraId="31E5A5B0">
            <w:pPr>
              <w:numPr>
                <w:ilvl w:val="-1"/>
                <w:numId w:val="0"/>
              </w:numPr>
              <w:rPr>
                <w:rFonts w:ascii="宋体" w:hAnsi="宋体" w:eastAsia="宋体" w:cs="宋体"/>
                <w:sz w:val="24"/>
                <w:szCs w:val="24"/>
              </w:rPr>
            </w:pPr>
            <w:r>
              <w:rPr>
                <w:rFonts w:hint="eastAsia" w:ascii="宋体" w:hAnsi="宋体" w:eastAsia="宋体"/>
              </w:rPr>
              <w:t xml:space="preserve">T－1日信息内容 </w:t>
            </w:r>
          </w:p>
        </w:tc>
      </w:tr>
      <w:tr w14:paraId="67A74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57CBEA13">
            <w:pPr>
              <w:numPr>
                <w:ilvl w:val="-1"/>
                <w:numId w:val="0"/>
              </w:numPr>
              <w:rPr>
                <w:rFonts w:ascii="宋体" w:hAnsi="宋体" w:eastAsia="宋体" w:cs="宋体"/>
                <w:sz w:val="24"/>
                <w:szCs w:val="24"/>
              </w:rPr>
            </w:pPr>
            <w:r>
              <w:rPr>
                <w:rFonts w:hint="eastAsia" w:ascii="宋体" w:hAnsi="宋体" w:eastAsia="宋体"/>
              </w:rPr>
              <w:t xml:space="preserve">现金差额（单位：元） </w:t>
            </w:r>
          </w:p>
        </w:tc>
        <w:tc>
          <w:tcPr>
            <w:tcW w:w="4208" w:type="dxa"/>
            <w:gridSpan w:val="5"/>
            <w:shd w:val="clear" w:color="auto" w:fill="auto"/>
          </w:tcPr>
          <w:p w14:paraId="5BDA255E">
            <w:pPr>
              <w:numPr>
                <w:ilvl w:val="-1"/>
                <w:numId w:val="0"/>
              </w:numPr>
              <w:rPr>
                <w:rFonts w:ascii="宋体" w:hAnsi="宋体" w:eastAsia="宋体" w:cs="宋体"/>
                <w:sz w:val="24"/>
                <w:szCs w:val="24"/>
              </w:rPr>
            </w:pPr>
            <w:r>
              <w:rPr>
                <w:rFonts w:hint="eastAsia" w:ascii="宋体" w:hAnsi="宋体" w:eastAsia="宋体"/>
              </w:rPr>
              <w:t xml:space="preserve">XXXX.XX </w:t>
            </w:r>
          </w:p>
        </w:tc>
      </w:tr>
      <w:tr w14:paraId="7150F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6E4AD717">
            <w:pPr>
              <w:numPr>
                <w:ilvl w:val="-1"/>
                <w:numId w:val="0"/>
              </w:numPr>
              <w:rPr>
                <w:rFonts w:ascii="宋体" w:hAnsi="宋体" w:eastAsia="宋体" w:cs="宋体"/>
                <w:sz w:val="24"/>
                <w:szCs w:val="24"/>
              </w:rPr>
            </w:pPr>
            <w:r>
              <w:rPr>
                <w:rFonts w:hint="eastAsia" w:ascii="宋体" w:hAnsi="宋体" w:eastAsia="宋体"/>
              </w:rPr>
              <w:t xml:space="preserve">最小申购赎回单位资产净值（单位：元） </w:t>
            </w:r>
          </w:p>
        </w:tc>
        <w:tc>
          <w:tcPr>
            <w:tcW w:w="4208" w:type="dxa"/>
            <w:gridSpan w:val="5"/>
            <w:shd w:val="clear" w:color="auto" w:fill="auto"/>
          </w:tcPr>
          <w:p w14:paraId="588CBAD7">
            <w:pPr>
              <w:numPr>
                <w:ilvl w:val="-1"/>
                <w:numId w:val="0"/>
              </w:numPr>
              <w:rPr>
                <w:rFonts w:ascii="宋体" w:hAnsi="宋体" w:eastAsia="宋体" w:cs="宋体"/>
                <w:sz w:val="24"/>
                <w:szCs w:val="24"/>
              </w:rPr>
            </w:pPr>
            <w:r>
              <w:rPr>
                <w:rFonts w:hint="eastAsia" w:ascii="宋体" w:hAnsi="宋体" w:eastAsia="宋体"/>
              </w:rPr>
              <w:t xml:space="preserve">XXXX.XX </w:t>
            </w:r>
          </w:p>
        </w:tc>
      </w:tr>
      <w:tr w14:paraId="067C4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2F14B086">
            <w:pPr>
              <w:numPr>
                <w:ilvl w:val="-1"/>
                <w:numId w:val="0"/>
              </w:numPr>
              <w:rPr>
                <w:rFonts w:ascii="宋体" w:hAnsi="宋体" w:eastAsia="宋体" w:cs="宋体"/>
                <w:sz w:val="24"/>
                <w:szCs w:val="24"/>
              </w:rPr>
            </w:pPr>
            <w:r>
              <w:rPr>
                <w:rFonts w:hint="eastAsia" w:ascii="宋体" w:hAnsi="宋体" w:eastAsia="宋体"/>
              </w:rPr>
              <w:t xml:space="preserve">基金份额净值（单位：元） </w:t>
            </w:r>
          </w:p>
        </w:tc>
        <w:tc>
          <w:tcPr>
            <w:tcW w:w="4208" w:type="dxa"/>
            <w:gridSpan w:val="5"/>
            <w:shd w:val="clear" w:color="auto" w:fill="auto"/>
          </w:tcPr>
          <w:p w14:paraId="62B960CB">
            <w:pPr>
              <w:numPr>
                <w:ilvl w:val="-1"/>
                <w:numId w:val="0"/>
              </w:numPr>
              <w:rPr>
                <w:rFonts w:ascii="宋体" w:hAnsi="宋体" w:eastAsia="宋体" w:cs="宋体"/>
                <w:sz w:val="24"/>
                <w:szCs w:val="24"/>
              </w:rPr>
            </w:pPr>
            <w:r>
              <w:rPr>
                <w:rFonts w:hint="eastAsia" w:ascii="宋体" w:hAnsi="宋体" w:eastAsia="宋体"/>
              </w:rPr>
              <w:t xml:space="preserve">X.XXXX </w:t>
            </w:r>
          </w:p>
        </w:tc>
      </w:tr>
      <w:tr w14:paraId="0EC95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516" w:type="dxa"/>
            <w:gridSpan w:val="9"/>
            <w:shd w:val="clear" w:color="auto" w:fill="auto"/>
          </w:tcPr>
          <w:p w14:paraId="02495071">
            <w:pPr>
              <w:numPr>
                <w:ilvl w:val="-1"/>
                <w:numId w:val="0"/>
              </w:numPr>
              <w:rPr>
                <w:rFonts w:ascii="宋体" w:hAnsi="宋体" w:eastAsia="宋体" w:cs="宋体"/>
                <w:sz w:val="24"/>
                <w:szCs w:val="24"/>
              </w:rPr>
            </w:pPr>
            <w:r>
              <w:rPr>
                <w:rFonts w:hint="eastAsia" w:ascii="宋体" w:hAnsi="宋体" w:eastAsia="宋体"/>
              </w:rPr>
              <w:t xml:space="preserve">T日信息内容 </w:t>
            </w:r>
          </w:p>
        </w:tc>
      </w:tr>
      <w:tr w14:paraId="4F957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41D9F002">
            <w:pPr>
              <w:numPr>
                <w:ilvl w:val="-1"/>
                <w:numId w:val="0"/>
              </w:numPr>
              <w:rPr>
                <w:rFonts w:ascii="宋体" w:hAnsi="宋体" w:eastAsia="宋体" w:cs="宋体"/>
                <w:sz w:val="24"/>
                <w:szCs w:val="24"/>
              </w:rPr>
            </w:pPr>
            <w:r>
              <w:rPr>
                <w:rFonts w:hint="eastAsia" w:ascii="宋体" w:hAnsi="宋体" w:eastAsia="宋体"/>
              </w:rPr>
              <w:t xml:space="preserve">最小申购、赎回单位的预估现金部分（单位：元） </w:t>
            </w:r>
          </w:p>
        </w:tc>
        <w:tc>
          <w:tcPr>
            <w:tcW w:w="4208" w:type="dxa"/>
            <w:gridSpan w:val="5"/>
            <w:shd w:val="clear" w:color="auto" w:fill="auto"/>
          </w:tcPr>
          <w:p w14:paraId="383545E0">
            <w:pPr>
              <w:numPr>
                <w:ilvl w:val="-1"/>
                <w:numId w:val="0"/>
              </w:numPr>
              <w:rPr>
                <w:rFonts w:ascii="宋体" w:hAnsi="宋体" w:eastAsia="宋体" w:cs="宋体"/>
                <w:sz w:val="24"/>
                <w:szCs w:val="24"/>
              </w:rPr>
            </w:pPr>
            <w:r>
              <w:rPr>
                <w:rFonts w:hint="eastAsia" w:ascii="宋体" w:hAnsi="宋体" w:eastAsia="宋体"/>
              </w:rPr>
              <w:t xml:space="preserve">XXXX.XX </w:t>
            </w:r>
          </w:p>
        </w:tc>
      </w:tr>
      <w:tr w14:paraId="40191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2F6CF5D2">
            <w:pPr>
              <w:numPr>
                <w:ilvl w:val="-1"/>
                <w:numId w:val="0"/>
              </w:numPr>
              <w:rPr>
                <w:rFonts w:ascii="宋体" w:hAnsi="宋体" w:eastAsia="宋体" w:cs="宋体"/>
                <w:sz w:val="24"/>
                <w:szCs w:val="24"/>
              </w:rPr>
            </w:pPr>
            <w:r>
              <w:rPr>
                <w:rFonts w:hint="eastAsia" w:ascii="宋体" w:hAnsi="宋体" w:eastAsia="宋体"/>
              </w:rPr>
              <w:t xml:space="preserve">现金替代比例上限 </w:t>
            </w:r>
          </w:p>
        </w:tc>
        <w:tc>
          <w:tcPr>
            <w:tcW w:w="4208" w:type="dxa"/>
            <w:gridSpan w:val="5"/>
            <w:shd w:val="clear" w:color="auto" w:fill="auto"/>
          </w:tcPr>
          <w:p w14:paraId="7092CB24">
            <w:pPr>
              <w:numPr>
                <w:ilvl w:val="-1"/>
                <w:numId w:val="0"/>
              </w:numPr>
              <w:rPr>
                <w:rFonts w:ascii="宋体" w:hAnsi="宋体" w:eastAsia="宋体" w:cs="宋体"/>
                <w:sz w:val="24"/>
                <w:szCs w:val="24"/>
              </w:rPr>
            </w:pPr>
            <w:r>
              <w:rPr>
                <w:rFonts w:hint="eastAsia" w:ascii="宋体" w:hAnsi="宋体" w:eastAsia="宋体"/>
                <w:lang w:val="en-US" w:eastAsia="zh-CN"/>
              </w:rPr>
              <w:t>XXX</w:t>
            </w:r>
            <w:r>
              <w:rPr>
                <w:rFonts w:hint="eastAsia" w:ascii="宋体" w:hAnsi="宋体" w:eastAsia="宋体"/>
              </w:rPr>
              <w:t xml:space="preserve"> </w:t>
            </w:r>
          </w:p>
        </w:tc>
      </w:tr>
      <w:tr w14:paraId="1E44E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1914D0C7">
            <w:pPr>
              <w:numPr>
                <w:ilvl w:val="-1"/>
                <w:numId w:val="0"/>
              </w:numPr>
              <w:rPr>
                <w:rFonts w:ascii="宋体" w:hAnsi="宋体" w:eastAsia="宋体" w:cs="宋体"/>
                <w:sz w:val="24"/>
                <w:szCs w:val="24"/>
              </w:rPr>
            </w:pPr>
            <w:r>
              <w:rPr>
                <w:rFonts w:hint="eastAsia" w:ascii="宋体" w:hAnsi="宋体" w:eastAsia="宋体"/>
              </w:rPr>
              <w:t xml:space="preserve">当日累计可申购的基金份额上限 </w:t>
            </w:r>
          </w:p>
        </w:tc>
        <w:tc>
          <w:tcPr>
            <w:tcW w:w="4208" w:type="dxa"/>
            <w:gridSpan w:val="5"/>
            <w:shd w:val="clear" w:color="auto" w:fill="auto"/>
          </w:tcPr>
          <w:p w14:paraId="333188BF">
            <w:pPr>
              <w:numPr>
                <w:ilvl w:val="-1"/>
                <w:numId w:val="0"/>
              </w:numPr>
              <w:rPr>
                <w:rFonts w:ascii="宋体" w:hAnsi="宋体" w:eastAsia="宋体" w:cs="宋体"/>
                <w:sz w:val="24"/>
                <w:szCs w:val="24"/>
              </w:rPr>
            </w:pPr>
            <w:r>
              <w:rPr>
                <w:rFonts w:hint="eastAsia" w:ascii="宋体" w:hAnsi="宋体" w:eastAsia="宋体"/>
                <w:lang w:val="en-US" w:eastAsia="zh-CN"/>
              </w:rPr>
              <w:t>XXX</w:t>
            </w:r>
            <w:r>
              <w:rPr>
                <w:rFonts w:hint="eastAsia" w:ascii="宋体" w:hAnsi="宋体" w:eastAsia="宋体"/>
              </w:rPr>
              <w:t xml:space="preserve"> </w:t>
            </w:r>
          </w:p>
        </w:tc>
      </w:tr>
      <w:tr w14:paraId="28C72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482BA2FC">
            <w:pPr>
              <w:numPr>
                <w:ilvl w:val="-1"/>
                <w:numId w:val="0"/>
              </w:numPr>
              <w:rPr>
                <w:rFonts w:ascii="宋体" w:hAnsi="宋体" w:eastAsia="宋体" w:cs="宋体"/>
                <w:sz w:val="24"/>
                <w:szCs w:val="24"/>
              </w:rPr>
            </w:pPr>
            <w:r>
              <w:rPr>
                <w:rFonts w:hint="eastAsia" w:ascii="宋体" w:hAnsi="宋体" w:eastAsia="宋体"/>
              </w:rPr>
              <w:t xml:space="preserve">当日累计可赎回的基金份额上限 </w:t>
            </w:r>
          </w:p>
        </w:tc>
        <w:tc>
          <w:tcPr>
            <w:tcW w:w="4208" w:type="dxa"/>
            <w:gridSpan w:val="5"/>
            <w:shd w:val="clear" w:color="auto" w:fill="auto"/>
          </w:tcPr>
          <w:p w14:paraId="02DC13D9">
            <w:pPr>
              <w:numPr>
                <w:ilvl w:val="-1"/>
                <w:numId w:val="0"/>
              </w:numPr>
              <w:rPr>
                <w:rFonts w:ascii="宋体" w:hAnsi="宋体" w:eastAsia="宋体" w:cs="宋体"/>
                <w:sz w:val="24"/>
                <w:szCs w:val="24"/>
              </w:rPr>
            </w:pPr>
            <w:r>
              <w:rPr>
                <w:rFonts w:hint="eastAsia" w:ascii="宋体" w:hAnsi="宋体" w:eastAsia="宋体"/>
                <w:lang w:val="en-US" w:eastAsia="zh-CN"/>
              </w:rPr>
              <w:t>XXX</w:t>
            </w:r>
            <w:r>
              <w:rPr>
                <w:rFonts w:hint="eastAsia" w:ascii="宋体" w:hAnsi="宋体" w:eastAsia="宋体"/>
              </w:rPr>
              <w:t xml:space="preserve"> </w:t>
            </w:r>
          </w:p>
        </w:tc>
      </w:tr>
      <w:tr w14:paraId="35D96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122DFEB1">
            <w:pPr>
              <w:numPr>
                <w:ilvl w:val="-1"/>
                <w:numId w:val="0"/>
              </w:numPr>
              <w:rPr>
                <w:rFonts w:ascii="宋体" w:hAnsi="宋体" w:eastAsia="宋体" w:cs="宋体"/>
                <w:sz w:val="24"/>
                <w:szCs w:val="24"/>
              </w:rPr>
            </w:pPr>
            <w:r>
              <w:rPr>
                <w:rFonts w:hint="eastAsia" w:ascii="宋体" w:hAnsi="宋体" w:eastAsia="宋体"/>
              </w:rPr>
              <w:t xml:space="preserve">当日净申购的基金份额上限 </w:t>
            </w:r>
          </w:p>
        </w:tc>
        <w:tc>
          <w:tcPr>
            <w:tcW w:w="4208" w:type="dxa"/>
            <w:gridSpan w:val="5"/>
            <w:shd w:val="clear" w:color="auto" w:fill="auto"/>
          </w:tcPr>
          <w:p w14:paraId="5485F16A">
            <w:pPr>
              <w:numPr>
                <w:ilvl w:val="-1"/>
                <w:numId w:val="0"/>
              </w:numPr>
              <w:rPr>
                <w:rFonts w:ascii="宋体" w:hAnsi="宋体" w:eastAsia="宋体" w:cs="宋体"/>
                <w:sz w:val="24"/>
                <w:szCs w:val="24"/>
              </w:rPr>
            </w:pPr>
            <w:r>
              <w:rPr>
                <w:rFonts w:hint="eastAsia" w:ascii="宋体" w:hAnsi="宋体" w:eastAsia="宋体"/>
                <w:lang w:val="en-US" w:eastAsia="zh-CN"/>
              </w:rPr>
              <w:t>XXX</w:t>
            </w:r>
            <w:r>
              <w:rPr>
                <w:rFonts w:hint="eastAsia" w:ascii="宋体" w:hAnsi="宋体" w:eastAsia="宋体"/>
              </w:rPr>
              <w:t xml:space="preserve"> </w:t>
            </w:r>
          </w:p>
        </w:tc>
      </w:tr>
      <w:tr w14:paraId="04DD3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0CEB31A7">
            <w:pPr>
              <w:numPr>
                <w:ilvl w:val="-1"/>
                <w:numId w:val="0"/>
              </w:numPr>
              <w:rPr>
                <w:rFonts w:ascii="宋体" w:hAnsi="宋体" w:eastAsia="宋体" w:cs="宋体"/>
                <w:sz w:val="24"/>
                <w:szCs w:val="24"/>
              </w:rPr>
            </w:pPr>
            <w:r>
              <w:rPr>
                <w:rFonts w:hint="eastAsia" w:ascii="宋体" w:hAnsi="宋体" w:eastAsia="宋体"/>
              </w:rPr>
              <w:t xml:space="preserve">当日净赎回的基金份额上限 </w:t>
            </w:r>
          </w:p>
        </w:tc>
        <w:tc>
          <w:tcPr>
            <w:tcW w:w="4208" w:type="dxa"/>
            <w:gridSpan w:val="5"/>
            <w:shd w:val="clear" w:color="auto" w:fill="auto"/>
          </w:tcPr>
          <w:p w14:paraId="78D5A585">
            <w:pPr>
              <w:numPr>
                <w:ilvl w:val="-1"/>
                <w:numId w:val="0"/>
              </w:numPr>
              <w:rPr>
                <w:rFonts w:ascii="宋体" w:hAnsi="宋体" w:eastAsia="宋体" w:cs="宋体"/>
                <w:sz w:val="24"/>
                <w:szCs w:val="24"/>
              </w:rPr>
            </w:pPr>
            <w:r>
              <w:rPr>
                <w:rFonts w:hint="eastAsia" w:ascii="宋体" w:hAnsi="宋体" w:eastAsia="宋体"/>
                <w:lang w:val="en-US" w:eastAsia="zh-CN"/>
              </w:rPr>
              <w:t>XXX</w:t>
            </w:r>
            <w:r>
              <w:rPr>
                <w:rFonts w:hint="eastAsia" w:ascii="宋体" w:hAnsi="宋体" w:eastAsia="宋体"/>
              </w:rPr>
              <w:t xml:space="preserve"> </w:t>
            </w:r>
          </w:p>
        </w:tc>
      </w:tr>
      <w:tr w14:paraId="11D6F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7D552C85">
            <w:pPr>
              <w:numPr>
                <w:ilvl w:val="-1"/>
                <w:numId w:val="0"/>
              </w:numPr>
              <w:rPr>
                <w:rFonts w:ascii="宋体" w:hAnsi="宋体" w:eastAsia="宋体" w:cs="宋体"/>
                <w:sz w:val="24"/>
                <w:szCs w:val="24"/>
              </w:rPr>
            </w:pPr>
            <w:r>
              <w:rPr>
                <w:rFonts w:hint="eastAsia" w:ascii="宋体" w:hAnsi="宋体" w:eastAsia="宋体"/>
              </w:rPr>
              <w:t xml:space="preserve">单个证券账户当日净申购的基金份额上限 </w:t>
            </w:r>
          </w:p>
        </w:tc>
        <w:tc>
          <w:tcPr>
            <w:tcW w:w="4208" w:type="dxa"/>
            <w:gridSpan w:val="5"/>
            <w:shd w:val="clear" w:color="auto" w:fill="auto"/>
          </w:tcPr>
          <w:p w14:paraId="27F75D2A">
            <w:pPr>
              <w:numPr>
                <w:ilvl w:val="-1"/>
                <w:numId w:val="0"/>
              </w:numPr>
              <w:rPr>
                <w:rFonts w:ascii="宋体" w:hAnsi="宋体" w:eastAsia="宋体" w:cs="宋体"/>
                <w:sz w:val="24"/>
                <w:szCs w:val="24"/>
              </w:rPr>
            </w:pPr>
            <w:r>
              <w:rPr>
                <w:rFonts w:hint="eastAsia" w:ascii="宋体" w:hAnsi="宋体" w:eastAsia="宋体"/>
                <w:lang w:val="en-US" w:eastAsia="zh-CN"/>
              </w:rPr>
              <w:t>XXX</w:t>
            </w:r>
            <w:r>
              <w:rPr>
                <w:rFonts w:hint="eastAsia" w:ascii="宋体" w:hAnsi="宋体" w:eastAsia="宋体"/>
              </w:rPr>
              <w:t xml:space="preserve"> </w:t>
            </w:r>
          </w:p>
        </w:tc>
      </w:tr>
      <w:tr w14:paraId="11233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158ABB62">
            <w:pPr>
              <w:numPr>
                <w:ilvl w:val="-1"/>
                <w:numId w:val="0"/>
              </w:numPr>
              <w:rPr>
                <w:rFonts w:hint="eastAsia" w:ascii="宋体" w:hAnsi="宋体" w:eastAsia="宋体"/>
              </w:rPr>
            </w:pPr>
            <w:r>
              <w:rPr>
                <w:rFonts w:hint="eastAsia" w:ascii="宋体" w:hAnsi="宋体" w:eastAsia="宋体"/>
              </w:rPr>
              <w:t>单个证券账户当日净赎回的基金份额上限</w:t>
            </w:r>
          </w:p>
        </w:tc>
        <w:tc>
          <w:tcPr>
            <w:tcW w:w="4208" w:type="dxa"/>
            <w:gridSpan w:val="5"/>
            <w:shd w:val="clear" w:color="auto" w:fill="auto"/>
          </w:tcPr>
          <w:p w14:paraId="6A0C7E49">
            <w:pPr>
              <w:numPr>
                <w:ilvl w:val="-1"/>
                <w:numId w:val="0"/>
              </w:numPr>
              <w:rPr>
                <w:rFonts w:hint="eastAsia" w:ascii="宋体" w:hAnsi="宋体" w:eastAsia="宋体"/>
              </w:rPr>
            </w:pPr>
            <w:r>
              <w:rPr>
                <w:rFonts w:hint="eastAsia" w:ascii="宋体" w:hAnsi="宋体" w:eastAsia="宋体"/>
                <w:lang w:val="en-US" w:eastAsia="zh-CN"/>
              </w:rPr>
              <w:t>XXX</w:t>
            </w:r>
          </w:p>
        </w:tc>
      </w:tr>
      <w:tr w14:paraId="3F664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222E431E">
            <w:pPr>
              <w:numPr>
                <w:ilvl w:val="-1"/>
                <w:numId w:val="0"/>
              </w:numPr>
              <w:rPr>
                <w:rFonts w:hint="eastAsia" w:ascii="宋体" w:hAnsi="宋体" w:eastAsia="宋体"/>
              </w:rPr>
            </w:pPr>
            <w:r>
              <w:rPr>
                <w:rFonts w:hint="eastAsia" w:ascii="宋体" w:hAnsi="宋体" w:eastAsia="宋体"/>
              </w:rPr>
              <w:t>单个证券账户当日累计可申购的基金份额上限</w:t>
            </w:r>
          </w:p>
        </w:tc>
        <w:tc>
          <w:tcPr>
            <w:tcW w:w="4208" w:type="dxa"/>
            <w:gridSpan w:val="5"/>
            <w:shd w:val="clear" w:color="auto" w:fill="auto"/>
          </w:tcPr>
          <w:p w14:paraId="537E1CFC">
            <w:pPr>
              <w:numPr>
                <w:ilvl w:val="-1"/>
                <w:numId w:val="0"/>
              </w:numPr>
              <w:rPr>
                <w:rFonts w:hint="eastAsia" w:ascii="宋体" w:hAnsi="宋体" w:eastAsia="宋体"/>
              </w:rPr>
            </w:pPr>
            <w:r>
              <w:rPr>
                <w:rFonts w:hint="eastAsia" w:ascii="宋体" w:hAnsi="宋体" w:eastAsia="宋体"/>
                <w:lang w:val="en-US" w:eastAsia="zh-CN"/>
              </w:rPr>
              <w:t>XXX</w:t>
            </w:r>
          </w:p>
        </w:tc>
      </w:tr>
      <w:tr w14:paraId="47AF3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17E1288B">
            <w:pPr>
              <w:numPr>
                <w:ilvl w:val="-1"/>
                <w:numId w:val="0"/>
              </w:numPr>
              <w:rPr>
                <w:rFonts w:hint="eastAsia" w:ascii="宋体" w:hAnsi="宋体" w:eastAsia="宋体"/>
              </w:rPr>
            </w:pPr>
            <w:r>
              <w:rPr>
                <w:rFonts w:hint="eastAsia" w:ascii="宋体" w:hAnsi="宋体" w:eastAsia="宋体"/>
              </w:rPr>
              <w:t>单个证券账户当日累计可赎回的基金份额上限</w:t>
            </w:r>
          </w:p>
        </w:tc>
        <w:tc>
          <w:tcPr>
            <w:tcW w:w="4208" w:type="dxa"/>
            <w:gridSpan w:val="5"/>
            <w:shd w:val="clear" w:color="auto" w:fill="auto"/>
          </w:tcPr>
          <w:p w14:paraId="4C0CF2F3">
            <w:pPr>
              <w:numPr>
                <w:ilvl w:val="-1"/>
                <w:numId w:val="0"/>
              </w:numPr>
              <w:rPr>
                <w:rFonts w:hint="eastAsia" w:ascii="宋体" w:hAnsi="宋体" w:eastAsia="宋体"/>
              </w:rPr>
            </w:pPr>
            <w:r>
              <w:rPr>
                <w:rFonts w:hint="eastAsia" w:ascii="宋体" w:hAnsi="宋体" w:eastAsia="宋体"/>
                <w:lang w:val="en-US" w:eastAsia="zh-CN"/>
              </w:rPr>
              <w:t>XXX</w:t>
            </w:r>
          </w:p>
        </w:tc>
      </w:tr>
      <w:tr w14:paraId="213FD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733E3840">
            <w:pPr>
              <w:numPr>
                <w:ilvl w:val="-1"/>
                <w:numId w:val="0"/>
              </w:numPr>
              <w:rPr>
                <w:rFonts w:hint="eastAsia" w:ascii="宋体" w:hAnsi="宋体" w:eastAsia="宋体"/>
              </w:rPr>
            </w:pPr>
            <w:r>
              <w:rPr>
                <w:rFonts w:hint="eastAsia" w:ascii="宋体" w:hAnsi="宋体" w:eastAsia="宋体"/>
              </w:rPr>
              <w:t>是否需要公布IOPV</w:t>
            </w:r>
          </w:p>
        </w:tc>
        <w:tc>
          <w:tcPr>
            <w:tcW w:w="4208" w:type="dxa"/>
            <w:gridSpan w:val="5"/>
            <w:shd w:val="clear" w:color="auto" w:fill="auto"/>
          </w:tcPr>
          <w:p w14:paraId="28D68C89">
            <w:pPr>
              <w:numPr>
                <w:ilvl w:val="-1"/>
                <w:numId w:val="0"/>
              </w:numPr>
              <w:rPr>
                <w:rFonts w:hint="eastAsia" w:ascii="宋体" w:hAnsi="宋体" w:eastAsia="宋体"/>
              </w:rPr>
            </w:pPr>
            <w:r>
              <w:rPr>
                <w:rFonts w:hint="eastAsia" w:ascii="宋体" w:hAnsi="宋体" w:eastAsia="宋体"/>
                <w:lang w:val="en-US" w:eastAsia="zh-CN"/>
              </w:rPr>
              <w:t>XXX</w:t>
            </w:r>
          </w:p>
        </w:tc>
      </w:tr>
      <w:tr w14:paraId="6FEC2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2A7FF9C1">
            <w:pPr>
              <w:numPr>
                <w:ilvl w:val="-1"/>
                <w:numId w:val="0"/>
              </w:numPr>
              <w:rPr>
                <w:rFonts w:hint="eastAsia" w:ascii="宋体" w:hAnsi="宋体" w:eastAsia="宋体"/>
              </w:rPr>
            </w:pPr>
            <w:r>
              <w:rPr>
                <w:rFonts w:hint="eastAsia" w:ascii="宋体" w:hAnsi="宋体" w:eastAsia="宋体"/>
              </w:rPr>
              <w:t>最小申购、赎回单位（单位：份）</w:t>
            </w:r>
          </w:p>
        </w:tc>
        <w:tc>
          <w:tcPr>
            <w:tcW w:w="4208" w:type="dxa"/>
            <w:gridSpan w:val="5"/>
            <w:shd w:val="clear" w:color="auto" w:fill="auto"/>
          </w:tcPr>
          <w:p w14:paraId="5C67683D">
            <w:pPr>
              <w:numPr>
                <w:ilvl w:val="-1"/>
                <w:numId w:val="0"/>
              </w:numPr>
              <w:rPr>
                <w:rFonts w:hint="default" w:ascii="宋体" w:hAnsi="宋体" w:eastAsia="宋体"/>
                <w:lang w:val="en-US" w:eastAsia="zh-CN"/>
              </w:rPr>
            </w:pPr>
            <w:r>
              <w:rPr>
                <w:rFonts w:hint="eastAsia" w:ascii="宋体" w:hAnsi="宋体" w:eastAsia="宋体"/>
                <w:lang w:val="en-US" w:eastAsia="zh-CN"/>
              </w:rPr>
              <w:t>600000</w:t>
            </w:r>
          </w:p>
        </w:tc>
      </w:tr>
      <w:tr w14:paraId="3D9A0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368458CB">
            <w:pPr>
              <w:numPr>
                <w:ilvl w:val="-1"/>
                <w:numId w:val="0"/>
              </w:numPr>
              <w:rPr>
                <w:rFonts w:hint="eastAsia" w:ascii="宋体" w:hAnsi="宋体" w:eastAsia="宋体"/>
              </w:rPr>
            </w:pPr>
            <w:r>
              <w:rPr>
                <w:rFonts w:hint="eastAsia" w:ascii="宋体" w:hAnsi="宋体" w:eastAsia="宋体"/>
              </w:rPr>
              <w:t>申购赎回的允许情况</w:t>
            </w:r>
          </w:p>
        </w:tc>
        <w:tc>
          <w:tcPr>
            <w:tcW w:w="4208" w:type="dxa"/>
            <w:gridSpan w:val="5"/>
            <w:shd w:val="clear" w:color="auto" w:fill="auto"/>
          </w:tcPr>
          <w:p w14:paraId="671CFC76">
            <w:pPr>
              <w:numPr>
                <w:ilvl w:val="-1"/>
                <w:numId w:val="0"/>
              </w:numPr>
              <w:rPr>
                <w:rFonts w:hint="eastAsia" w:ascii="宋体" w:hAnsi="宋体" w:eastAsia="宋体"/>
              </w:rPr>
            </w:pPr>
            <w:r>
              <w:rPr>
                <w:rFonts w:hint="eastAsia" w:ascii="宋体" w:hAnsi="宋体" w:eastAsia="宋体"/>
                <w:lang w:val="en-US" w:eastAsia="zh-CN"/>
              </w:rPr>
              <w:t>XXX</w:t>
            </w:r>
          </w:p>
        </w:tc>
      </w:tr>
      <w:tr w14:paraId="77174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04CAA61F">
            <w:pPr>
              <w:numPr>
                <w:ilvl w:val="-1"/>
                <w:numId w:val="0"/>
              </w:numPr>
              <w:rPr>
                <w:rFonts w:hint="eastAsia" w:ascii="宋体" w:hAnsi="宋体" w:eastAsia="宋体"/>
              </w:rPr>
            </w:pPr>
            <w:r>
              <w:rPr>
                <w:rFonts w:hint="eastAsia" w:ascii="宋体" w:hAnsi="宋体" w:eastAsia="宋体"/>
              </w:rPr>
              <w:t>申购赎回模式</w:t>
            </w:r>
          </w:p>
        </w:tc>
        <w:tc>
          <w:tcPr>
            <w:tcW w:w="4208" w:type="dxa"/>
            <w:gridSpan w:val="5"/>
            <w:shd w:val="clear" w:color="auto" w:fill="auto"/>
          </w:tcPr>
          <w:p w14:paraId="05451FF8">
            <w:pPr>
              <w:numPr>
                <w:ilvl w:val="-1"/>
                <w:numId w:val="0"/>
              </w:numPr>
              <w:rPr>
                <w:rFonts w:hint="eastAsia" w:ascii="宋体" w:hAnsi="宋体" w:eastAsia="宋体"/>
              </w:rPr>
            </w:pPr>
            <w:r>
              <w:rPr>
                <w:rFonts w:hint="eastAsia" w:ascii="宋体" w:hAnsi="宋体" w:eastAsia="宋体"/>
                <w:lang w:val="en-US" w:eastAsia="zh-CN"/>
              </w:rPr>
              <w:t>XXX</w:t>
            </w:r>
          </w:p>
        </w:tc>
      </w:tr>
      <w:tr w14:paraId="02D3A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516" w:type="dxa"/>
            <w:gridSpan w:val="9"/>
            <w:shd w:val="clear" w:color="auto" w:fill="auto"/>
          </w:tcPr>
          <w:p w14:paraId="168FE928">
            <w:pPr>
              <w:numPr>
                <w:ilvl w:val="-1"/>
                <w:numId w:val="0"/>
              </w:numPr>
              <w:rPr>
                <w:rFonts w:ascii="宋体" w:hAnsi="宋体" w:eastAsia="宋体" w:cs="宋体"/>
                <w:sz w:val="24"/>
                <w:szCs w:val="24"/>
              </w:rPr>
            </w:pPr>
            <w:r>
              <w:rPr>
                <w:rFonts w:hint="eastAsia" w:ascii="宋体" w:hAnsi="宋体" w:eastAsia="宋体"/>
              </w:rPr>
              <w:t xml:space="preserve">成份股信息内容 </w:t>
            </w:r>
          </w:p>
        </w:tc>
      </w:tr>
      <w:tr w14:paraId="22B95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872" w:type="dxa"/>
            <w:shd w:val="clear" w:color="auto" w:fill="auto"/>
          </w:tcPr>
          <w:p w14:paraId="2EC7A5D9">
            <w:pPr>
              <w:numPr>
                <w:ilvl w:val="-1"/>
                <w:numId w:val="0"/>
              </w:numPr>
              <w:rPr>
                <w:rFonts w:ascii="宋体" w:hAnsi="宋体" w:eastAsia="宋体" w:cs="宋体"/>
                <w:sz w:val="24"/>
                <w:szCs w:val="24"/>
              </w:rPr>
            </w:pPr>
            <w:r>
              <w:rPr>
                <w:rFonts w:hint="eastAsia" w:ascii="宋体" w:hAnsi="宋体"/>
                <w:lang w:val="en-US" w:eastAsia="zh-CN"/>
              </w:rPr>
              <w:t>证券</w:t>
            </w:r>
            <w:r>
              <w:rPr>
                <w:rFonts w:hint="eastAsia" w:ascii="宋体" w:hAnsi="宋体" w:eastAsia="宋体"/>
              </w:rPr>
              <w:t xml:space="preserve">代码 </w:t>
            </w:r>
          </w:p>
        </w:tc>
        <w:tc>
          <w:tcPr>
            <w:tcW w:w="1609" w:type="dxa"/>
            <w:shd w:val="clear" w:color="auto" w:fill="auto"/>
          </w:tcPr>
          <w:p w14:paraId="7E023ED2">
            <w:pPr>
              <w:numPr>
                <w:ilvl w:val="-1"/>
                <w:numId w:val="0"/>
              </w:numPr>
              <w:rPr>
                <w:rFonts w:ascii="宋体" w:hAnsi="宋体" w:eastAsia="宋体" w:cs="宋体"/>
                <w:sz w:val="24"/>
                <w:szCs w:val="24"/>
              </w:rPr>
            </w:pPr>
            <w:r>
              <w:rPr>
                <w:rFonts w:hint="eastAsia" w:ascii="宋体" w:hAnsi="宋体"/>
                <w:lang w:val="en-US" w:eastAsia="zh-CN"/>
              </w:rPr>
              <w:t>证券</w:t>
            </w:r>
            <w:r>
              <w:rPr>
                <w:rFonts w:hint="eastAsia" w:ascii="宋体" w:hAnsi="宋体" w:eastAsia="宋体"/>
              </w:rPr>
              <w:t xml:space="preserve">简称 </w:t>
            </w:r>
          </w:p>
        </w:tc>
        <w:tc>
          <w:tcPr>
            <w:tcW w:w="1006" w:type="dxa"/>
            <w:shd w:val="clear" w:color="auto" w:fill="auto"/>
          </w:tcPr>
          <w:p w14:paraId="3B645629">
            <w:pPr>
              <w:numPr>
                <w:ilvl w:val="-1"/>
                <w:numId w:val="0"/>
              </w:numPr>
              <w:rPr>
                <w:rFonts w:hint="eastAsia" w:ascii="宋体" w:hAnsi="宋体" w:eastAsia="宋体"/>
              </w:rPr>
            </w:pPr>
            <w:r>
              <w:rPr>
                <w:rFonts w:hint="default" w:ascii="宋体" w:hAnsi="宋体" w:eastAsia="宋体"/>
                <w:lang w:val="en-US"/>
              </w:rPr>
              <w:t>股票</w:t>
            </w:r>
            <w:r>
              <w:rPr>
                <w:rFonts w:hint="eastAsia" w:ascii="宋体" w:hAnsi="宋体" w:eastAsia="宋体"/>
              </w:rPr>
              <w:t>数量</w:t>
            </w:r>
          </w:p>
          <w:p w14:paraId="0C4FCC08">
            <w:pPr>
              <w:numPr>
                <w:ilvl w:val="-1"/>
                <w:numId w:val="0"/>
              </w:numPr>
              <w:rPr>
                <w:rFonts w:ascii="宋体" w:hAnsi="宋体" w:eastAsia="宋体" w:cs="宋体"/>
                <w:sz w:val="24"/>
                <w:szCs w:val="24"/>
              </w:rPr>
            </w:pPr>
            <w:r>
              <w:rPr>
                <w:rFonts w:hint="eastAsia" w:ascii="宋体" w:hAnsi="宋体" w:eastAsia="宋体"/>
              </w:rPr>
              <w:t>（股）</w:t>
            </w:r>
          </w:p>
        </w:tc>
        <w:tc>
          <w:tcPr>
            <w:tcW w:w="1609" w:type="dxa"/>
            <w:gridSpan w:val="2"/>
            <w:shd w:val="clear" w:color="auto" w:fill="auto"/>
          </w:tcPr>
          <w:p w14:paraId="5411899C">
            <w:pPr>
              <w:numPr>
                <w:ilvl w:val="-1"/>
                <w:numId w:val="0"/>
              </w:numPr>
              <w:rPr>
                <w:rFonts w:ascii="宋体" w:hAnsi="宋体" w:eastAsia="宋体" w:cs="宋体"/>
                <w:sz w:val="24"/>
                <w:szCs w:val="24"/>
              </w:rPr>
            </w:pPr>
            <w:r>
              <w:rPr>
                <w:rFonts w:hint="eastAsia" w:ascii="宋体" w:hAnsi="宋体" w:eastAsia="宋体"/>
              </w:rPr>
              <w:t xml:space="preserve">现金替代标志 </w:t>
            </w:r>
          </w:p>
        </w:tc>
        <w:tc>
          <w:tcPr>
            <w:tcW w:w="1609" w:type="dxa"/>
            <w:shd w:val="clear" w:color="auto" w:fill="auto"/>
          </w:tcPr>
          <w:p w14:paraId="46759784">
            <w:pPr>
              <w:numPr>
                <w:ilvl w:val="-1"/>
                <w:numId w:val="0"/>
              </w:numPr>
              <w:rPr>
                <w:rFonts w:hint="eastAsia" w:ascii="宋体" w:hAnsi="宋体" w:eastAsia="宋体"/>
              </w:rPr>
            </w:pPr>
            <w:r>
              <w:rPr>
                <w:rFonts w:hint="eastAsia" w:ascii="宋体" w:hAnsi="宋体" w:eastAsia="宋体"/>
              </w:rPr>
              <w:t>申购现金替</w:t>
            </w:r>
          </w:p>
          <w:p w14:paraId="37D1A143">
            <w:pPr>
              <w:numPr>
                <w:ilvl w:val="-1"/>
                <w:numId w:val="0"/>
              </w:numPr>
              <w:rPr>
                <w:rFonts w:ascii="宋体" w:hAnsi="宋体" w:eastAsia="宋体" w:cs="宋体"/>
                <w:sz w:val="24"/>
                <w:szCs w:val="24"/>
              </w:rPr>
            </w:pPr>
            <w:r>
              <w:rPr>
                <w:rFonts w:hint="eastAsia" w:ascii="宋体" w:hAnsi="宋体" w:eastAsia="宋体"/>
              </w:rPr>
              <w:t xml:space="preserve">代溢价比例 </w:t>
            </w:r>
          </w:p>
        </w:tc>
        <w:tc>
          <w:tcPr>
            <w:tcW w:w="872" w:type="dxa"/>
            <w:shd w:val="clear" w:color="auto" w:fill="auto"/>
          </w:tcPr>
          <w:p w14:paraId="3D90CA41">
            <w:pPr>
              <w:numPr>
                <w:ilvl w:val="-1"/>
                <w:numId w:val="0"/>
              </w:numPr>
              <w:rPr>
                <w:rFonts w:hint="eastAsia" w:ascii="宋体" w:hAnsi="宋体" w:eastAsia="宋体"/>
              </w:rPr>
            </w:pPr>
            <w:r>
              <w:rPr>
                <w:rFonts w:hint="eastAsia" w:ascii="宋体" w:hAnsi="宋体" w:eastAsia="宋体"/>
              </w:rPr>
              <w:t>赎回现金替</w:t>
            </w:r>
          </w:p>
          <w:p w14:paraId="60142560">
            <w:pPr>
              <w:numPr>
                <w:ilvl w:val="-1"/>
                <w:numId w:val="0"/>
              </w:numPr>
              <w:rPr>
                <w:rFonts w:ascii="宋体" w:hAnsi="宋体" w:eastAsia="宋体" w:cs="宋体"/>
                <w:sz w:val="24"/>
                <w:szCs w:val="24"/>
              </w:rPr>
            </w:pPr>
            <w:r>
              <w:rPr>
                <w:rFonts w:hint="eastAsia" w:ascii="宋体" w:hAnsi="宋体" w:eastAsia="宋体"/>
              </w:rPr>
              <w:t xml:space="preserve">代折价比例 </w:t>
            </w:r>
          </w:p>
        </w:tc>
        <w:tc>
          <w:tcPr>
            <w:tcW w:w="469" w:type="dxa"/>
            <w:shd w:val="clear" w:color="auto" w:fill="auto"/>
          </w:tcPr>
          <w:p w14:paraId="062F7F25">
            <w:pPr>
              <w:numPr>
                <w:ilvl w:val="-1"/>
                <w:numId w:val="0"/>
              </w:numPr>
              <w:rPr>
                <w:rFonts w:hint="eastAsia" w:ascii="宋体" w:hAnsi="宋体" w:eastAsia="宋体"/>
              </w:rPr>
            </w:pPr>
            <w:r>
              <w:rPr>
                <w:rFonts w:hint="eastAsia" w:ascii="宋体" w:hAnsi="宋体" w:eastAsia="宋体"/>
              </w:rPr>
              <w:t>替代金额（单</w:t>
            </w:r>
          </w:p>
          <w:p w14:paraId="25E578F8">
            <w:pPr>
              <w:numPr>
                <w:ilvl w:val="-1"/>
                <w:numId w:val="0"/>
              </w:numPr>
              <w:rPr>
                <w:rFonts w:ascii="宋体" w:hAnsi="宋体" w:eastAsia="宋体" w:cs="宋体"/>
                <w:sz w:val="24"/>
                <w:szCs w:val="24"/>
              </w:rPr>
            </w:pPr>
            <w:r>
              <w:rPr>
                <w:rFonts w:hint="eastAsia" w:ascii="宋体" w:hAnsi="宋体" w:eastAsia="宋体"/>
              </w:rPr>
              <w:t xml:space="preserve">位：人民币元） </w:t>
            </w:r>
          </w:p>
        </w:tc>
        <w:tc>
          <w:tcPr>
            <w:tcW w:w="470" w:type="dxa"/>
            <w:shd w:val="clear" w:color="auto" w:fill="auto"/>
          </w:tcPr>
          <w:p w14:paraId="6EBCD2AF">
            <w:pPr>
              <w:keepNext w:val="0"/>
              <w:keepLines w:val="0"/>
              <w:widowControl/>
              <w:numPr>
                <w:ilvl w:val="-1"/>
                <w:numId w:val="0"/>
              </w:numPr>
              <w:suppressLineNumbers w:val="0"/>
              <w:jc w:val="left"/>
            </w:pPr>
            <w:r>
              <w:rPr>
                <w:rFonts w:hint="eastAsia" w:ascii="宋体" w:hAnsi="宋体" w:eastAsia="宋体" w:cs="宋体"/>
                <w:color w:val="000000"/>
                <w:kern w:val="0"/>
                <w:sz w:val="21"/>
                <w:szCs w:val="21"/>
                <w:lang w:val="en-US" w:eastAsia="zh-CN" w:bidi="ar"/>
              </w:rPr>
              <w:t xml:space="preserve">挂牌 </w:t>
            </w:r>
          </w:p>
          <w:p w14:paraId="55D96796">
            <w:pPr>
              <w:keepNext w:val="0"/>
              <w:keepLines w:val="0"/>
              <w:widowControl/>
              <w:numPr>
                <w:ilvl w:val="-1"/>
                <w:numId w:val="0"/>
              </w:numPr>
              <w:suppressLineNumbers w:val="0"/>
              <w:jc w:val="left"/>
            </w:pPr>
            <w:r>
              <w:rPr>
                <w:rFonts w:hint="eastAsia" w:ascii="宋体" w:hAnsi="宋体" w:eastAsia="宋体" w:cs="宋体"/>
                <w:color w:val="000000"/>
                <w:kern w:val="0"/>
                <w:sz w:val="21"/>
                <w:szCs w:val="21"/>
                <w:lang w:val="en-US" w:eastAsia="zh-CN" w:bidi="ar"/>
              </w:rPr>
              <w:t>市场</w:t>
            </w:r>
          </w:p>
          <w:p w14:paraId="0FD578E2">
            <w:pPr>
              <w:numPr>
                <w:ilvl w:val="-1"/>
                <w:numId w:val="0"/>
              </w:numPr>
              <w:rPr>
                <w:rFonts w:hint="eastAsia" w:ascii="宋体" w:hAnsi="宋体" w:eastAsia="宋体"/>
              </w:rPr>
            </w:pPr>
          </w:p>
        </w:tc>
      </w:tr>
      <w:tr w14:paraId="74DD3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72" w:type="dxa"/>
            <w:shd w:val="clear" w:color="auto" w:fill="auto"/>
          </w:tcPr>
          <w:p w14:paraId="3F516AF4">
            <w:pPr>
              <w:numPr>
                <w:ilvl w:val="-1"/>
                <w:numId w:val="0"/>
              </w:numPr>
              <w:rPr>
                <w:rFonts w:ascii="宋体" w:hAnsi="宋体" w:eastAsia="宋体" w:cs="宋体"/>
                <w:sz w:val="24"/>
                <w:szCs w:val="24"/>
              </w:rPr>
            </w:pPr>
          </w:p>
        </w:tc>
        <w:tc>
          <w:tcPr>
            <w:tcW w:w="1609" w:type="dxa"/>
            <w:shd w:val="clear" w:color="auto" w:fill="auto"/>
          </w:tcPr>
          <w:p w14:paraId="1F72561D">
            <w:pPr>
              <w:numPr>
                <w:ilvl w:val="-1"/>
                <w:numId w:val="0"/>
              </w:numPr>
              <w:rPr>
                <w:rFonts w:ascii="宋体" w:hAnsi="宋体" w:eastAsia="宋体" w:cs="宋体"/>
                <w:sz w:val="24"/>
                <w:szCs w:val="24"/>
              </w:rPr>
            </w:pPr>
          </w:p>
        </w:tc>
        <w:tc>
          <w:tcPr>
            <w:tcW w:w="1006" w:type="dxa"/>
            <w:shd w:val="clear" w:color="auto" w:fill="auto"/>
          </w:tcPr>
          <w:p w14:paraId="2E345BC2">
            <w:pPr>
              <w:numPr>
                <w:ilvl w:val="-1"/>
                <w:numId w:val="0"/>
              </w:numPr>
              <w:rPr>
                <w:rFonts w:ascii="宋体" w:hAnsi="宋体" w:eastAsia="宋体" w:cs="宋体"/>
                <w:sz w:val="24"/>
                <w:szCs w:val="24"/>
              </w:rPr>
            </w:pPr>
          </w:p>
        </w:tc>
        <w:tc>
          <w:tcPr>
            <w:tcW w:w="1609" w:type="dxa"/>
            <w:gridSpan w:val="2"/>
            <w:shd w:val="clear" w:color="auto" w:fill="auto"/>
          </w:tcPr>
          <w:p w14:paraId="738BAC65">
            <w:pPr>
              <w:numPr>
                <w:ilvl w:val="-1"/>
                <w:numId w:val="0"/>
              </w:numPr>
              <w:rPr>
                <w:rFonts w:ascii="宋体" w:hAnsi="宋体" w:eastAsia="宋体" w:cs="宋体"/>
                <w:sz w:val="24"/>
                <w:szCs w:val="24"/>
              </w:rPr>
            </w:pPr>
          </w:p>
        </w:tc>
        <w:tc>
          <w:tcPr>
            <w:tcW w:w="1609" w:type="dxa"/>
            <w:shd w:val="clear" w:color="auto" w:fill="auto"/>
          </w:tcPr>
          <w:p w14:paraId="5E5061DF">
            <w:pPr>
              <w:numPr>
                <w:ilvl w:val="-1"/>
                <w:numId w:val="0"/>
              </w:numPr>
              <w:rPr>
                <w:rFonts w:ascii="宋体" w:hAnsi="宋体" w:eastAsia="宋体" w:cs="宋体"/>
                <w:sz w:val="24"/>
                <w:szCs w:val="24"/>
              </w:rPr>
            </w:pPr>
          </w:p>
        </w:tc>
        <w:tc>
          <w:tcPr>
            <w:tcW w:w="872" w:type="dxa"/>
            <w:shd w:val="clear" w:color="auto" w:fill="auto"/>
          </w:tcPr>
          <w:p w14:paraId="22B2C906">
            <w:pPr>
              <w:numPr>
                <w:ilvl w:val="-1"/>
                <w:numId w:val="0"/>
              </w:numPr>
              <w:rPr>
                <w:rFonts w:ascii="宋体" w:hAnsi="宋体" w:eastAsia="宋体" w:cs="宋体"/>
                <w:sz w:val="24"/>
                <w:szCs w:val="24"/>
              </w:rPr>
            </w:pPr>
          </w:p>
        </w:tc>
        <w:tc>
          <w:tcPr>
            <w:tcW w:w="469" w:type="dxa"/>
            <w:shd w:val="clear" w:color="auto" w:fill="auto"/>
          </w:tcPr>
          <w:p w14:paraId="33013329">
            <w:pPr>
              <w:numPr>
                <w:ilvl w:val="-1"/>
                <w:numId w:val="0"/>
              </w:numPr>
              <w:rPr>
                <w:rFonts w:ascii="宋体" w:hAnsi="宋体" w:eastAsia="宋体" w:cs="宋体"/>
                <w:sz w:val="24"/>
                <w:szCs w:val="24"/>
              </w:rPr>
            </w:pPr>
          </w:p>
        </w:tc>
        <w:tc>
          <w:tcPr>
            <w:tcW w:w="470" w:type="dxa"/>
            <w:shd w:val="clear" w:color="auto" w:fill="auto"/>
          </w:tcPr>
          <w:p w14:paraId="1B471946">
            <w:pPr>
              <w:numPr>
                <w:ilvl w:val="-1"/>
                <w:numId w:val="0"/>
              </w:numPr>
              <w:rPr>
                <w:rFonts w:ascii="宋体" w:hAnsi="宋体" w:eastAsia="宋体" w:cs="宋体"/>
                <w:sz w:val="24"/>
                <w:szCs w:val="24"/>
              </w:rPr>
            </w:pPr>
          </w:p>
        </w:tc>
      </w:tr>
    </w:tbl>
    <w:p w14:paraId="059ABAF7">
      <w:pPr>
        <w:adjustRightInd w:val="0"/>
        <w:snapToGrid w:val="0"/>
        <w:spacing w:line="360" w:lineRule="auto"/>
        <w:ind w:firstLine="422" w:firstLineChars="200"/>
        <w:rPr>
          <w:rFonts w:hint="eastAsia" w:ascii="宋体" w:hAnsi="宋体"/>
          <w:b/>
          <w:szCs w:val="21"/>
        </w:rPr>
      </w:pPr>
    </w:p>
    <w:p w14:paraId="0D212FC6">
      <w:pPr>
        <w:adjustRightInd w:val="0"/>
        <w:snapToGrid w:val="0"/>
        <w:spacing w:line="360" w:lineRule="auto"/>
        <w:ind w:firstLine="422" w:firstLineChars="200"/>
        <w:rPr>
          <w:rFonts w:ascii="宋体" w:hAnsi="宋体"/>
          <w:b/>
          <w:szCs w:val="21"/>
        </w:rPr>
      </w:pPr>
      <w:r>
        <w:rPr>
          <w:rFonts w:hint="eastAsia" w:ascii="宋体" w:hAnsi="宋体"/>
          <w:b/>
          <w:szCs w:val="21"/>
        </w:rPr>
        <w:t>八、拒绝或暂停申购的情形及处理方式</w:t>
      </w:r>
    </w:p>
    <w:p w14:paraId="27A68765">
      <w:pPr>
        <w:snapToGrid w:val="0"/>
        <w:spacing w:line="360" w:lineRule="auto"/>
        <w:ind w:firstLine="420" w:firstLineChars="200"/>
        <w:rPr>
          <w:rFonts w:ascii="宋体" w:hAnsi="宋体"/>
          <w:szCs w:val="21"/>
        </w:rPr>
      </w:pPr>
      <w:r>
        <w:rPr>
          <w:rFonts w:hint="eastAsia" w:ascii="宋体" w:hAnsi="宋体"/>
          <w:szCs w:val="21"/>
        </w:rPr>
        <w:t>发生下列情况时，基金管理人可拒绝或暂停接受投资人的申购申请：</w:t>
      </w:r>
    </w:p>
    <w:p w14:paraId="3A228BB9">
      <w:pPr>
        <w:snapToGrid w:val="0"/>
        <w:spacing w:line="360" w:lineRule="auto"/>
        <w:ind w:firstLine="420" w:firstLineChars="200"/>
        <w:rPr>
          <w:rFonts w:ascii="宋体" w:hAnsi="宋体"/>
          <w:szCs w:val="21"/>
        </w:rPr>
      </w:pPr>
      <w:r>
        <w:rPr>
          <w:rFonts w:hint="eastAsia" w:ascii="宋体" w:hAnsi="宋体"/>
          <w:szCs w:val="21"/>
        </w:rPr>
        <w:t>1、因不可抗力导致基金无法正常运作或基金管理人无法受理或办理基金份额持有人的申购申请；</w:t>
      </w:r>
    </w:p>
    <w:p w14:paraId="4A920BF3">
      <w:pPr>
        <w:snapToGrid w:val="0"/>
        <w:spacing w:line="360" w:lineRule="auto"/>
        <w:ind w:firstLine="420" w:firstLineChars="200"/>
        <w:rPr>
          <w:rFonts w:ascii="宋体" w:hAnsi="宋体"/>
          <w:szCs w:val="21"/>
        </w:rPr>
      </w:pPr>
      <w:r>
        <w:rPr>
          <w:rFonts w:hint="eastAsia" w:ascii="宋体" w:hAnsi="宋体"/>
          <w:szCs w:val="21"/>
        </w:rPr>
        <w:t>2、证券/期货交易所或外汇市场交易时间非正常停市，导致基金管理人无法计算当日基金资产净值或无法进行证券交易；</w:t>
      </w:r>
    </w:p>
    <w:p w14:paraId="0F18634A">
      <w:pPr>
        <w:snapToGrid w:val="0"/>
        <w:spacing w:line="360" w:lineRule="auto"/>
        <w:ind w:firstLine="420" w:firstLineChars="200"/>
        <w:rPr>
          <w:rFonts w:ascii="宋体" w:hAnsi="宋体"/>
          <w:szCs w:val="21"/>
        </w:rPr>
      </w:pPr>
      <w:r>
        <w:rPr>
          <w:rFonts w:hint="eastAsia" w:ascii="宋体" w:hAnsi="宋体"/>
          <w:szCs w:val="21"/>
        </w:rPr>
        <w:t>3、发生基金合同规定的暂停基金资产估值情况时；</w:t>
      </w:r>
    </w:p>
    <w:p w14:paraId="3626608E">
      <w:pPr>
        <w:snapToGrid w:val="0"/>
        <w:spacing w:line="360" w:lineRule="auto"/>
        <w:ind w:firstLine="420" w:firstLineChars="200"/>
        <w:rPr>
          <w:rFonts w:ascii="宋体" w:hAnsi="宋体"/>
          <w:szCs w:val="21"/>
        </w:rPr>
      </w:pPr>
      <w:r>
        <w:rPr>
          <w:rFonts w:hint="eastAsia" w:ascii="宋体" w:hAnsi="宋体"/>
          <w:szCs w:val="21"/>
        </w:rPr>
        <w:t>4、港股通每日额度不足；</w:t>
      </w:r>
    </w:p>
    <w:p w14:paraId="0720F497">
      <w:pPr>
        <w:snapToGrid w:val="0"/>
        <w:spacing w:line="360" w:lineRule="auto"/>
        <w:ind w:firstLine="420" w:firstLineChars="200"/>
        <w:rPr>
          <w:rFonts w:ascii="宋体" w:hAnsi="宋体"/>
          <w:szCs w:val="21"/>
        </w:rPr>
      </w:pPr>
      <w:r>
        <w:rPr>
          <w:rFonts w:hint="eastAsia" w:ascii="宋体" w:hAnsi="宋体"/>
          <w:szCs w:val="21"/>
        </w:rPr>
        <w:t>5、港股通的业务规则发生重大变化时；</w:t>
      </w:r>
    </w:p>
    <w:p w14:paraId="3CE60905">
      <w:pPr>
        <w:snapToGrid w:val="0"/>
        <w:spacing w:line="360" w:lineRule="auto"/>
        <w:ind w:firstLine="420" w:firstLineChars="200"/>
        <w:rPr>
          <w:rFonts w:ascii="宋体" w:hAnsi="宋体"/>
          <w:szCs w:val="21"/>
        </w:rPr>
      </w:pPr>
      <w:r>
        <w:rPr>
          <w:rFonts w:hint="eastAsia" w:ascii="宋体" w:hAnsi="宋体"/>
          <w:szCs w:val="21"/>
        </w:rPr>
        <w:t>6、在发生标的指数成份股上市公司重大行为、成份股市场价格异常波动等异常情形时；</w:t>
      </w:r>
    </w:p>
    <w:p w14:paraId="2BE884BA">
      <w:pPr>
        <w:snapToGrid w:val="0"/>
        <w:spacing w:line="360" w:lineRule="auto"/>
        <w:ind w:firstLine="420" w:firstLineChars="200"/>
        <w:rPr>
          <w:rFonts w:ascii="宋体" w:hAnsi="宋体"/>
          <w:szCs w:val="21"/>
        </w:rPr>
      </w:pPr>
      <w:r>
        <w:rPr>
          <w:rFonts w:hint="eastAsia" w:ascii="宋体" w:hAnsi="宋体"/>
          <w:szCs w:val="21"/>
        </w:rPr>
        <w:t>7、接受某笔或某些申购申请可能会影响或损害现有基金份额持有人利益时；</w:t>
      </w:r>
    </w:p>
    <w:p w14:paraId="1EE5F488">
      <w:pPr>
        <w:snapToGrid w:val="0"/>
        <w:spacing w:line="360" w:lineRule="auto"/>
        <w:ind w:firstLine="420" w:firstLineChars="200"/>
        <w:rPr>
          <w:rFonts w:ascii="宋体" w:hAnsi="宋体"/>
          <w:szCs w:val="21"/>
        </w:rPr>
      </w:pPr>
      <w:r>
        <w:rPr>
          <w:rFonts w:hint="eastAsia" w:ascii="宋体" w:hAnsi="宋体"/>
          <w:szCs w:val="21"/>
        </w:rPr>
        <w:t>8、申请超过基金管理人设定的基金总规模、单日净申购比例上限、单一投资者单日或单笔申购份额上限的；</w:t>
      </w:r>
    </w:p>
    <w:p w14:paraId="53097791">
      <w:pPr>
        <w:snapToGrid w:val="0"/>
        <w:spacing w:line="360" w:lineRule="auto"/>
        <w:ind w:firstLine="420" w:firstLineChars="200"/>
        <w:rPr>
          <w:rFonts w:ascii="宋体" w:hAnsi="宋体"/>
          <w:szCs w:val="21"/>
        </w:rPr>
      </w:pPr>
      <w:r>
        <w:rPr>
          <w:rFonts w:hint="eastAsia" w:ascii="宋体" w:hAnsi="宋体"/>
          <w:szCs w:val="21"/>
        </w:rPr>
        <w:t>9、当前一估值日基金资产净值50%以上的资产出现无可参考的活跃市场价格且采用估值技术仍导致公允价值存在重大不确定性时，经与基金托管人协商确认后，基金管理人应当暂停接受基金申购申请；</w:t>
      </w:r>
    </w:p>
    <w:p w14:paraId="70F1D668">
      <w:pPr>
        <w:snapToGrid w:val="0"/>
        <w:spacing w:line="360" w:lineRule="auto"/>
        <w:ind w:firstLine="420" w:firstLineChars="200"/>
        <w:rPr>
          <w:rFonts w:ascii="宋体" w:hAnsi="宋体"/>
          <w:szCs w:val="21"/>
        </w:rPr>
      </w:pPr>
      <w:r>
        <w:rPr>
          <w:rFonts w:hint="eastAsia" w:ascii="宋体" w:hAnsi="宋体"/>
          <w:szCs w:val="21"/>
        </w:rPr>
        <w:t>10、法律法规、上海证券交易所规定或中国证监会认定的其他情形。</w:t>
      </w:r>
    </w:p>
    <w:p w14:paraId="2A9C84B1">
      <w:pPr>
        <w:snapToGrid w:val="0"/>
        <w:spacing w:line="360" w:lineRule="auto"/>
        <w:ind w:firstLine="420" w:firstLineChars="200"/>
        <w:rPr>
          <w:rFonts w:ascii="宋体" w:hAnsi="宋体"/>
          <w:szCs w:val="21"/>
        </w:rPr>
      </w:pPr>
      <w:r>
        <w:rPr>
          <w:rFonts w:hint="eastAsia" w:ascii="宋体" w:hAnsi="宋体"/>
          <w:szCs w:val="21"/>
        </w:rPr>
        <w:t>发生上述（第7、8条除外）暂停申购情形之一且基金管理人决定暂停接受投资人申购申请时，基金管理人应当根据有关规定在规定媒介上刊登暂停申购公告。如果投资人的申购申请全部或部分被拒绝，被拒绝的申购对价将退还给投资人。在暂停申购的情况消除时，基金管理人应及时恢复申购业务的办理。</w:t>
      </w:r>
    </w:p>
    <w:p w14:paraId="6854100E">
      <w:pPr>
        <w:adjustRightInd w:val="0"/>
        <w:snapToGrid w:val="0"/>
        <w:spacing w:line="360" w:lineRule="auto"/>
        <w:ind w:firstLine="422" w:firstLineChars="200"/>
        <w:rPr>
          <w:rFonts w:ascii="宋体" w:hAnsi="宋体"/>
          <w:b/>
          <w:szCs w:val="21"/>
        </w:rPr>
      </w:pPr>
      <w:r>
        <w:rPr>
          <w:rFonts w:hint="eastAsia" w:ascii="宋体" w:hAnsi="宋体"/>
          <w:b/>
          <w:szCs w:val="21"/>
        </w:rPr>
        <w:t>九、</w:t>
      </w:r>
      <w:r>
        <w:rPr>
          <w:rFonts w:ascii="宋体" w:hAnsi="宋体"/>
          <w:b/>
          <w:szCs w:val="21"/>
        </w:rPr>
        <w:t>暂停赎回或延缓支付赎回对价的情形及处理方式</w:t>
      </w:r>
    </w:p>
    <w:p w14:paraId="2F211E68">
      <w:pPr>
        <w:adjustRightInd w:val="0"/>
        <w:snapToGrid w:val="0"/>
        <w:spacing w:line="360" w:lineRule="auto"/>
        <w:ind w:firstLine="420" w:firstLineChars="200"/>
        <w:rPr>
          <w:rFonts w:ascii="宋体" w:hAnsi="宋体"/>
          <w:szCs w:val="21"/>
        </w:rPr>
      </w:pPr>
      <w:bookmarkStart w:id="48" w:name="_Hlt70481650"/>
      <w:bookmarkEnd w:id="48"/>
      <w:r>
        <w:rPr>
          <w:rFonts w:hint="eastAsia" w:ascii="宋体" w:hAnsi="宋体"/>
          <w:szCs w:val="21"/>
        </w:rPr>
        <w:t>发生下列情形时，基金管理人可暂停接受投资人的赎回申请或延缓支付赎回对价：</w:t>
      </w:r>
    </w:p>
    <w:p w14:paraId="48F47045">
      <w:pPr>
        <w:adjustRightInd w:val="0"/>
        <w:snapToGrid w:val="0"/>
        <w:spacing w:line="360" w:lineRule="auto"/>
        <w:ind w:firstLine="420" w:firstLineChars="200"/>
        <w:rPr>
          <w:rFonts w:ascii="宋体" w:hAnsi="宋体"/>
          <w:szCs w:val="21"/>
        </w:rPr>
      </w:pPr>
      <w:r>
        <w:rPr>
          <w:rFonts w:hint="eastAsia" w:ascii="宋体" w:hAnsi="宋体"/>
          <w:szCs w:val="21"/>
        </w:rPr>
        <w:t>1、因不可抗力导致基金管理人无法受理或办理基金份额持有人的赎回申请；</w:t>
      </w:r>
    </w:p>
    <w:p w14:paraId="469D7773">
      <w:pPr>
        <w:adjustRightInd w:val="0"/>
        <w:snapToGrid w:val="0"/>
        <w:spacing w:line="360" w:lineRule="auto"/>
        <w:ind w:firstLine="420" w:firstLineChars="200"/>
        <w:rPr>
          <w:rFonts w:ascii="宋体" w:hAnsi="宋体"/>
          <w:szCs w:val="21"/>
        </w:rPr>
      </w:pPr>
      <w:r>
        <w:rPr>
          <w:rFonts w:hint="eastAsia" w:ascii="宋体" w:hAnsi="宋体"/>
          <w:szCs w:val="21"/>
        </w:rPr>
        <w:t>2、证券/期货交易所或外汇市场交易时间非正常停市，导致基金管理人无法计算当日基金资产净值或无法进行证券交易；</w:t>
      </w:r>
    </w:p>
    <w:p w14:paraId="646DC5B4">
      <w:pPr>
        <w:adjustRightInd w:val="0"/>
        <w:snapToGrid w:val="0"/>
        <w:spacing w:line="360" w:lineRule="auto"/>
        <w:ind w:firstLine="420" w:firstLineChars="200"/>
        <w:rPr>
          <w:rFonts w:ascii="宋体" w:hAnsi="宋体"/>
          <w:szCs w:val="21"/>
        </w:rPr>
      </w:pPr>
      <w:r>
        <w:rPr>
          <w:rFonts w:hint="eastAsia" w:ascii="宋体" w:hAnsi="宋体"/>
          <w:szCs w:val="21"/>
        </w:rPr>
        <w:t>3、发生基金合同规定的暂停基金资产估值情况时；</w:t>
      </w:r>
    </w:p>
    <w:p w14:paraId="43C027BC">
      <w:pPr>
        <w:adjustRightInd w:val="0"/>
        <w:snapToGrid w:val="0"/>
        <w:spacing w:line="360" w:lineRule="auto"/>
        <w:ind w:firstLine="420" w:firstLineChars="200"/>
        <w:rPr>
          <w:rFonts w:ascii="宋体" w:hAnsi="宋体"/>
          <w:szCs w:val="21"/>
        </w:rPr>
      </w:pPr>
      <w:r>
        <w:rPr>
          <w:rFonts w:hint="eastAsia" w:ascii="宋体" w:hAnsi="宋体"/>
          <w:szCs w:val="21"/>
        </w:rPr>
        <w:t>4、港股通的业务规则发生重大变化时；</w:t>
      </w:r>
    </w:p>
    <w:p w14:paraId="07144C66">
      <w:pPr>
        <w:adjustRightInd w:val="0"/>
        <w:snapToGrid w:val="0"/>
        <w:spacing w:line="360" w:lineRule="auto"/>
        <w:ind w:firstLine="420" w:firstLineChars="200"/>
        <w:rPr>
          <w:rFonts w:ascii="宋体" w:hAnsi="宋体"/>
          <w:szCs w:val="21"/>
        </w:rPr>
      </w:pPr>
      <w:r>
        <w:rPr>
          <w:rFonts w:hint="eastAsia" w:ascii="宋体" w:hAnsi="宋体"/>
          <w:szCs w:val="21"/>
        </w:rPr>
        <w:t>5、在发生标的指数成份股上市公司重大行为、成份股市场价格异常波动等异常情形时；</w:t>
      </w:r>
    </w:p>
    <w:p w14:paraId="07011E36">
      <w:pPr>
        <w:adjustRightInd w:val="0"/>
        <w:snapToGrid w:val="0"/>
        <w:spacing w:line="360" w:lineRule="auto"/>
        <w:ind w:firstLine="420" w:firstLineChars="200"/>
        <w:rPr>
          <w:rFonts w:ascii="宋体" w:hAnsi="宋体"/>
          <w:szCs w:val="21"/>
        </w:rPr>
      </w:pPr>
      <w:r>
        <w:rPr>
          <w:rFonts w:hint="eastAsia" w:ascii="宋体" w:hAnsi="宋体"/>
          <w:szCs w:val="21"/>
        </w:rPr>
        <w:t>6、发生继续接受赎回申请将损害现有基金份额持有人利益的情形；</w:t>
      </w:r>
    </w:p>
    <w:p w14:paraId="3F3BFA3C">
      <w:pPr>
        <w:adjustRightInd w:val="0"/>
        <w:snapToGrid w:val="0"/>
        <w:spacing w:line="360" w:lineRule="auto"/>
        <w:ind w:firstLine="420" w:firstLineChars="200"/>
        <w:rPr>
          <w:rFonts w:ascii="宋体" w:hAnsi="宋体"/>
          <w:szCs w:val="21"/>
        </w:rPr>
      </w:pPr>
      <w:r>
        <w:rPr>
          <w:rFonts w:hint="eastAsia" w:ascii="宋体" w:hAnsi="宋体"/>
          <w:szCs w:val="21"/>
        </w:rPr>
        <w:t>7、本基金当日总赎回份额达到基金管理人所设定的上限；</w:t>
      </w:r>
    </w:p>
    <w:p w14:paraId="1A193246">
      <w:pPr>
        <w:adjustRightInd w:val="0"/>
        <w:snapToGrid w:val="0"/>
        <w:spacing w:line="360" w:lineRule="auto"/>
        <w:ind w:firstLine="420" w:firstLineChars="200"/>
        <w:rPr>
          <w:rFonts w:ascii="宋体" w:hAnsi="宋体"/>
          <w:szCs w:val="21"/>
        </w:rPr>
      </w:pPr>
      <w:r>
        <w:rPr>
          <w:rFonts w:hint="eastAsia" w:ascii="宋体" w:hAnsi="宋体"/>
          <w:szCs w:val="21"/>
        </w:rPr>
        <w:t>8、当前一估值日基金资产净值50%以上的资产出现无可参考的活跃市场价格且采用估值技术仍导致公允价值存在重大不确定性时，经与基金托管人协商确认后，基金管理人应当延缓支付赎回对价或暂停接受基金赎回申请；</w:t>
      </w:r>
    </w:p>
    <w:p w14:paraId="3267451A">
      <w:pPr>
        <w:adjustRightInd w:val="0"/>
        <w:snapToGrid w:val="0"/>
        <w:spacing w:line="360" w:lineRule="auto"/>
        <w:ind w:firstLine="420" w:firstLineChars="200"/>
        <w:rPr>
          <w:rFonts w:ascii="宋体" w:hAnsi="宋体"/>
          <w:szCs w:val="21"/>
        </w:rPr>
      </w:pPr>
      <w:r>
        <w:rPr>
          <w:rFonts w:hint="eastAsia" w:ascii="宋体" w:hAnsi="宋体"/>
          <w:szCs w:val="21"/>
        </w:rPr>
        <w:t>9、法律法规、上海证券交易所规定或中国证监会认定的其他情形。</w:t>
      </w:r>
    </w:p>
    <w:p w14:paraId="014F0FB9">
      <w:pPr>
        <w:adjustRightInd w:val="0"/>
        <w:snapToGrid w:val="0"/>
        <w:spacing w:line="360" w:lineRule="auto"/>
        <w:ind w:firstLine="420" w:firstLineChars="200"/>
        <w:rPr>
          <w:rFonts w:ascii="宋体" w:hAnsi="宋体"/>
          <w:szCs w:val="21"/>
        </w:rPr>
      </w:pPr>
      <w:r>
        <w:rPr>
          <w:rFonts w:hint="eastAsia" w:ascii="宋体" w:hAnsi="宋体"/>
          <w:szCs w:val="21"/>
        </w:rPr>
        <w:t>发生上述情形之一且基金管理人决定暂停赎回或延缓支付赎回对价时，基金管理人应按规定报中国证监会备案。已接受的赎回申请，基金管理人应足额支付，基金份额持有人在申请赎回时可事先选择将当日可能未获受理部分予以撤销，如暂时不能足额支付，未支付部分可延期支付。在暂停赎回的情况消除时，基金管理人应及时恢复赎回业务的办理并公告。</w:t>
      </w:r>
    </w:p>
    <w:p w14:paraId="1C777F2F">
      <w:pPr>
        <w:adjustRightInd w:val="0"/>
        <w:snapToGrid w:val="0"/>
        <w:spacing w:line="360" w:lineRule="auto"/>
        <w:ind w:firstLine="422" w:firstLineChars="200"/>
        <w:rPr>
          <w:rFonts w:ascii="宋体" w:hAnsi="宋体"/>
          <w:b/>
        </w:rPr>
      </w:pPr>
      <w:r>
        <w:rPr>
          <w:rFonts w:hint="eastAsia" w:ascii="宋体" w:hAnsi="宋体"/>
          <w:b/>
        </w:rPr>
        <w:t>十、基金份额折算</w:t>
      </w:r>
    </w:p>
    <w:p w14:paraId="496743AB">
      <w:pPr>
        <w:adjustRightInd w:val="0"/>
        <w:snapToGrid w:val="0"/>
        <w:spacing w:line="360" w:lineRule="auto"/>
        <w:ind w:firstLine="420" w:firstLineChars="200"/>
        <w:rPr>
          <w:rFonts w:ascii="宋体" w:hAnsi="宋体"/>
        </w:rPr>
      </w:pPr>
      <w:r>
        <w:rPr>
          <w:rFonts w:hint="eastAsia" w:ascii="宋体" w:hAnsi="宋体"/>
        </w:rPr>
        <w:t xml:space="preserve">为提高交易便利或根据需要，基金管理人可向登记机构申请办理基金份额折算与变更登记。基金份额折算后，基金的基金份额总额与基金份额持有人持有的基金份额数额将发生调整，但调整后的基金份额持有人持有的基金份额占基金份额总额的比例不发生变化。基金份额折算对基金份额持有人的权益无实质性影响（因尾数处理而产生的损益不视为实质性影响）。基金份额折算后，基金份额持有人将按照折算后的基金份额享有权利并承担义务。基金管理人应就其具体事宜进行必要公告，并提前通知基金托管人。 </w:t>
      </w:r>
    </w:p>
    <w:p w14:paraId="720FF2F7">
      <w:pPr>
        <w:adjustRightInd w:val="0"/>
        <w:snapToGrid w:val="0"/>
        <w:spacing w:line="360" w:lineRule="auto"/>
        <w:ind w:firstLine="422" w:firstLineChars="200"/>
        <w:rPr>
          <w:rFonts w:ascii="宋体" w:hAnsi="宋体"/>
          <w:b/>
        </w:rPr>
      </w:pPr>
      <w:r>
        <w:rPr>
          <w:rFonts w:hint="eastAsia" w:ascii="宋体" w:hAnsi="宋体"/>
          <w:b/>
        </w:rPr>
        <w:t xml:space="preserve">十一、基金份额拆分与合并 </w:t>
      </w:r>
    </w:p>
    <w:p w14:paraId="0E399FDF">
      <w:pPr>
        <w:adjustRightInd w:val="0"/>
        <w:snapToGrid w:val="0"/>
        <w:spacing w:line="360" w:lineRule="auto"/>
        <w:ind w:firstLine="420" w:firstLineChars="200"/>
        <w:rPr>
          <w:rFonts w:ascii="宋体" w:hAnsi="宋体"/>
        </w:rPr>
      </w:pPr>
      <w:r>
        <w:rPr>
          <w:rFonts w:hint="eastAsia" w:ascii="宋体" w:hAnsi="宋体"/>
        </w:rPr>
        <w:t xml:space="preserve">基金成立后，在法律法规规定的范围内，在基金管理人与基金托管人协商一致的情况下，本基金可实施基金份额拆分或合并。 </w:t>
      </w:r>
    </w:p>
    <w:p w14:paraId="668CF4CC">
      <w:pPr>
        <w:adjustRightInd w:val="0"/>
        <w:snapToGrid w:val="0"/>
        <w:spacing w:line="360" w:lineRule="auto"/>
        <w:ind w:firstLine="420" w:firstLineChars="200"/>
        <w:rPr>
          <w:rFonts w:ascii="宋体" w:hAnsi="宋体"/>
        </w:rPr>
      </w:pPr>
      <w:r>
        <w:rPr>
          <w:rFonts w:hint="eastAsia" w:ascii="宋体" w:hAnsi="宋体"/>
        </w:rPr>
        <w:t>基金份额拆分或合并是在保持现有基金份额持有人资产总值不变的前提下，改变基金份额净值和持有基金份额的对应关系，是重新列示基金资产的一种方式。基金份额拆分或合并对基金份额持有人的权益无实质性影响。</w:t>
      </w:r>
    </w:p>
    <w:p w14:paraId="74F257FB">
      <w:pPr>
        <w:snapToGrid w:val="0"/>
        <w:spacing w:line="360" w:lineRule="auto"/>
        <w:ind w:firstLine="422" w:firstLineChars="200"/>
        <w:rPr>
          <w:rFonts w:ascii="宋体" w:hAnsi="宋体" w:cs="Arial"/>
          <w:b/>
          <w:bCs/>
          <w:szCs w:val="21"/>
        </w:rPr>
      </w:pPr>
      <w:r>
        <w:rPr>
          <w:rFonts w:hint="eastAsia" w:ascii="宋体" w:hAnsi="宋体" w:cs="Arial"/>
          <w:b/>
          <w:bCs/>
          <w:szCs w:val="21"/>
        </w:rPr>
        <w:t>十二</w:t>
      </w:r>
      <w:r>
        <w:rPr>
          <w:rFonts w:ascii="宋体" w:hAnsi="宋体" w:cs="Arial"/>
          <w:b/>
          <w:bCs/>
          <w:szCs w:val="21"/>
        </w:rPr>
        <w:t>、</w:t>
      </w:r>
      <w:r>
        <w:rPr>
          <w:rFonts w:hint="eastAsia" w:ascii="宋体" w:hAnsi="宋体" w:cs="Arial"/>
          <w:b/>
          <w:bCs/>
          <w:szCs w:val="21"/>
        </w:rPr>
        <w:t>基金份额的转让</w:t>
      </w:r>
    </w:p>
    <w:p w14:paraId="0AA043B9">
      <w:pPr>
        <w:snapToGrid w:val="0"/>
        <w:spacing w:line="360" w:lineRule="auto"/>
        <w:ind w:firstLine="420" w:firstLineChars="200"/>
        <w:rPr>
          <w:rFonts w:ascii="宋体" w:hAnsi="宋体" w:cs="Arial"/>
          <w:bCs/>
          <w:szCs w:val="21"/>
        </w:rPr>
      </w:pPr>
      <w:r>
        <w:rPr>
          <w:rFonts w:hint="eastAsia" w:ascii="宋体" w:hAnsi="宋体" w:cs="Arial"/>
          <w:bCs/>
          <w:szCs w:val="21"/>
        </w:rPr>
        <w:t>在法律法规允许且条件具备的情况下</w:t>
      </w:r>
      <w:r>
        <w:rPr>
          <w:rFonts w:hint="eastAsia" w:ascii="宋体" w:hAnsi="宋体"/>
          <w:kern w:val="0"/>
        </w:rPr>
        <w:t>，如对</w:t>
      </w:r>
      <w:r>
        <w:rPr>
          <w:rFonts w:ascii="宋体" w:hAnsi="宋体"/>
          <w:kern w:val="0"/>
        </w:rPr>
        <w:t>基金份额持有人</w:t>
      </w:r>
      <w:r>
        <w:rPr>
          <w:rFonts w:hint="eastAsia" w:ascii="宋体" w:hAnsi="宋体"/>
          <w:kern w:val="0"/>
        </w:rPr>
        <w:t>无实质性</w:t>
      </w:r>
      <w:r>
        <w:rPr>
          <w:rFonts w:ascii="宋体" w:hAnsi="宋体"/>
          <w:kern w:val="0"/>
        </w:rPr>
        <w:t>不利影响</w:t>
      </w:r>
      <w:r>
        <w:rPr>
          <w:rFonts w:hint="eastAsia" w:ascii="宋体" w:hAnsi="宋体"/>
          <w:kern w:val="0"/>
        </w:rPr>
        <w:t>，基金管理人经履行相关程序后</w:t>
      </w:r>
      <w:r>
        <w:rPr>
          <w:rFonts w:hint="eastAsia" w:ascii="宋体" w:hAnsi="宋体" w:cs="Arial"/>
          <w:bCs/>
          <w:szCs w:val="21"/>
        </w:rPr>
        <w:t>可受理基金份额持有人通过中国证监会认可的证券交易所以外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4A6F7171">
      <w:pPr>
        <w:adjustRightInd w:val="0"/>
        <w:snapToGrid w:val="0"/>
        <w:spacing w:line="360" w:lineRule="auto"/>
        <w:ind w:firstLine="424" w:firstLineChars="201"/>
        <w:rPr>
          <w:rFonts w:ascii="宋体" w:hAnsi="宋体"/>
          <w:b/>
        </w:rPr>
      </w:pPr>
      <w:r>
        <w:rPr>
          <w:rFonts w:hint="eastAsia" w:ascii="宋体" w:hAnsi="宋体" w:cs="Arial"/>
          <w:b/>
          <w:bCs/>
          <w:szCs w:val="21"/>
        </w:rPr>
        <w:t>十三</w:t>
      </w:r>
      <w:r>
        <w:rPr>
          <w:rFonts w:ascii="宋体" w:hAnsi="宋体" w:cs="Arial"/>
          <w:b/>
          <w:bCs/>
          <w:szCs w:val="21"/>
        </w:rPr>
        <w:t>、</w:t>
      </w:r>
      <w:r>
        <w:rPr>
          <w:rFonts w:hint="eastAsia" w:ascii="宋体" w:hAnsi="宋体"/>
          <w:b/>
        </w:rPr>
        <w:t>基金的非交易过户、冻结、解冻等其他业务</w:t>
      </w:r>
    </w:p>
    <w:p w14:paraId="42147249">
      <w:pPr>
        <w:snapToGrid w:val="0"/>
        <w:spacing w:line="360" w:lineRule="auto"/>
        <w:ind w:firstLine="420" w:firstLineChars="200"/>
        <w:rPr>
          <w:rFonts w:ascii="宋体" w:hAnsi="宋体"/>
        </w:rPr>
      </w:pPr>
      <w:r>
        <w:rPr>
          <w:rFonts w:hint="eastAsia" w:ascii="宋体" w:hAnsi="宋体"/>
        </w:rPr>
        <w:t>基金的登记机构可依据其业务规则，受理基金的非交易过户、冻结与解冻等业务，并收取一定的手续费用。</w:t>
      </w:r>
    </w:p>
    <w:p w14:paraId="2550E7C0">
      <w:pPr>
        <w:snapToGrid w:val="0"/>
        <w:spacing w:line="360" w:lineRule="auto"/>
        <w:ind w:firstLine="420" w:firstLineChars="200"/>
        <w:rPr>
          <w:rFonts w:ascii="宋体" w:hAnsi="宋体"/>
          <w:bCs/>
          <w:szCs w:val="21"/>
        </w:rPr>
      </w:pPr>
      <w:r>
        <w:rPr>
          <w:rFonts w:hint="eastAsia" w:ascii="宋体" w:hAnsi="宋体"/>
          <w:bCs/>
          <w:szCs w:val="21"/>
        </w:rPr>
        <w:t>基金份额被冻结的，被冻结部分产生的权益一并冻结，被冻结部分份额仍然参与收益分配。法律法规或监管机构另有规定的除外。</w:t>
      </w:r>
    </w:p>
    <w:p w14:paraId="7FB257A9">
      <w:pPr>
        <w:adjustRightInd w:val="0"/>
        <w:snapToGrid w:val="0"/>
        <w:spacing w:line="360" w:lineRule="auto"/>
        <w:ind w:firstLine="424" w:firstLineChars="201"/>
        <w:rPr>
          <w:rFonts w:ascii="宋体" w:hAnsi="宋体"/>
          <w:b/>
          <w:bCs/>
          <w:szCs w:val="21"/>
        </w:rPr>
      </w:pPr>
      <w:bookmarkStart w:id="49" w:name="_Toc119493934"/>
      <w:bookmarkStart w:id="50" w:name="_Toc119493257"/>
      <w:bookmarkStart w:id="51" w:name="_Toc119493448"/>
      <w:bookmarkStart w:id="52" w:name="_Toc57100846"/>
      <w:bookmarkStart w:id="53" w:name="_Toc139351272"/>
      <w:bookmarkStart w:id="54" w:name="_Toc93045566"/>
      <w:bookmarkStart w:id="55" w:name="_Toc139351145"/>
      <w:bookmarkStart w:id="56" w:name="_Toc193527473"/>
      <w:bookmarkStart w:id="57" w:name="_Toc92871516"/>
      <w:r>
        <w:rPr>
          <w:rFonts w:hint="eastAsia" w:ascii="宋体" w:hAnsi="宋体" w:cs="Arial"/>
          <w:b/>
          <w:bCs/>
          <w:szCs w:val="21"/>
        </w:rPr>
        <w:t>十四、</w:t>
      </w:r>
      <w:bookmarkEnd w:id="49"/>
      <w:bookmarkEnd w:id="50"/>
      <w:bookmarkEnd w:id="51"/>
      <w:bookmarkEnd w:id="52"/>
      <w:bookmarkEnd w:id="53"/>
      <w:bookmarkEnd w:id="54"/>
      <w:bookmarkEnd w:id="55"/>
      <w:bookmarkEnd w:id="56"/>
      <w:bookmarkEnd w:id="57"/>
      <w:r>
        <w:rPr>
          <w:rFonts w:hint="eastAsia" w:ascii="宋体" w:hAnsi="宋体"/>
          <w:b/>
          <w:bCs/>
          <w:szCs w:val="21"/>
        </w:rPr>
        <w:t>联接基金的特殊申购</w:t>
      </w:r>
    </w:p>
    <w:p w14:paraId="637B2B6B">
      <w:pPr>
        <w:adjustRightInd w:val="0"/>
        <w:snapToGrid w:val="0"/>
        <w:spacing w:line="360" w:lineRule="auto"/>
        <w:ind w:firstLine="422" w:firstLineChars="201"/>
        <w:rPr>
          <w:rFonts w:ascii="宋体" w:hAnsi="宋体"/>
        </w:rPr>
      </w:pPr>
      <w:r>
        <w:rPr>
          <w:rFonts w:hint="eastAsia" w:ascii="宋体" w:hAnsi="宋体"/>
          <w:bCs/>
          <w:szCs w:val="21"/>
        </w:rPr>
        <w:t>若基金管理人推出以本基金为目标</w:t>
      </w:r>
      <w:r>
        <w:rPr>
          <w:rFonts w:ascii="宋体" w:hAnsi="宋体"/>
          <w:bCs/>
          <w:szCs w:val="21"/>
        </w:rPr>
        <w:t xml:space="preserve">ETF </w:t>
      </w:r>
      <w:r>
        <w:rPr>
          <w:rFonts w:hint="eastAsia" w:ascii="宋体" w:hAnsi="宋体"/>
          <w:bCs/>
          <w:szCs w:val="21"/>
        </w:rPr>
        <w:t>的联接基金，本基金可根据实际情况需要向本基金的联接基金开通特殊申购，不收取申购费用。</w:t>
      </w:r>
    </w:p>
    <w:p w14:paraId="249817B8">
      <w:pPr>
        <w:adjustRightInd w:val="0"/>
        <w:snapToGrid w:val="0"/>
        <w:spacing w:line="360" w:lineRule="auto"/>
        <w:ind w:firstLine="424" w:firstLineChars="201"/>
        <w:rPr>
          <w:rFonts w:ascii="宋体" w:hAnsi="宋体" w:cs="Arial"/>
          <w:b/>
          <w:bCs/>
          <w:szCs w:val="21"/>
        </w:rPr>
      </w:pPr>
      <w:r>
        <w:rPr>
          <w:rFonts w:hint="eastAsia" w:ascii="宋体" w:hAnsi="宋体" w:cs="Arial"/>
          <w:b/>
          <w:kern w:val="0"/>
          <w:szCs w:val="21"/>
        </w:rPr>
        <w:t>十五、</w:t>
      </w:r>
      <w:r>
        <w:rPr>
          <w:rFonts w:hint="eastAsia" w:ascii="宋体" w:hAnsi="宋体" w:cs="Arial"/>
          <w:b/>
          <w:bCs/>
          <w:szCs w:val="21"/>
        </w:rPr>
        <w:t>其他</w:t>
      </w:r>
    </w:p>
    <w:p w14:paraId="45657F4B">
      <w:pPr>
        <w:adjustRightInd w:val="0"/>
        <w:snapToGrid w:val="0"/>
        <w:spacing w:line="360" w:lineRule="auto"/>
        <w:ind w:firstLine="480"/>
        <w:rPr>
          <w:rFonts w:ascii="宋体" w:hAnsi="宋体" w:cs="Arial"/>
          <w:bCs/>
          <w:szCs w:val="21"/>
        </w:rPr>
      </w:pPr>
      <w:r>
        <w:rPr>
          <w:rFonts w:hint="eastAsia" w:ascii="宋体" w:hAnsi="宋体" w:cs="Arial"/>
          <w:bCs/>
          <w:szCs w:val="21"/>
        </w:rPr>
        <w:t>1、在不违反法律法规且对基金份额持有人利益无实质性不利影响的情况下，经履行相关程序后，基金管理人可开放集合申购。基金管理人有权制定集合申购业务的相关规则。</w:t>
      </w:r>
    </w:p>
    <w:p w14:paraId="21E55350">
      <w:pPr>
        <w:adjustRightInd w:val="0"/>
        <w:snapToGrid w:val="0"/>
        <w:spacing w:line="360" w:lineRule="auto"/>
        <w:ind w:firstLine="480"/>
        <w:rPr>
          <w:rFonts w:ascii="宋体" w:hAnsi="宋体" w:cs="Arial"/>
          <w:bCs/>
          <w:szCs w:val="21"/>
        </w:rPr>
      </w:pPr>
      <w:r>
        <w:rPr>
          <w:rFonts w:hint="eastAsia" w:ascii="宋体" w:hAnsi="宋体" w:cs="Arial"/>
          <w:bCs/>
          <w:szCs w:val="21"/>
        </w:rPr>
        <w:t>在条件允许时，基金管理人也可采取其他合理的申购方式，并于新的申购方式开始执行前予以公告。</w:t>
      </w:r>
    </w:p>
    <w:p w14:paraId="4F7FF2C6">
      <w:pPr>
        <w:adjustRightInd w:val="0"/>
        <w:snapToGrid w:val="0"/>
        <w:spacing w:line="360" w:lineRule="auto"/>
        <w:ind w:firstLine="480"/>
        <w:rPr>
          <w:rFonts w:ascii="宋体" w:hAnsi="宋体" w:cs="Arial"/>
          <w:bCs/>
          <w:szCs w:val="21"/>
        </w:rPr>
      </w:pPr>
      <w:r>
        <w:rPr>
          <w:rFonts w:hint="eastAsia" w:ascii="宋体" w:hAnsi="宋体" w:cs="Arial"/>
          <w:bCs/>
          <w:szCs w:val="21"/>
        </w:rPr>
        <w:t>2、基金管理人指定的代理机构可依据法律法规和基金合同的规定开展其他服务，双方需签订书面委托代理协议。</w:t>
      </w:r>
    </w:p>
    <w:p w14:paraId="1749A6C5">
      <w:pPr>
        <w:adjustRightInd w:val="0"/>
        <w:snapToGrid w:val="0"/>
        <w:spacing w:line="360" w:lineRule="auto"/>
        <w:ind w:firstLine="480"/>
        <w:rPr>
          <w:rFonts w:ascii="宋体" w:hAnsi="宋体" w:cs="Arial"/>
          <w:bCs/>
          <w:szCs w:val="21"/>
        </w:rPr>
      </w:pPr>
      <w:r>
        <w:rPr>
          <w:rFonts w:hint="eastAsia" w:ascii="宋体" w:hAnsi="宋体" w:cs="Arial"/>
          <w:bCs/>
          <w:szCs w:val="21"/>
        </w:rPr>
        <w:t>3、对于符合《特定机构投资者参与证券投资基金申购赎回业务指引》要求的特定机构投资者，基金管理人可在不违反法律法规且对基金份额持有人利益无实质性不利影响的情况下，安排专门的申购方式，并于新的申购方式开始执行前另行公告。</w:t>
      </w:r>
    </w:p>
    <w:p w14:paraId="7E68D29C">
      <w:pPr>
        <w:adjustRightInd w:val="0"/>
        <w:snapToGrid w:val="0"/>
        <w:spacing w:line="360" w:lineRule="auto"/>
        <w:ind w:firstLine="565" w:firstLineChars="201"/>
        <w:rPr>
          <w:rFonts w:ascii="宋体" w:hAnsi="宋体" w:cs="Arial"/>
          <w:b/>
          <w:bCs/>
          <w:sz w:val="28"/>
          <w:szCs w:val="28"/>
        </w:rPr>
        <w:sectPr>
          <w:footerReference r:id="rId28" w:type="first"/>
          <w:footerReference r:id="rId27" w:type="default"/>
          <w:pgSz w:w="11906" w:h="16838"/>
          <w:pgMar w:top="1440" w:right="1800" w:bottom="1440" w:left="1800" w:header="851" w:footer="992" w:gutter="0"/>
          <w:pgNumType w:start="1"/>
          <w:cols w:space="720" w:num="1"/>
          <w:docGrid w:linePitch="312" w:charSpace="0"/>
        </w:sectPr>
      </w:pPr>
      <w:bookmarkStart w:id="58" w:name="_Toc214873598"/>
    </w:p>
    <w:p w14:paraId="105EC9BC">
      <w:pPr>
        <w:pStyle w:val="2"/>
        <w:snapToGrid w:val="0"/>
        <w:spacing w:before="0" w:after="0" w:line="360" w:lineRule="auto"/>
        <w:ind w:firstLine="141" w:firstLineChars="50"/>
        <w:rPr>
          <w:rFonts w:hAnsi="宋体" w:eastAsia="宋体" w:cs="Arial"/>
          <w:b/>
          <w:bCs/>
          <w:sz w:val="28"/>
          <w:szCs w:val="28"/>
        </w:rPr>
      </w:pPr>
      <w:bookmarkStart w:id="59" w:name="_Toc9485"/>
      <w:r>
        <w:rPr>
          <w:rFonts w:hAnsi="宋体" w:eastAsia="宋体" w:cs="Arial"/>
          <w:b/>
          <w:bCs/>
          <w:sz w:val="28"/>
          <w:szCs w:val="28"/>
        </w:rPr>
        <w:t>第十</w:t>
      </w:r>
      <w:r>
        <w:rPr>
          <w:rFonts w:hint="eastAsia" w:hAnsi="宋体" w:eastAsia="宋体" w:cs="Arial"/>
          <w:b/>
          <w:bCs/>
          <w:sz w:val="28"/>
          <w:szCs w:val="28"/>
        </w:rPr>
        <w:t>一</w:t>
      </w:r>
      <w:r>
        <w:rPr>
          <w:rFonts w:hAnsi="宋体" w:eastAsia="宋体" w:cs="Arial"/>
          <w:b/>
          <w:bCs/>
          <w:sz w:val="28"/>
          <w:szCs w:val="28"/>
        </w:rPr>
        <w:t>部分  基金的投资</w:t>
      </w:r>
      <w:bookmarkEnd w:id="58"/>
      <w:bookmarkEnd w:id="59"/>
    </w:p>
    <w:p w14:paraId="59C89051">
      <w:pPr>
        <w:snapToGrid w:val="0"/>
        <w:spacing w:line="360" w:lineRule="auto"/>
        <w:ind w:firstLine="422" w:firstLineChars="200"/>
        <w:rPr>
          <w:rFonts w:ascii="宋体" w:hAnsi="宋体" w:cs="Arial"/>
          <w:b/>
          <w:bCs/>
          <w:szCs w:val="21"/>
        </w:rPr>
      </w:pPr>
      <w:r>
        <w:rPr>
          <w:rFonts w:ascii="宋体" w:hAnsi="宋体" w:cs="Arial"/>
          <w:b/>
          <w:bCs/>
          <w:szCs w:val="21"/>
        </w:rPr>
        <w:t>一、投资目标</w:t>
      </w:r>
    </w:p>
    <w:p w14:paraId="67B6EAC9">
      <w:pPr>
        <w:snapToGrid w:val="0"/>
        <w:spacing w:line="360" w:lineRule="auto"/>
        <w:ind w:firstLine="420" w:firstLineChars="200"/>
        <w:rPr>
          <w:rFonts w:ascii="宋体" w:hAnsi="宋体" w:cs="Arial"/>
          <w:kern w:val="0"/>
          <w:szCs w:val="21"/>
        </w:rPr>
      </w:pPr>
      <w:r>
        <w:rPr>
          <w:rFonts w:hint="eastAsia" w:ascii="宋体" w:hAnsi="宋体" w:cs="Arial"/>
          <w:bCs/>
          <w:kern w:val="0"/>
          <w:szCs w:val="21"/>
        </w:rPr>
        <w:t>紧密跟踪标的指数，追求跟踪偏离度和跟踪误差的最小化。</w:t>
      </w:r>
    </w:p>
    <w:p w14:paraId="761483F7">
      <w:pPr>
        <w:snapToGrid w:val="0"/>
        <w:spacing w:line="360" w:lineRule="auto"/>
        <w:ind w:firstLine="422" w:firstLineChars="200"/>
        <w:rPr>
          <w:rFonts w:ascii="宋体" w:hAnsi="宋体" w:cs="Arial"/>
          <w:b/>
          <w:bCs/>
          <w:szCs w:val="21"/>
        </w:rPr>
      </w:pPr>
      <w:r>
        <w:rPr>
          <w:rFonts w:ascii="宋体" w:hAnsi="宋体" w:cs="Arial"/>
          <w:b/>
          <w:bCs/>
          <w:szCs w:val="21"/>
        </w:rPr>
        <w:t>二、投资范围</w:t>
      </w:r>
    </w:p>
    <w:p w14:paraId="3514141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60" w:name="OLE_LINK4"/>
      <w:bookmarkStart w:id="61" w:name="_Toc229474061"/>
      <w:r>
        <w:rPr>
          <w:rFonts w:hint="eastAsia" w:asciiTheme="minorEastAsia" w:hAnsiTheme="minorEastAsia"/>
          <w:color w:val="0D0D0D" w:themeColor="text1" w:themeTint="F2"/>
          <w14:textFill>
            <w14:solidFill>
              <w14:schemeClr w14:val="tx1">
                <w14:lumMod w14:val="95000"/>
                <w14:lumOff w14:val="5000"/>
              </w14:schemeClr>
            </w14:solidFill>
          </w14:textFill>
        </w:rPr>
        <w:t xml:space="preserve">本基金主要投资于标的指数成份股和备选成份股（含存托凭证）。 </w:t>
      </w:r>
    </w:p>
    <w:p w14:paraId="041BFD7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 xml:space="preserve">为更好地实现基金的投资目标，本基金可少量投资于依法发行上市的非成份股（包括港股通标的股票、主板、创业板及其他经中国证监会核准或注册上市的股票和存托凭证）、债券（包括国债、金融债、地方政府债、政府支持机构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 </w:t>
      </w:r>
    </w:p>
    <w:p w14:paraId="04081A7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 xml:space="preserve">本基金可根据法律法规的规定参与融资和转融通证券出借业务。 </w:t>
      </w:r>
    </w:p>
    <w:p w14:paraId="5B4F410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如法律法规或中国证监会以后允许基金投资其他品种，本基金管理人在履行适当程序后，可以将其纳入本基金的投资范围。</w:t>
      </w:r>
    </w:p>
    <w:bookmarkEnd w:id="60"/>
    <w:p w14:paraId="6F91FF7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 xml:space="preserve">本基金投资于标的指数成份股和备选成份股（含存托凭证）的资产比例不低于基金资产净值的90%,且不低于非现金基金资产的80%；本基金每个交易日日终在扣除股指期货、股票期权和国债期货合约需缴纳的交易保证金后，应当保持不低于交易保证金一倍的现金，其中现金不包括结算备付金、存出保证金和应收申购款等；股指期货、股票期权、国债期货及其他金融工具的投资比例依照法律法规或监管机构的规定执行。 </w:t>
      </w:r>
    </w:p>
    <w:p w14:paraId="780C041E">
      <w:pPr>
        <w:snapToGrid w:val="0"/>
        <w:spacing w:line="360" w:lineRule="auto"/>
        <w:ind w:firstLine="420" w:firstLineChars="200"/>
        <w:rPr>
          <w:rFonts w:ascii="宋体" w:hAnsi="宋体" w:cs="Arial"/>
          <w:bCs/>
          <w:kern w:val="0"/>
          <w:szCs w:val="21"/>
        </w:rPr>
      </w:pPr>
      <w:r>
        <w:rPr>
          <w:rFonts w:hint="eastAsia" w:asciiTheme="minorEastAsia" w:hAnsiTheme="minorEastAsia"/>
          <w:color w:val="0D0D0D" w:themeColor="text1" w:themeTint="F2"/>
          <w14:textFill>
            <w14:solidFill>
              <w14:schemeClr w14:val="tx1">
                <w14:lumMod w14:val="95000"/>
                <w14:lumOff w14:val="5000"/>
              </w14:schemeClr>
            </w14:solidFill>
          </w14:textFill>
        </w:rPr>
        <w:t>若法律法规的相关规定发生变更或监管机构允许，本基金管理人在履行适当程序后，可对上述资产配置比例进行调整。</w:t>
      </w:r>
    </w:p>
    <w:bookmarkEnd w:id="61"/>
    <w:p w14:paraId="1F6B18F8">
      <w:pPr>
        <w:snapToGrid w:val="0"/>
        <w:spacing w:line="360" w:lineRule="auto"/>
        <w:ind w:firstLine="422" w:firstLineChars="200"/>
        <w:rPr>
          <w:rFonts w:ascii="宋体" w:hAnsi="宋体" w:cs="Arial"/>
          <w:b/>
          <w:bCs/>
          <w:szCs w:val="21"/>
        </w:rPr>
      </w:pPr>
      <w:r>
        <w:rPr>
          <w:rFonts w:hint="eastAsia" w:ascii="宋体" w:hAnsi="宋体" w:cs="Arial"/>
          <w:b/>
          <w:bCs/>
          <w:szCs w:val="21"/>
        </w:rPr>
        <w:t>三</w:t>
      </w:r>
      <w:r>
        <w:rPr>
          <w:rFonts w:ascii="宋体" w:hAnsi="宋体" w:cs="Arial"/>
          <w:b/>
          <w:bCs/>
          <w:szCs w:val="21"/>
        </w:rPr>
        <w:t>、投资策略</w:t>
      </w:r>
    </w:p>
    <w:p w14:paraId="5BE516A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62" w:name="_Toc149105517"/>
      <w:bookmarkStart w:id="63" w:name="_Toc148867251"/>
      <w:bookmarkStart w:id="64" w:name="_Toc212891567"/>
      <w:r>
        <w:rPr>
          <w:rFonts w:hint="eastAsia" w:asciiTheme="minorEastAsia" w:hAnsiTheme="minorEastAsia"/>
          <w:color w:val="0D0D0D" w:themeColor="text1" w:themeTint="F2"/>
          <w14:textFill>
            <w14:solidFill>
              <w14:schemeClr w14:val="tx1">
                <w14:lumMod w14:val="95000"/>
                <w14:lumOff w14:val="5000"/>
              </w14:schemeClr>
            </w14:solidFill>
          </w14:textFill>
        </w:rPr>
        <w:t>1、组合复制策略</w:t>
      </w:r>
    </w:p>
    <w:p w14:paraId="3B9740D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主要采用完全复制法进行投资，即按照成份股在标的指数中的基准权重来构建指数化投资组合，并根据标的指数成份股及其权重的变化进行相应调整。但因特殊情况（比如流动性不足等）导致本基金无法有效复制和跟踪标的指数时，基金管理人可使用其他合理方法进行适当的替代。特殊情况包括但不限于以下情形：（1）法律法规的限制；（2）标的指数成份股流动性严重不足；（3）标的指数的成份股长期停牌；（4）其它合理原因导致本基金管理人对标的指数的跟踪构成严重制约等。</w:t>
      </w:r>
    </w:p>
    <w:p w14:paraId="0675005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如果标的指数成份股发生明显负面事件面临退市或违约风险，且指数编制机构暂未作出调整的，基金管理人应当按照基金份额持有人利益优先原则，履行内部决策程序后及时对相关成份股进行调整。</w:t>
      </w:r>
    </w:p>
    <w:p w14:paraId="647D92A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在正常情况下，本基金力争控制投资组合的净值增长率与业绩比较基准之间的预期日均跟踪偏离度的绝对值小于0.35%，预期年化跟踪误差不超过4%。如因标的指数编制规则调整等其他原因，导致基金日均跟踪偏离度和跟踪误差变大，基金管理人应采取合理措施，避免日均跟踪偏离度和跟踪误差的进一步扩大。</w:t>
      </w:r>
    </w:p>
    <w:p w14:paraId="28A1C5B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当指数编制方法变更、成份股发生变更、成份股权重由于自由流通量调整而发生变化、成份股派发现金股息、配股及增发、股票长期停牌、市场流动性不足等情况发生时，基金管理人将对投资组合进行优化，尽量降低跟踪误差。</w:t>
      </w:r>
    </w:p>
    <w:p w14:paraId="72FB470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2、非成份股的股票投资策略</w:t>
      </w:r>
    </w:p>
    <w:p w14:paraId="086E902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在特殊情况下，本基金将少量投资于非成份股的港股通标的股票以及其他股票。</w:t>
      </w:r>
    </w:p>
    <w:p w14:paraId="48E2941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3、债券（除可转换债券、可交换债券）投资策略</w:t>
      </w:r>
    </w:p>
    <w:p w14:paraId="050A3F5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本基金债券投资组合将着重考虑基金的流动性管理及策略性投资的需要进行配置。债券投资的目的是保证基金资产流动性，有效利用基金资产，提高基金资产的投资收益。</w:t>
      </w:r>
    </w:p>
    <w:p w14:paraId="01B6C97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4、资产支持证券投资策略</w:t>
      </w:r>
    </w:p>
    <w:p w14:paraId="63E304D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w:t>
      </w:r>
    </w:p>
    <w:p w14:paraId="2444901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5、可转换债券、可交换债券投资策略</w:t>
      </w:r>
    </w:p>
    <w:p w14:paraId="090530D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w:t>
      </w:r>
    </w:p>
    <w:p w14:paraId="1B86965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w:t>
      </w:r>
    </w:p>
    <w:p w14:paraId="7B1DADD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6、金融衍生品投资策略</w:t>
      </w:r>
    </w:p>
    <w:p w14:paraId="360F259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（1）股指期货交易策略</w:t>
      </w:r>
    </w:p>
    <w:p w14:paraId="496D0E2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将在风险可控的前提下，以套期保值为目的，根据风险管理原则，适度参与股指期货交易。本基金将根据对现货和期货市场的分析，充分考虑股指期货的风险收益特征参与股指期货交易，以改善交易组合的交易效果。</w:t>
      </w:r>
    </w:p>
    <w:p w14:paraId="48E4F90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（2）股票期权投资策略</w:t>
      </w:r>
    </w:p>
    <w:p w14:paraId="595C773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本基金将按照风险管理的原则，以套期保值为主要目的参与股票期权交易。本基金将结合投资目标、比例限制、风险收益特征以及法律法规的相关限定和要求，确定参与股票期权交易的投资时机和投资比例。</w:t>
      </w:r>
    </w:p>
    <w:p w14:paraId="6D3B0CC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（3）国债期货交易策略</w:t>
      </w:r>
    </w:p>
    <w:p w14:paraId="3E85326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本基金参与国债期货交易，以套期保值为目的，将根据风险管理的原则，充分考虑国债期货的流动性和风险收益特征，在风险可控的前提下，适度参与国债期货交易。</w:t>
      </w:r>
    </w:p>
    <w:p w14:paraId="53F409E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7、融资和转融通证券出借业务策略</w:t>
      </w:r>
    </w:p>
    <w:p w14:paraId="325CF9B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将在充分考虑风险和收益特征的基础上，审慎参与融资和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和品类。若相关融资及转融通证券出借业务法律法规发生变化，本基金将从其最新规定，以符合上述法律法规和监管要求的变化。</w:t>
      </w:r>
    </w:p>
    <w:p w14:paraId="0EFE3A3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8、存托凭证投资策略</w:t>
      </w:r>
    </w:p>
    <w:p w14:paraId="4D1EABD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本基金将根据本基金的投资目标和股票投资策略，基于对基础证券投资价值的深入研究判断，进行存托凭证的投资。</w:t>
      </w:r>
    </w:p>
    <w:p w14:paraId="6DAE4A29">
      <w:pPr>
        <w:adjustRightInd w:val="0"/>
        <w:snapToGrid w:val="0"/>
        <w:spacing w:line="360" w:lineRule="auto"/>
        <w:ind w:firstLine="420" w:firstLineChars="200"/>
        <w:rPr>
          <w:rFonts w:ascii="宋体" w:hAnsi="宋体"/>
        </w:rPr>
      </w:pPr>
      <w:r>
        <w:rPr>
          <w:rFonts w:hint="eastAsia" w:asciiTheme="minorEastAsia" w:hAnsiTheme="minorEastAsia"/>
          <w:color w:val="0D0D0D" w:themeColor="text1" w:themeTint="F2"/>
          <w14:textFill>
            <w14:solidFill>
              <w14:schemeClr w14:val="tx1">
                <w14:lumMod w14:val="95000"/>
                <w14:lumOff w14:val="5000"/>
              </w14:schemeClr>
            </w14:solidFill>
          </w14:textFill>
        </w:rPr>
        <w:t>未来，随着投资工具的发展和丰富，本基金可在不改变投资目标的前提下，相应调整和更新相关投资策略，并在招募说明书更新中公告。</w:t>
      </w:r>
    </w:p>
    <w:bookmarkEnd w:id="62"/>
    <w:bookmarkEnd w:id="63"/>
    <w:bookmarkEnd w:id="64"/>
    <w:p w14:paraId="636BF1BA">
      <w:pPr>
        <w:tabs>
          <w:tab w:val="left" w:pos="3780"/>
        </w:tabs>
        <w:autoSpaceDE w:val="0"/>
        <w:autoSpaceDN w:val="0"/>
        <w:adjustRightInd w:val="0"/>
        <w:snapToGrid w:val="0"/>
        <w:spacing w:line="360" w:lineRule="auto"/>
        <w:ind w:firstLine="422" w:firstLineChars="200"/>
        <w:textAlignment w:val="bottom"/>
        <w:rPr>
          <w:rFonts w:ascii="宋体" w:hAnsi="宋体" w:cs="Arial"/>
          <w:b/>
          <w:bCs/>
          <w:szCs w:val="21"/>
        </w:rPr>
      </w:pPr>
      <w:bookmarkStart w:id="65" w:name="_Toc178408359"/>
      <w:bookmarkStart w:id="66" w:name="_Toc177351487"/>
      <w:bookmarkStart w:id="67" w:name="_Toc178159226"/>
      <w:bookmarkStart w:id="68" w:name="_Toc178159096"/>
      <w:bookmarkStart w:id="69" w:name="_Toc177529735"/>
      <w:r>
        <w:rPr>
          <w:rFonts w:hint="eastAsia" w:ascii="宋体" w:hAnsi="宋体" w:cs="Arial"/>
          <w:b/>
          <w:bCs/>
          <w:szCs w:val="21"/>
        </w:rPr>
        <w:t>四</w:t>
      </w:r>
      <w:r>
        <w:rPr>
          <w:rFonts w:ascii="宋体" w:hAnsi="宋体" w:cs="Arial"/>
          <w:b/>
          <w:bCs/>
          <w:szCs w:val="21"/>
        </w:rPr>
        <w:t>、</w:t>
      </w:r>
      <w:r>
        <w:rPr>
          <w:rFonts w:hint="eastAsia" w:ascii="宋体" w:hAnsi="宋体" w:cs="Arial"/>
          <w:b/>
          <w:bCs/>
          <w:szCs w:val="21"/>
        </w:rPr>
        <w:t>标的指数与业绩比较基准</w:t>
      </w:r>
    </w:p>
    <w:p w14:paraId="4C7A9896">
      <w:pPr>
        <w:adjustRightInd w:val="0"/>
        <w:snapToGrid w:val="0"/>
        <w:spacing w:line="360" w:lineRule="auto"/>
        <w:ind w:firstLine="420" w:firstLineChars="200"/>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本基金的标的指数为</w:t>
      </w:r>
      <w:r>
        <w:rPr>
          <w:rFonts w:hint="eastAsia" w:asciiTheme="minorEastAsia" w:hAnsiTheme="minorEastAsia" w:eastAsiaTheme="minorEastAsia"/>
          <w:color w:val="0D0D0D" w:themeColor="text1" w:themeTint="F2"/>
          <w:lang w:eastAsia="zh-CN"/>
          <w14:textFill>
            <w14:solidFill>
              <w14:schemeClr w14:val="tx1">
                <w14:lumMod w14:val="95000"/>
                <w14:lumOff w14:val="5000"/>
              </w14:schemeClr>
            </w14:solidFill>
          </w14:textFill>
        </w:rPr>
        <w:t>恒生港股通红利低波动指数</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62AB3F2B">
      <w:pPr>
        <w:adjustRightInd w:val="0"/>
        <w:snapToGrid w:val="0"/>
        <w:spacing w:line="360" w:lineRule="auto"/>
        <w:ind w:firstLine="420" w:firstLineChars="200"/>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本基金的业绩比较基准为标的指数收益率，即</w:t>
      </w:r>
      <w:r>
        <w:rPr>
          <w:rFonts w:hint="eastAsia" w:asciiTheme="minorEastAsia" w:hAnsiTheme="minorEastAsia" w:eastAsiaTheme="minorEastAsia"/>
          <w:color w:val="0D0D0D" w:themeColor="text1" w:themeTint="F2"/>
          <w:lang w:eastAsia="zh-CN"/>
          <w14:textFill>
            <w14:solidFill>
              <w14:schemeClr w14:val="tx1">
                <w14:lumMod w14:val="95000"/>
                <w14:lumOff w14:val="5000"/>
              </w14:schemeClr>
            </w14:solidFill>
          </w14:textFill>
        </w:rPr>
        <w:t>恒生港股通红利低波动指数</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收益率。</w:t>
      </w:r>
    </w:p>
    <w:p w14:paraId="0125A1DE">
      <w:pPr>
        <w:adjustRightInd w:val="0"/>
        <w:snapToGrid w:val="0"/>
        <w:spacing w:line="360" w:lineRule="auto"/>
        <w:ind w:firstLine="420" w:firstLineChars="200"/>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（1）业绩比较基准设定的原因</w:t>
      </w:r>
    </w:p>
    <w:p w14:paraId="0408B226">
      <w:pPr>
        <w:adjustRightInd w:val="0"/>
        <w:snapToGrid w:val="0"/>
        <w:spacing w:line="360" w:lineRule="auto"/>
        <w:ind w:firstLine="420" w:firstLineChars="200"/>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本基金为股票型ETF,主要采用完全复制法跟踪标的指数，追求跟踪偏离度和跟踪误差的最小化。本基金的标的指数为</w:t>
      </w:r>
      <w:r>
        <w:rPr>
          <w:rFonts w:hint="eastAsia" w:asciiTheme="minorEastAsia" w:hAnsiTheme="minorEastAsia" w:eastAsiaTheme="minorEastAsia"/>
          <w:color w:val="0D0D0D" w:themeColor="text1" w:themeTint="F2"/>
          <w:lang w:eastAsia="zh-CN"/>
          <w14:textFill>
            <w14:solidFill>
              <w14:schemeClr w14:val="tx1">
                <w14:lumMod w14:val="95000"/>
                <w14:lumOff w14:val="5000"/>
              </w14:schemeClr>
            </w14:solidFill>
          </w14:textFill>
        </w:rPr>
        <w:t>恒生港股通红利低波动指数</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，相应选取</w:t>
      </w:r>
      <w:r>
        <w:rPr>
          <w:rFonts w:hint="eastAsia" w:asciiTheme="minorEastAsia" w:hAnsiTheme="minorEastAsia" w:eastAsiaTheme="minorEastAsia"/>
          <w:color w:val="0D0D0D" w:themeColor="text1" w:themeTint="F2"/>
          <w:lang w:eastAsia="zh-CN"/>
          <w14:textFill>
            <w14:solidFill>
              <w14:schemeClr w14:val="tx1">
                <w14:lumMod w14:val="95000"/>
                <w14:lumOff w14:val="5000"/>
              </w14:schemeClr>
            </w14:solidFill>
          </w14:textFill>
        </w:rPr>
        <w:t>恒生港股通红利低波动指数</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作为基准要素，同时将</w:t>
      </w:r>
      <w:r>
        <w:rPr>
          <w:rFonts w:hint="eastAsia" w:asciiTheme="minorEastAsia" w:hAnsiTheme="minorEastAsia" w:eastAsiaTheme="minorEastAsia"/>
          <w:color w:val="0D0D0D" w:themeColor="text1" w:themeTint="F2"/>
          <w:lang w:eastAsia="zh-CN"/>
          <w14:textFill>
            <w14:solidFill>
              <w14:schemeClr w14:val="tx1">
                <w14:lumMod w14:val="95000"/>
                <w14:lumOff w14:val="5000"/>
              </w14:schemeClr>
            </w14:solidFill>
          </w14:textFill>
        </w:rPr>
        <w:t>恒生港股通红利低波动指数</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的基准要素权重设置为100%。</w:t>
      </w:r>
    </w:p>
    <w:p w14:paraId="39565412">
      <w:pPr>
        <w:adjustRightInd w:val="0"/>
        <w:snapToGrid w:val="0"/>
        <w:spacing w:line="360" w:lineRule="auto"/>
        <w:ind w:firstLine="420" w:firstLineChars="200"/>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综上，本基金选取的业绩比较基准与基金投资目标、投资范围、投资策略、投资比例限制相匹配。</w:t>
      </w:r>
    </w:p>
    <w:p w14:paraId="56FFCA42">
      <w:pPr>
        <w:adjustRightInd w:val="0"/>
        <w:snapToGrid w:val="0"/>
        <w:spacing w:line="360" w:lineRule="auto"/>
        <w:ind w:firstLine="420" w:firstLineChars="200"/>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（2）业绩比较基准要素的基本信息</w:t>
      </w:r>
    </w:p>
    <w:p w14:paraId="2375EF5A">
      <w:pPr>
        <w:adjustRightInd w:val="0"/>
        <w:snapToGrid w:val="0"/>
        <w:spacing w:line="360" w:lineRule="auto"/>
        <w:ind w:firstLine="420" w:firstLineChars="200"/>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lang w:eastAsia="zh-CN"/>
          <w14:textFill>
            <w14:solidFill>
              <w14:schemeClr w14:val="tx1">
                <w14:lumMod w14:val="95000"/>
                <w14:lumOff w14:val="5000"/>
              </w14:schemeClr>
            </w14:solidFill>
          </w14:textFill>
        </w:rPr>
        <w:t>恒生港股通红利低波动指数</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由恒生指数有限公司编制发布，指数代码为HSHYLV，具体信息详见恒生指数有限公司网站，网址：https://www.hsi.com.hk/eng。</w:t>
      </w:r>
    </w:p>
    <w:p w14:paraId="61D494BF">
      <w:pPr>
        <w:adjustRightInd w:val="0"/>
        <w:snapToGrid w:val="0"/>
        <w:spacing w:line="360" w:lineRule="auto"/>
        <w:ind w:firstLine="420" w:firstLineChars="200"/>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（3）业绩比较基准的计算方法</w:t>
      </w:r>
    </w:p>
    <w:p w14:paraId="6749BE13">
      <w:pPr>
        <w:adjustRightInd w:val="0"/>
        <w:snapToGrid w:val="0"/>
        <w:spacing w:line="360" w:lineRule="auto"/>
        <w:ind w:firstLine="420" w:firstLineChars="200"/>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本基金业绩比较基准收益率的计算方法以每日收益率为基础，以时间加权为计算原则。</w:t>
      </w:r>
      <w:r>
        <w:rPr>
          <w:rFonts w:hint="eastAsia" w:asciiTheme="minorEastAsia" w:hAnsiTheme="minorEastAsia" w:eastAsiaTheme="minorEastAsia"/>
          <w:color w:val="0D0D0D" w:themeColor="text1" w:themeTint="F2"/>
          <w:lang w:eastAsia="zh-CN"/>
          <w14:textFill>
            <w14:solidFill>
              <w14:schemeClr w14:val="tx1">
                <w14:lumMod w14:val="95000"/>
                <w14:lumOff w14:val="5000"/>
              </w14:schemeClr>
            </w14:solidFill>
          </w14:textFill>
        </w:rPr>
        <w:t>恒生港股通红利低波动指数</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收益率采用估值汇率进行调整，由港元计价折算为人民币计价后，再纳入计算。</w:t>
      </w:r>
    </w:p>
    <w:p w14:paraId="7EAED1EE">
      <w:pPr>
        <w:adjustRightInd w:val="0"/>
        <w:snapToGrid w:val="0"/>
        <w:spacing w:line="360" w:lineRule="auto"/>
        <w:ind w:firstLine="420" w:firstLineChars="200"/>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（4）管理投资偏离业绩比较基准的定性或定量方法</w:t>
      </w:r>
    </w:p>
    <w:p w14:paraId="0C38671E">
      <w:pPr>
        <w:adjustRightInd w:val="0"/>
        <w:snapToGrid w:val="0"/>
        <w:spacing w:line="360" w:lineRule="auto"/>
        <w:ind w:firstLine="420" w:firstLineChars="200"/>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主要采用完全复制法，即按照标的指数成份股及其权重构建基金的股票投资组合，并根据标的指数成份股及其权重的变动对股票投资组合进行相应地调整。在因特殊情形导致基金无法完全投资于标的指数成份股时，本基金可采取包括成份股替代策略在内的其他指数投资技术适当调整基金投资组合，以达到紧密跟踪标的指数的目的。本基金力争将日均跟踪偏离度的绝对值控制在0.35%以内，年化跟踪误差控制在4%以内。如因标的指数编制规则调整或其他因素导致跟踪误差超过上述范围的，本基金将采取合理措施避免跟踪误差过大。</w:t>
      </w:r>
    </w:p>
    <w:p w14:paraId="6A5C3E84">
      <w:pPr>
        <w:adjustRightInd w:val="0"/>
        <w:snapToGrid w:val="0"/>
        <w:spacing w:line="360" w:lineRule="auto"/>
        <w:ind w:firstLine="420" w:firstLineChars="200"/>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（5）未来可能变更业绩比较基准的情况和程序</w:t>
      </w:r>
    </w:p>
    <w:p w14:paraId="5D172429">
      <w:pPr>
        <w:adjustRightInd w:val="0"/>
        <w:snapToGrid w:val="0"/>
        <w:spacing w:line="360" w:lineRule="auto"/>
        <w:ind w:firstLine="420" w:firstLineChars="200"/>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若本基金调整业绩比较基准的要素权重，本基金将根据法律法规、中国证监会的规定和基金合同约定履行相关程序。</w:t>
      </w:r>
    </w:p>
    <w:p w14:paraId="14631ADA">
      <w:pPr>
        <w:adjustRightInd w:val="0"/>
        <w:snapToGrid w:val="0"/>
        <w:spacing w:line="360" w:lineRule="auto"/>
        <w:ind w:firstLine="420" w:firstLineChars="200"/>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 xml:space="preserve">未来若出现标的指数不符合要求（因成份股价格波动等指数编制方法变动之外的因素致使标的指数不符合要求以及法律法规、监管机构另有规定的情形除外）、指数编制机构退出等情形，基金管理人应当自该情形发生之日起十个工作日内向中国证监会报告并提出解决方案，如转换运作方式、与其他基金合并或者终止基金合同等，并在6个月内召集基金份额持有人大会。 </w:t>
      </w:r>
    </w:p>
    <w:p w14:paraId="4A0D53FC">
      <w:pPr>
        <w:adjustRightInd w:val="0"/>
        <w:snapToGrid w:val="0"/>
        <w:spacing w:line="360" w:lineRule="auto"/>
        <w:ind w:firstLine="420" w:firstLineChars="200"/>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自指数编制机构停止标的指数的编制及发布至解决方案确定期间，基金管理人应按照指数编制机构提供的最近一个交易日的指数信息遵循基金份额持有人利益优先原则维持基金投资运作。</w:t>
      </w:r>
    </w:p>
    <w:p w14:paraId="22C1DE61">
      <w:pPr>
        <w:tabs>
          <w:tab w:val="left" w:pos="3780"/>
        </w:tabs>
        <w:autoSpaceDE w:val="0"/>
        <w:autoSpaceDN w:val="0"/>
        <w:adjustRightInd w:val="0"/>
        <w:snapToGrid w:val="0"/>
        <w:spacing w:line="360" w:lineRule="auto"/>
        <w:ind w:firstLine="420" w:firstLineChars="200"/>
        <w:textAlignment w:val="bottom"/>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法律法规或监管机构另有规定的，从其规定。</w:t>
      </w:r>
    </w:p>
    <w:p w14:paraId="38CE2887">
      <w:pPr>
        <w:tabs>
          <w:tab w:val="left" w:pos="3780"/>
        </w:tabs>
        <w:autoSpaceDE w:val="0"/>
        <w:autoSpaceDN w:val="0"/>
        <w:adjustRightInd w:val="0"/>
        <w:snapToGrid w:val="0"/>
        <w:spacing w:line="360" w:lineRule="auto"/>
        <w:ind w:firstLine="422" w:firstLineChars="200"/>
        <w:textAlignment w:val="bottom"/>
        <w:rPr>
          <w:rFonts w:ascii="宋体" w:hAnsi="宋体" w:cs="Arial"/>
          <w:b/>
          <w:bCs/>
          <w:szCs w:val="21"/>
        </w:rPr>
      </w:pPr>
      <w:r>
        <w:rPr>
          <w:rFonts w:hint="eastAsia" w:ascii="宋体" w:hAnsi="宋体" w:cs="Arial"/>
          <w:b/>
          <w:bCs/>
          <w:szCs w:val="21"/>
        </w:rPr>
        <w:t>五</w:t>
      </w:r>
      <w:r>
        <w:rPr>
          <w:rFonts w:ascii="宋体" w:hAnsi="宋体" w:cs="Arial"/>
          <w:b/>
          <w:bCs/>
          <w:szCs w:val="21"/>
        </w:rPr>
        <w:t>、风险收益特征</w:t>
      </w:r>
    </w:p>
    <w:p w14:paraId="48AD0FFC">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本基金属于股票型基金，其预期收益及</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预期</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风险水平高于混合</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型</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基金、债券</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型</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基金与货币市场基金。</w:t>
      </w:r>
    </w:p>
    <w:p w14:paraId="793F7B89">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本基金为被动式投资的股票型指数基金，跟踪</w:t>
      </w:r>
      <w:r>
        <w:rPr>
          <w:rFonts w:hint="eastAsia" w:asciiTheme="minorEastAsia" w:hAnsiTheme="minorEastAsia" w:eastAsiaTheme="minorEastAsia"/>
          <w:color w:val="0D0D0D" w:themeColor="text1" w:themeTint="F2"/>
          <w:lang w:eastAsia="zh-CN"/>
          <w14:textFill>
            <w14:solidFill>
              <w14:schemeClr w14:val="tx1">
                <w14:lumMod w14:val="95000"/>
                <w14:lumOff w14:val="5000"/>
              </w14:schemeClr>
            </w14:solidFill>
          </w14:textFill>
        </w:rPr>
        <w:t>恒生港股通红利低波动指数</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其风险收益特征与标的指数所表征的市场组合的风险收益特征相似。本基金投资港股通标的股票，除了需要承担与境内证券投资基金类似的市场波动风险等一般投资风险之外，本基金还面临汇率风险、香港市场风险等境外证券市场投资所面临的特别投资风险。</w:t>
      </w:r>
    </w:p>
    <w:p w14:paraId="4E8CD878">
      <w:pPr>
        <w:tabs>
          <w:tab w:val="left" w:pos="3780"/>
        </w:tabs>
        <w:autoSpaceDE w:val="0"/>
        <w:autoSpaceDN w:val="0"/>
        <w:adjustRightInd w:val="0"/>
        <w:snapToGrid w:val="0"/>
        <w:spacing w:line="360" w:lineRule="auto"/>
        <w:ind w:firstLine="422" w:firstLineChars="200"/>
        <w:textAlignment w:val="bottom"/>
        <w:rPr>
          <w:rFonts w:ascii="宋体" w:hAnsi="宋体" w:cs="Arial"/>
          <w:b/>
          <w:bCs/>
          <w:szCs w:val="21"/>
        </w:rPr>
      </w:pPr>
      <w:r>
        <w:rPr>
          <w:rFonts w:hint="eastAsia" w:ascii="宋体" w:hAnsi="宋体" w:cs="Arial"/>
          <w:b/>
          <w:bCs/>
          <w:szCs w:val="21"/>
        </w:rPr>
        <w:t>六、</w:t>
      </w:r>
      <w:r>
        <w:rPr>
          <w:rFonts w:ascii="宋体" w:hAnsi="宋体" w:cs="Arial"/>
          <w:b/>
          <w:bCs/>
          <w:szCs w:val="21"/>
        </w:rPr>
        <w:t>投资限制与禁止行为</w:t>
      </w:r>
    </w:p>
    <w:p w14:paraId="25B8566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1、组合限制</w:t>
      </w:r>
    </w:p>
    <w:p w14:paraId="094E358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基金的投资组合应遵循以下限制：</w:t>
      </w:r>
    </w:p>
    <w:p w14:paraId="39BDE84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 xml:space="preserve">（1）本基金投资于标的指数成份股和备选成份股（含存托凭证）的资产比例不低于基金资产净值的90%，且不低于非现金基金资产的80%； </w:t>
      </w:r>
    </w:p>
    <w:p w14:paraId="2712B5B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（2）本基金每个交易日日终在扣除股指期货、股票期权和国债期货合约需缴纳的交易保证金后，应当保持不低于交易保证金一倍的现金，其中现金不包括结算备付金、存出保证金和应收申购款等；</w:t>
      </w:r>
    </w:p>
    <w:p w14:paraId="6DB91D3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（3）本基金参与股指期货和国债期货交易，需遵守下列投资比例限制：</w:t>
      </w:r>
    </w:p>
    <w:p w14:paraId="279C54A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1）本基金在任何交易日日终，持有的买入股指期货合约价值，不得超过基金资产净值的10%；在任何交易日日终，持有的买入国债期货合约价值，不得超过基金资产净值的15%；</w:t>
      </w:r>
    </w:p>
    <w:p w14:paraId="36C0472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本基金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w:t>
      </w:r>
    </w:p>
    <w:p w14:paraId="23FCA71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 xml:space="preserve">3）本基金在任何交易日日终，持有的卖出股指期货合约价值不得超过基金持有的股票总市值的20%；在任何交易日日终，持有的卖出国债期货合约价值不得超过基金持有的债券总市值的30%； </w:t>
      </w:r>
    </w:p>
    <w:p w14:paraId="0EA2E3B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本基金在任何交易日内交易（不包括平仓）的股指期货合约的成交金额不得超过上一交易日基金资产净值的20%；在任何交易日内交易（不包括平仓）的国债期货合约的成交金额不得超过上一交易日基金资产净值的30%；</w:t>
      </w:r>
    </w:p>
    <w:p w14:paraId="23A8CF8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5）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w:t>
      </w:r>
    </w:p>
    <w:p w14:paraId="6578FE2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（4）本基金投资于同一原始权益人的各类资产支持证券的比例，不得超过基金资产净值的10％；</w:t>
      </w:r>
    </w:p>
    <w:p w14:paraId="4A0D748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（5）本基金持有的全部资产支持证券，其市值不得超过基金资产净值的20％；</w:t>
      </w:r>
    </w:p>
    <w:p w14:paraId="1FC7DFF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（6）本基金持有的同一(指同一信用级别)资产支持证券的比例，不得超过该资产支持证券规模的10％；</w:t>
      </w:r>
    </w:p>
    <w:p w14:paraId="67A33C0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（7）本基金管理人管理的全部基金投资于同一原始权益人的各类资产支持证券，不得超过其各类资产支持证券合计规模的10％；</w:t>
      </w:r>
    </w:p>
    <w:p w14:paraId="5FFD632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（8）本基金应投资于信用级别评级为BBB以上(含BBB)的资产支持证券。基金持有资产支持证券期间，如果其信用等级下降、不再符合投资标准，应在评级报告发布之日起3个月内予以全部卖出；</w:t>
      </w:r>
    </w:p>
    <w:p w14:paraId="6A1284C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（9）基金财产参与股票发行申购，本基金所申报的金额不超过本基金的总资产，本基金所申报的股票数量不超过拟发行股票公司本次发行股票的总量；</w:t>
      </w:r>
    </w:p>
    <w:p w14:paraId="5F38B98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（10）本基金参与融资的，在任何交易日日终，本基金持有的融资买入股票与其他有价证券市值之和，不得超过基金资产净值的95%；</w:t>
      </w:r>
    </w:p>
    <w:p w14:paraId="75475B2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（11）本基金参与转融通证券出借业务，需遵守下列投资限制：</w:t>
      </w:r>
    </w:p>
    <w:p w14:paraId="54FF56B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1）出借证券资产不得超过基金资产净值的30%，出借期限在10 个交易日以上的出借证券应纳入《流动性风险管理规定》所述流动性受限证券的范围；</w:t>
      </w:r>
    </w:p>
    <w:p w14:paraId="70CF42F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2）参与出借业务的单只证券不得超过本基金持有该证券总量的30%；</w:t>
      </w:r>
    </w:p>
    <w:p w14:paraId="6516466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3）最近6个月内日均基金资产净值不得低于2亿元；</w:t>
      </w:r>
    </w:p>
    <w:p w14:paraId="7C99712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4）证券出借的平均剩余期限不得超过30天，平均剩余期限按照市值加权平均计算；</w:t>
      </w:r>
    </w:p>
    <w:p w14:paraId="0E6C906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因证券/期货市场波动、证券发行人合并、基金规模变动等基金管理人之外的因素致使基金投资不符合上述规定的，基金管理人不得新增出借业务；</w:t>
      </w:r>
    </w:p>
    <w:p w14:paraId="5DD81B6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12）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基金投资股票期权应符合基金合同约定的比例限制（如股票仓位、个股占比等）、投资目标和风险收益特征；</w:t>
      </w:r>
    </w:p>
    <w:p w14:paraId="77B7968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13）本基金主动投资于流动性受限资产的市值合计不得超过基金资产净值的15%；因证券/期货市场波动、上市公司股票停牌、基金规模变动等基金管理人之外的因素致使基金不符合该比例限制的，基金管理人不得主动新增流动性受限资产的投资；</w:t>
      </w:r>
    </w:p>
    <w:p w14:paraId="7381BAB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（14）本基金与私募类证券资管产品及中国证监会认定的其他主体为交易对手开展逆回购交易的，可接受质押品的资质要求应当与基金合同约定的投资范围保持一致；</w:t>
      </w:r>
    </w:p>
    <w:p w14:paraId="039632F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（15）本基金资产总值不得超过基金资产净值的140%；</w:t>
      </w:r>
    </w:p>
    <w:p w14:paraId="54BB7CB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（16）本基金投资存托凭证的比例限制依照境内上市交易的股票执行，与境内上市交易的股票合并计算；</w:t>
      </w:r>
    </w:p>
    <w:p w14:paraId="5776FE9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（17）法律法规及中国证监会规定的和《基金合同》约定的其他投资限制。</w:t>
      </w:r>
    </w:p>
    <w:p w14:paraId="44A6075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除上述（2）、（8）、（11）、（13）、（14）情形之外，因证券/期货市场波动、证券发行人合并、基金规模变动、标的指数成份股调整、标的指数成份股流动性限制、港股通额度不足等基金管理人之外的因素致使基金投资比例不符合上述规定投资比例的，基金管理人应当在10个交易日内进行调整，但中国证监会规定的特殊情形除外。</w:t>
      </w:r>
    </w:p>
    <w:p w14:paraId="6E888D7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60EF497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法律法规或监管部门取消或调整上述限制，如适用于本基金，基金管理人在与基金托管人协商一致并履行适当程序后，则本基金投资不再受相关限制或按照调整后的规定执行。</w:t>
      </w:r>
    </w:p>
    <w:p w14:paraId="143B11EC">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、禁止行为</w:t>
      </w:r>
    </w:p>
    <w:p w14:paraId="0B051A5B">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为维护基金份额持有人的合法权益，基金财产不得用于下列投资或者活动：</w:t>
      </w:r>
    </w:p>
    <w:p w14:paraId="5B9D96B5">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）承销证券；</w:t>
      </w:r>
    </w:p>
    <w:p w14:paraId="0F184BEA">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违反规定</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向他人贷款或者提供担保；</w:t>
      </w:r>
    </w:p>
    <w:p w14:paraId="6E03B42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（3）从事承担无限责任的投资；</w:t>
      </w:r>
    </w:p>
    <w:p w14:paraId="287DDF41">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（4）买卖其他基金份额，但是</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中国证监会</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另有规定的除外；</w:t>
      </w:r>
    </w:p>
    <w:p w14:paraId="661CD8AB">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（5）向</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其基金管理人、基金托管人</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出资</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0F7B5659">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6）从事内幕交易、操纵证券交易价格及其他不正当的证券交易活动；</w:t>
      </w:r>
    </w:p>
    <w:p w14:paraId="01D4F59D">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法律、行政法规和中国证监会规定禁止的其他活动。</w:t>
      </w:r>
    </w:p>
    <w:p w14:paraId="6CD439E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的</w:t>
      </w:r>
      <w:r>
        <w:rPr>
          <w:rFonts w:hint="eastAsia" w:asciiTheme="minorEastAsia" w:hAnsiTheme="minorEastAsia"/>
          <w:color w:val="0D0D0D" w:themeColor="text1" w:themeTint="F2"/>
          <w14:textFill>
            <w14:solidFill>
              <w14:schemeClr w14:val="tx1">
                <w14:lumMod w14:val="95000"/>
                <w14:lumOff w14:val="5000"/>
              </w14:schemeClr>
            </w14:solidFill>
          </w14:textFill>
        </w:rPr>
        <w:t>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629E1336">
      <w:pPr>
        <w:adjustRightInd w:val="0"/>
        <w:snapToGrid w:val="0"/>
        <w:spacing w:line="360" w:lineRule="auto"/>
        <w:ind w:firstLine="420" w:firstLineChars="200"/>
        <w:rPr>
          <w:rFonts w:ascii="宋体" w:hAnsi="宋体"/>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法律</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、行政</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法规或监管部门取消</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或</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调整上述限制，如适用于本基金，</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基金管理人在履行适当程序后，</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则本基金投资不再受相关限制</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或按照调整后的规定执行</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5CFEADFE">
      <w:pPr>
        <w:tabs>
          <w:tab w:val="left" w:pos="3780"/>
        </w:tabs>
        <w:autoSpaceDE w:val="0"/>
        <w:autoSpaceDN w:val="0"/>
        <w:adjustRightInd w:val="0"/>
        <w:snapToGrid w:val="0"/>
        <w:spacing w:line="360" w:lineRule="auto"/>
        <w:ind w:firstLine="422" w:firstLineChars="200"/>
        <w:textAlignment w:val="bottom"/>
        <w:rPr>
          <w:rFonts w:ascii="宋体" w:hAnsi="宋体" w:cs="Arial"/>
          <w:b/>
          <w:bCs/>
          <w:szCs w:val="21"/>
        </w:rPr>
      </w:pPr>
      <w:r>
        <w:rPr>
          <w:rFonts w:hint="eastAsia" w:ascii="宋体" w:hAnsi="宋体" w:cs="Arial"/>
          <w:b/>
          <w:bCs/>
          <w:szCs w:val="21"/>
        </w:rPr>
        <w:t>九</w:t>
      </w:r>
      <w:r>
        <w:rPr>
          <w:rFonts w:ascii="宋体" w:hAnsi="宋体" w:cs="Arial"/>
          <w:b/>
          <w:bCs/>
          <w:szCs w:val="21"/>
        </w:rPr>
        <w:t>、</w:t>
      </w:r>
      <w:r>
        <w:rPr>
          <w:rFonts w:hint="eastAsia" w:ascii="宋体" w:hAnsi="宋体" w:cs="Arial"/>
          <w:b/>
          <w:bCs/>
          <w:szCs w:val="21"/>
        </w:rPr>
        <w:t>基金管理人代表基金行使股东或债权人权利的处理原则及方法</w:t>
      </w:r>
    </w:p>
    <w:p w14:paraId="0EF0495E">
      <w:pPr>
        <w:tabs>
          <w:tab w:val="left" w:pos="3780"/>
        </w:tabs>
        <w:autoSpaceDE w:val="0"/>
        <w:autoSpaceDN w:val="0"/>
        <w:adjustRightInd w:val="0"/>
        <w:snapToGrid w:val="0"/>
        <w:spacing w:line="360" w:lineRule="auto"/>
        <w:ind w:firstLine="420" w:firstLineChars="200"/>
        <w:textAlignment w:val="bottom"/>
        <w:rPr>
          <w:rFonts w:ascii="宋体" w:hAnsi="宋体" w:cs="Arial"/>
          <w:bCs/>
          <w:szCs w:val="21"/>
        </w:rPr>
      </w:pPr>
      <w:r>
        <w:rPr>
          <w:rFonts w:hint="eastAsia" w:ascii="宋体" w:hAnsi="宋体" w:cs="Arial"/>
          <w:bCs/>
          <w:szCs w:val="21"/>
        </w:rPr>
        <w:t>1、基金管理人按照国家有关规定代表基金独立行使股东或债权人权利，保护基金份额持有人的利益；</w:t>
      </w:r>
    </w:p>
    <w:p w14:paraId="7B169EC6">
      <w:pPr>
        <w:tabs>
          <w:tab w:val="left" w:pos="3780"/>
        </w:tabs>
        <w:autoSpaceDE w:val="0"/>
        <w:autoSpaceDN w:val="0"/>
        <w:adjustRightInd w:val="0"/>
        <w:snapToGrid w:val="0"/>
        <w:spacing w:line="360" w:lineRule="auto"/>
        <w:ind w:firstLine="420" w:firstLineChars="200"/>
        <w:textAlignment w:val="bottom"/>
        <w:rPr>
          <w:rFonts w:ascii="宋体" w:hAnsi="宋体" w:cs="Arial"/>
          <w:bCs/>
          <w:szCs w:val="21"/>
        </w:rPr>
      </w:pPr>
      <w:r>
        <w:rPr>
          <w:rFonts w:hint="eastAsia" w:ascii="宋体" w:hAnsi="宋体" w:cs="Arial"/>
          <w:bCs/>
          <w:szCs w:val="21"/>
        </w:rPr>
        <w:t>2、不谋求对上市公司的控股；</w:t>
      </w:r>
    </w:p>
    <w:p w14:paraId="5FFC2A55">
      <w:pPr>
        <w:tabs>
          <w:tab w:val="left" w:pos="3780"/>
        </w:tabs>
        <w:autoSpaceDE w:val="0"/>
        <w:autoSpaceDN w:val="0"/>
        <w:adjustRightInd w:val="0"/>
        <w:snapToGrid w:val="0"/>
        <w:spacing w:line="360" w:lineRule="auto"/>
        <w:ind w:firstLine="420" w:firstLineChars="200"/>
        <w:textAlignment w:val="bottom"/>
        <w:rPr>
          <w:rFonts w:ascii="宋体" w:hAnsi="宋体" w:cs="Arial"/>
          <w:bCs/>
          <w:szCs w:val="21"/>
        </w:rPr>
      </w:pPr>
      <w:r>
        <w:rPr>
          <w:rFonts w:hint="eastAsia" w:ascii="宋体" w:hAnsi="宋体" w:cs="Arial"/>
          <w:bCs/>
          <w:szCs w:val="21"/>
        </w:rPr>
        <w:t>3、有利于基金财产的安全与增值；</w:t>
      </w:r>
    </w:p>
    <w:p w14:paraId="6FD31E79">
      <w:pPr>
        <w:tabs>
          <w:tab w:val="left" w:pos="3780"/>
        </w:tabs>
        <w:autoSpaceDE w:val="0"/>
        <w:autoSpaceDN w:val="0"/>
        <w:adjustRightInd w:val="0"/>
        <w:snapToGrid w:val="0"/>
        <w:spacing w:line="360" w:lineRule="auto"/>
        <w:ind w:firstLine="420" w:firstLineChars="200"/>
        <w:textAlignment w:val="bottom"/>
        <w:rPr>
          <w:rFonts w:ascii="宋体" w:hAnsi="宋体"/>
          <w:szCs w:val="21"/>
        </w:rPr>
        <w:sectPr>
          <w:footerReference r:id="rId30" w:type="first"/>
          <w:footerReference r:id="rId29" w:type="default"/>
          <w:pgSz w:w="11906" w:h="16838"/>
          <w:pgMar w:top="1440" w:right="1800" w:bottom="1440" w:left="1800" w:header="851" w:footer="992" w:gutter="0"/>
          <w:pgNumType w:start="1"/>
          <w:cols w:space="720" w:num="1"/>
          <w:docGrid w:linePitch="312" w:charSpace="0"/>
        </w:sectPr>
      </w:pPr>
      <w:r>
        <w:rPr>
          <w:rFonts w:hint="eastAsia" w:ascii="宋体" w:hAnsi="宋体" w:cs="Arial"/>
          <w:bCs/>
          <w:szCs w:val="21"/>
        </w:rPr>
        <w:t>4、不通过关联交易为自身、雇员、授权代理人或任何存在利害关系的第三人牟取任何不当利益。</w:t>
      </w:r>
      <w:bookmarkEnd w:id="65"/>
      <w:bookmarkEnd w:id="66"/>
      <w:bookmarkEnd w:id="67"/>
      <w:bookmarkEnd w:id="68"/>
      <w:bookmarkEnd w:id="69"/>
      <w:bookmarkStart w:id="70" w:name="_Toc214873599"/>
    </w:p>
    <w:p w14:paraId="4DFBF71A">
      <w:pPr>
        <w:pStyle w:val="2"/>
        <w:snapToGrid w:val="0"/>
        <w:spacing w:before="0" w:after="0" w:line="360" w:lineRule="auto"/>
        <w:ind w:firstLine="141" w:firstLineChars="50"/>
        <w:rPr>
          <w:rFonts w:hAnsi="宋体" w:eastAsia="宋体" w:cs="Arial"/>
          <w:b/>
          <w:bCs/>
          <w:sz w:val="28"/>
          <w:szCs w:val="28"/>
        </w:rPr>
      </w:pPr>
      <w:bookmarkStart w:id="71" w:name="_Toc20649"/>
      <w:r>
        <w:rPr>
          <w:rFonts w:hAnsi="宋体" w:eastAsia="宋体" w:cs="Arial"/>
          <w:b/>
          <w:bCs/>
          <w:sz w:val="28"/>
          <w:szCs w:val="28"/>
        </w:rPr>
        <w:t>第十</w:t>
      </w:r>
      <w:r>
        <w:rPr>
          <w:rFonts w:hint="eastAsia" w:hAnsi="宋体" w:eastAsia="宋体" w:cs="Arial"/>
          <w:b/>
          <w:bCs/>
          <w:sz w:val="28"/>
          <w:szCs w:val="28"/>
        </w:rPr>
        <w:t>二</w:t>
      </w:r>
      <w:r>
        <w:rPr>
          <w:rFonts w:hAnsi="宋体" w:eastAsia="宋体" w:cs="Arial"/>
          <w:b/>
          <w:bCs/>
          <w:sz w:val="28"/>
          <w:szCs w:val="28"/>
        </w:rPr>
        <w:t>部分  基金的财产</w:t>
      </w:r>
      <w:bookmarkEnd w:id="70"/>
      <w:bookmarkEnd w:id="71"/>
    </w:p>
    <w:p w14:paraId="38022E7F">
      <w:pPr>
        <w:spacing w:line="360" w:lineRule="auto"/>
        <w:rPr>
          <w:rFonts w:ascii="宋体" w:hAnsi="宋体"/>
        </w:rPr>
      </w:pPr>
    </w:p>
    <w:p w14:paraId="69EA8713">
      <w:pPr>
        <w:spacing w:line="360" w:lineRule="auto"/>
        <w:ind w:firstLine="422" w:firstLineChars="200"/>
        <w:rPr>
          <w:rFonts w:ascii="宋体" w:hAnsi="宋体"/>
          <w:b/>
          <w:szCs w:val="21"/>
        </w:rPr>
      </w:pPr>
      <w:r>
        <w:rPr>
          <w:rFonts w:hint="eastAsia" w:ascii="宋体" w:hAnsi="宋体"/>
          <w:b/>
          <w:szCs w:val="21"/>
        </w:rPr>
        <w:t>一、</w:t>
      </w:r>
      <w:r>
        <w:rPr>
          <w:rFonts w:ascii="宋体" w:hAnsi="宋体"/>
          <w:b/>
          <w:szCs w:val="21"/>
        </w:rPr>
        <w:t>基金资产总值</w:t>
      </w:r>
    </w:p>
    <w:p w14:paraId="37E01B68">
      <w:pPr>
        <w:spacing w:line="360" w:lineRule="auto"/>
        <w:ind w:firstLine="420" w:firstLineChars="200"/>
        <w:rPr>
          <w:rFonts w:ascii="宋体" w:hAnsi="宋体"/>
          <w:szCs w:val="21"/>
        </w:rPr>
      </w:pPr>
      <w:r>
        <w:rPr>
          <w:rFonts w:hint="eastAsia" w:ascii="宋体" w:hAnsi="宋体"/>
          <w:bCs/>
          <w:szCs w:val="21"/>
        </w:rPr>
        <w:t>基金资产总值是指基金拥有的各类有价证券、银行存款本息、基金应收款项及其他资产的价值总和。</w:t>
      </w:r>
    </w:p>
    <w:p w14:paraId="405E8636">
      <w:pPr>
        <w:spacing w:line="360" w:lineRule="auto"/>
        <w:ind w:firstLine="422" w:firstLineChars="200"/>
        <w:rPr>
          <w:rFonts w:ascii="宋体" w:hAnsi="宋体"/>
          <w:b/>
          <w:szCs w:val="21"/>
        </w:rPr>
      </w:pPr>
      <w:r>
        <w:rPr>
          <w:rFonts w:hint="eastAsia" w:ascii="宋体" w:hAnsi="宋体"/>
          <w:b/>
          <w:szCs w:val="21"/>
        </w:rPr>
        <w:t>二、</w:t>
      </w:r>
      <w:r>
        <w:rPr>
          <w:rFonts w:ascii="宋体" w:hAnsi="宋体"/>
          <w:b/>
          <w:szCs w:val="21"/>
        </w:rPr>
        <w:t>基金资产净值</w:t>
      </w:r>
    </w:p>
    <w:p w14:paraId="5926FD8A">
      <w:pPr>
        <w:spacing w:line="360" w:lineRule="auto"/>
        <w:ind w:firstLine="420" w:firstLineChars="200"/>
        <w:rPr>
          <w:rFonts w:ascii="宋体" w:hAnsi="宋体"/>
          <w:szCs w:val="21"/>
        </w:rPr>
      </w:pPr>
      <w:r>
        <w:rPr>
          <w:rFonts w:ascii="宋体" w:hAnsi="宋体"/>
          <w:bCs/>
          <w:szCs w:val="21"/>
        </w:rPr>
        <w:t>基金资产净值是指基金资产总值减去基金负债后的价值。</w:t>
      </w:r>
    </w:p>
    <w:p w14:paraId="033D5BDA">
      <w:pPr>
        <w:spacing w:line="360" w:lineRule="auto"/>
        <w:ind w:firstLine="422" w:firstLineChars="200"/>
        <w:rPr>
          <w:rFonts w:ascii="宋体" w:hAnsi="宋体"/>
          <w:b/>
          <w:szCs w:val="21"/>
        </w:rPr>
      </w:pPr>
      <w:r>
        <w:rPr>
          <w:rFonts w:hint="eastAsia" w:ascii="宋体" w:hAnsi="宋体"/>
          <w:b/>
          <w:szCs w:val="21"/>
        </w:rPr>
        <w:t>三、</w:t>
      </w:r>
      <w:r>
        <w:rPr>
          <w:rFonts w:ascii="宋体" w:hAnsi="宋体"/>
          <w:b/>
          <w:szCs w:val="21"/>
        </w:rPr>
        <w:t>基金财产的账户</w:t>
      </w:r>
    </w:p>
    <w:p w14:paraId="6A2AD331">
      <w:pPr>
        <w:spacing w:line="360" w:lineRule="auto"/>
        <w:ind w:firstLine="420" w:firstLineChars="200"/>
        <w:rPr>
          <w:rFonts w:ascii="宋体" w:hAnsi="宋体"/>
          <w:szCs w:val="21"/>
        </w:rPr>
      </w:pPr>
      <w:r>
        <w:rPr>
          <w:rFonts w:ascii="宋体" w:hAnsi="宋体"/>
          <w:bCs/>
          <w:szCs w:val="21"/>
        </w:rPr>
        <w:t>基金托管人</w:t>
      </w:r>
      <w:r>
        <w:rPr>
          <w:rFonts w:hint="eastAsia" w:ascii="宋体" w:hAnsi="宋体"/>
          <w:bCs/>
          <w:szCs w:val="21"/>
        </w:rPr>
        <w:t>或基金管理人</w:t>
      </w:r>
      <w:r>
        <w:rPr>
          <w:rFonts w:ascii="宋体" w:hAnsi="宋体"/>
          <w:bCs/>
          <w:szCs w:val="21"/>
        </w:rPr>
        <w:t>根据相关法律法规、规范性文件为本基金开立资金</w:t>
      </w:r>
      <w:r>
        <w:rPr>
          <w:rFonts w:hint="eastAsia" w:ascii="宋体" w:hAnsi="宋体"/>
          <w:bCs/>
          <w:szCs w:val="21"/>
        </w:rPr>
        <w:t>账户</w:t>
      </w:r>
      <w:r>
        <w:rPr>
          <w:rFonts w:ascii="宋体" w:hAnsi="宋体"/>
          <w:bCs/>
          <w:szCs w:val="21"/>
        </w:rPr>
        <w:t>、证券</w:t>
      </w:r>
      <w:r>
        <w:rPr>
          <w:rFonts w:hint="eastAsia" w:ascii="宋体" w:hAnsi="宋体"/>
          <w:bCs/>
          <w:szCs w:val="21"/>
        </w:rPr>
        <w:t>账户</w:t>
      </w:r>
      <w:r>
        <w:rPr>
          <w:rFonts w:ascii="宋体" w:hAnsi="宋体"/>
          <w:bCs/>
          <w:szCs w:val="21"/>
        </w:rPr>
        <w:t>以及投资所需的其他专用</w:t>
      </w:r>
      <w:r>
        <w:rPr>
          <w:rFonts w:hint="eastAsia" w:ascii="宋体" w:hAnsi="宋体"/>
          <w:bCs/>
          <w:szCs w:val="21"/>
        </w:rPr>
        <w:t>账户</w:t>
      </w:r>
      <w:r>
        <w:rPr>
          <w:rFonts w:ascii="宋体" w:hAnsi="宋体"/>
          <w:bCs/>
          <w:szCs w:val="21"/>
        </w:rPr>
        <w:t>。开立的基金专用账户与基金管理人、基金托管人、基金销售机构和基金登记机构自有的财产账户以及其他基金财产账户相独立。</w:t>
      </w:r>
    </w:p>
    <w:p w14:paraId="6761BA8B">
      <w:pPr>
        <w:spacing w:line="360" w:lineRule="auto"/>
        <w:ind w:firstLine="422" w:firstLineChars="200"/>
        <w:rPr>
          <w:rFonts w:ascii="宋体" w:hAnsi="宋体"/>
          <w:b/>
          <w:szCs w:val="21"/>
        </w:rPr>
      </w:pPr>
      <w:r>
        <w:rPr>
          <w:rFonts w:hint="eastAsia" w:ascii="宋体" w:hAnsi="宋体"/>
          <w:b/>
          <w:szCs w:val="21"/>
        </w:rPr>
        <w:t>四、</w:t>
      </w:r>
      <w:r>
        <w:rPr>
          <w:rFonts w:ascii="宋体" w:hAnsi="宋体"/>
          <w:b/>
          <w:szCs w:val="21"/>
        </w:rPr>
        <w:t>基金财产的</w:t>
      </w:r>
      <w:r>
        <w:rPr>
          <w:rFonts w:hint="eastAsia" w:ascii="宋体" w:hAnsi="宋体"/>
          <w:b/>
          <w:szCs w:val="21"/>
        </w:rPr>
        <w:t>保管和</w:t>
      </w:r>
      <w:r>
        <w:rPr>
          <w:rFonts w:ascii="宋体" w:hAnsi="宋体"/>
          <w:b/>
          <w:szCs w:val="21"/>
        </w:rPr>
        <w:t>处分</w:t>
      </w:r>
    </w:p>
    <w:p w14:paraId="5146F69A">
      <w:pPr>
        <w:spacing w:line="360" w:lineRule="auto"/>
        <w:ind w:firstLine="420" w:firstLineChars="200"/>
        <w:rPr>
          <w:rFonts w:ascii="宋体" w:hAnsi="宋体"/>
          <w:bCs/>
          <w:szCs w:val="21"/>
        </w:rPr>
      </w:pPr>
      <w:r>
        <w:rPr>
          <w:rFonts w:ascii="宋体" w:hAnsi="宋体"/>
          <w:bCs/>
          <w:szCs w:val="21"/>
        </w:rPr>
        <w:t>本基金财产独立于基金管理人、基金托管人和基金</w:t>
      </w:r>
      <w:r>
        <w:rPr>
          <w:rFonts w:hint="eastAsia" w:ascii="宋体" w:hAnsi="宋体"/>
          <w:bCs/>
          <w:szCs w:val="21"/>
        </w:rPr>
        <w:t>销售</w:t>
      </w:r>
      <w:r>
        <w:rPr>
          <w:rFonts w:ascii="宋体" w:hAnsi="宋体"/>
          <w:bCs/>
          <w:szCs w:val="21"/>
        </w:rPr>
        <w:t>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1249A2D5">
      <w:pPr>
        <w:spacing w:line="360" w:lineRule="auto"/>
        <w:ind w:firstLine="420" w:firstLineChars="200"/>
        <w:rPr>
          <w:rFonts w:ascii="宋体" w:hAnsi="宋体" w:cs="Arial"/>
          <w:b/>
          <w:bCs/>
          <w:szCs w:val="21"/>
        </w:rPr>
      </w:pPr>
      <w:r>
        <w:rPr>
          <w:rFonts w:ascii="宋体" w:hAnsi="宋体"/>
          <w:bCs/>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r>
        <w:rPr>
          <w:rFonts w:hint="eastAsia" w:ascii="宋体" w:hAnsi="宋体"/>
          <w:bCs/>
          <w:szCs w:val="21"/>
        </w:rPr>
        <w:t>非因基金财产本身承担的债务，不得对基金财产强制执行。</w:t>
      </w:r>
    </w:p>
    <w:p w14:paraId="10DEF004">
      <w:pPr>
        <w:snapToGrid w:val="0"/>
        <w:spacing w:line="360" w:lineRule="auto"/>
        <w:rPr>
          <w:rFonts w:ascii="宋体" w:hAnsi="宋体" w:cs="Arial"/>
          <w:szCs w:val="21"/>
        </w:rPr>
        <w:sectPr>
          <w:footerReference r:id="rId32" w:type="first"/>
          <w:footerReference r:id="rId31" w:type="default"/>
          <w:pgSz w:w="11906" w:h="16838"/>
          <w:pgMar w:top="1440" w:right="1800" w:bottom="1440" w:left="1800" w:header="851" w:footer="992" w:gutter="0"/>
          <w:pgNumType w:start="1"/>
          <w:cols w:space="720" w:num="1"/>
          <w:docGrid w:linePitch="312" w:charSpace="0"/>
        </w:sectPr>
      </w:pPr>
    </w:p>
    <w:p w14:paraId="48FE9E99">
      <w:pPr>
        <w:pStyle w:val="2"/>
        <w:snapToGrid w:val="0"/>
        <w:spacing w:before="0" w:after="0" w:line="360" w:lineRule="auto"/>
        <w:ind w:firstLine="141" w:firstLineChars="50"/>
        <w:rPr>
          <w:rFonts w:hAnsi="宋体" w:eastAsia="宋体" w:cs="Arial"/>
          <w:b/>
          <w:bCs/>
          <w:sz w:val="28"/>
          <w:szCs w:val="28"/>
        </w:rPr>
      </w:pPr>
      <w:bookmarkStart w:id="72" w:name="_Toc16252"/>
      <w:bookmarkStart w:id="73" w:name="_Toc214873600"/>
      <w:r>
        <w:rPr>
          <w:rFonts w:hAnsi="宋体" w:eastAsia="宋体" w:cs="Arial"/>
          <w:b/>
          <w:bCs/>
          <w:sz w:val="28"/>
          <w:szCs w:val="28"/>
        </w:rPr>
        <w:t>第十</w:t>
      </w:r>
      <w:r>
        <w:rPr>
          <w:rFonts w:hint="eastAsia" w:hAnsi="宋体" w:eastAsia="宋体" w:cs="Arial"/>
          <w:b/>
          <w:bCs/>
          <w:sz w:val="28"/>
          <w:szCs w:val="28"/>
        </w:rPr>
        <w:t>三</w:t>
      </w:r>
      <w:r>
        <w:rPr>
          <w:rFonts w:hAnsi="宋体" w:eastAsia="宋体" w:cs="Arial"/>
          <w:b/>
          <w:bCs/>
          <w:sz w:val="28"/>
          <w:szCs w:val="28"/>
        </w:rPr>
        <w:t>部分  基金资产的估值</w:t>
      </w:r>
      <w:bookmarkEnd w:id="72"/>
      <w:bookmarkEnd w:id="73"/>
    </w:p>
    <w:p w14:paraId="6D472384">
      <w:pPr>
        <w:spacing w:line="360" w:lineRule="auto"/>
        <w:rPr>
          <w:rFonts w:ascii="宋体" w:hAnsi="宋体"/>
        </w:rPr>
      </w:pPr>
    </w:p>
    <w:p w14:paraId="55494CC3">
      <w:pPr>
        <w:spacing w:line="360" w:lineRule="auto"/>
        <w:ind w:firstLine="422" w:firstLineChars="200"/>
        <w:rPr>
          <w:rFonts w:ascii="宋体" w:hAnsi="宋体" w:cs="Arial"/>
          <w:b/>
          <w:szCs w:val="21"/>
        </w:rPr>
      </w:pPr>
      <w:bookmarkStart w:id="74" w:name="_Toc530223193"/>
      <w:bookmarkStart w:id="75" w:name="_Toc214873601"/>
      <w:r>
        <w:rPr>
          <w:rFonts w:ascii="宋体" w:hAnsi="宋体" w:cs="Arial"/>
          <w:b/>
          <w:szCs w:val="21"/>
        </w:rPr>
        <w:t>一、估值日</w:t>
      </w:r>
    </w:p>
    <w:p w14:paraId="0081E0EF">
      <w:pPr>
        <w:spacing w:line="360" w:lineRule="auto"/>
        <w:ind w:firstLine="420" w:firstLineChars="200"/>
        <w:rPr>
          <w:rFonts w:ascii="宋体" w:hAnsi="宋体" w:cs="Arial"/>
          <w:szCs w:val="21"/>
        </w:rPr>
      </w:pPr>
      <w:r>
        <w:rPr>
          <w:rFonts w:hint="eastAsia" w:ascii="宋体" w:hAnsi="宋体" w:cs="Arial"/>
          <w:bCs/>
          <w:szCs w:val="21"/>
        </w:rPr>
        <w:t>本基金的估值日为本基金相关的证券、期货交易场所的交易日以及国家法律法规规定需要对外披露基金净值的非交易日。</w:t>
      </w:r>
    </w:p>
    <w:p w14:paraId="2C480419">
      <w:pPr>
        <w:spacing w:line="360" w:lineRule="auto"/>
        <w:ind w:firstLine="422" w:firstLineChars="200"/>
        <w:rPr>
          <w:rFonts w:ascii="宋体" w:hAnsi="宋体" w:cs="Arial"/>
          <w:b/>
          <w:bCs/>
          <w:szCs w:val="21"/>
        </w:rPr>
      </w:pPr>
      <w:r>
        <w:rPr>
          <w:rFonts w:ascii="宋体" w:hAnsi="宋体" w:cs="Arial"/>
          <w:b/>
          <w:bCs/>
          <w:szCs w:val="21"/>
        </w:rPr>
        <w:t>二、估值对象</w:t>
      </w:r>
    </w:p>
    <w:p w14:paraId="4517C0B0">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基金所拥有的股票（含存托凭证）、债券、国债期货合约、股指期货合约、股票期权合约、资产支持证券和银行存款本息、应收款项、其它投资等资产及负债。</w:t>
      </w:r>
    </w:p>
    <w:p w14:paraId="1EABF464">
      <w:pPr>
        <w:adjustRightInd w:val="0"/>
        <w:snapToGrid w:val="0"/>
        <w:spacing w:line="360" w:lineRule="auto"/>
        <w:ind w:firstLine="424" w:firstLineChars="201"/>
        <w:rPr>
          <w:rFonts w:ascii="宋体" w:hAnsi="宋体"/>
          <w:b/>
          <w:kern w:val="0"/>
        </w:rPr>
      </w:pPr>
      <w:r>
        <w:rPr>
          <w:rFonts w:hint="eastAsia" w:ascii="宋体" w:hAnsi="宋体"/>
          <w:b/>
          <w:kern w:val="0"/>
        </w:rPr>
        <w:t>三、估值原则</w:t>
      </w:r>
    </w:p>
    <w:p w14:paraId="3BC64A46">
      <w:pPr>
        <w:adjustRightInd w:val="0"/>
        <w:snapToGrid w:val="0"/>
        <w:spacing w:line="360" w:lineRule="auto"/>
        <w:ind w:firstLine="422" w:firstLineChars="201"/>
        <w:rPr>
          <w:rFonts w:ascii="宋体" w:hAnsi="宋体"/>
          <w:kern w:val="0"/>
        </w:rPr>
      </w:pPr>
      <w:r>
        <w:rPr>
          <w:rFonts w:hint="eastAsia" w:ascii="宋体" w:hAnsi="宋体"/>
          <w:kern w:val="0"/>
        </w:rPr>
        <w:t>基金管理人在确定相关金融资产和金融负债的公允价值时，应符合《企业会计准则》、监管部门有关规定。</w:t>
      </w:r>
    </w:p>
    <w:p w14:paraId="2A19AC47">
      <w:pPr>
        <w:adjustRightInd w:val="0"/>
        <w:snapToGrid w:val="0"/>
        <w:spacing w:line="360" w:lineRule="auto"/>
        <w:ind w:firstLine="422" w:firstLineChars="201"/>
        <w:rPr>
          <w:rFonts w:ascii="宋体" w:hAnsi="宋体"/>
          <w:kern w:val="0"/>
        </w:rPr>
      </w:pPr>
      <w:r>
        <w:rPr>
          <w:rFonts w:hint="eastAsia" w:ascii="宋体" w:hAnsi="宋体"/>
          <w:kern w:val="0"/>
        </w:rPr>
        <w:t>（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2BB022D3">
      <w:pPr>
        <w:adjustRightInd w:val="0"/>
        <w:snapToGrid w:val="0"/>
        <w:spacing w:line="360" w:lineRule="auto"/>
        <w:ind w:firstLine="422" w:firstLineChars="201"/>
        <w:rPr>
          <w:rFonts w:ascii="宋体" w:hAnsi="宋体"/>
          <w:kern w:val="0"/>
        </w:rPr>
      </w:pPr>
      <w:r>
        <w:rPr>
          <w:rFonts w:hint="eastAsia" w:ascii="宋体" w:hAnsi="宋体"/>
          <w:kern w:val="0"/>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55B9BD8B">
      <w:pPr>
        <w:adjustRightInd w:val="0"/>
        <w:snapToGrid w:val="0"/>
        <w:spacing w:line="360" w:lineRule="auto"/>
        <w:ind w:firstLine="422" w:firstLineChars="201"/>
        <w:rPr>
          <w:rFonts w:ascii="宋体" w:hAnsi="宋体"/>
          <w:kern w:val="0"/>
        </w:rPr>
      </w:pPr>
      <w:r>
        <w:rPr>
          <w:rFonts w:hint="eastAsia" w:ascii="宋体" w:hAnsi="宋体"/>
          <w:kern w:val="0"/>
        </w:rPr>
        <w:t>（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4B6970F3">
      <w:pPr>
        <w:spacing w:line="360" w:lineRule="auto"/>
        <w:ind w:firstLine="422" w:firstLineChars="200"/>
        <w:rPr>
          <w:rFonts w:ascii="宋体" w:hAnsi="宋体" w:cs="Arial"/>
          <w:b/>
          <w:szCs w:val="21"/>
        </w:rPr>
      </w:pPr>
      <w:r>
        <w:rPr>
          <w:rFonts w:hint="eastAsia" w:ascii="宋体" w:hAnsi="宋体" w:cs="Arial"/>
          <w:b/>
          <w:szCs w:val="21"/>
        </w:rPr>
        <w:t>四</w:t>
      </w:r>
      <w:r>
        <w:rPr>
          <w:rFonts w:ascii="宋体" w:hAnsi="宋体" w:cs="Arial"/>
          <w:b/>
          <w:szCs w:val="21"/>
        </w:rPr>
        <w:t>、估值方法</w:t>
      </w:r>
    </w:p>
    <w:p w14:paraId="2F6BC39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交易所上市</w:t>
      </w:r>
      <w:r>
        <w:rPr>
          <w:rFonts w:hint="eastAsia" w:asciiTheme="minorEastAsia" w:hAnsiTheme="minorEastAsia"/>
          <w:color w:val="0D0D0D" w:themeColor="text1" w:themeTint="F2"/>
          <w14:textFill>
            <w14:solidFill>
              <w14:schemeClr w14:val="tx1">
                <w14:lumMod w14:val="95000"/>
                <w14:lumOff w14:val="5000"/>
              </w14:schemeClr>
            </w14:solidFill>
          </w14:textFill>
        </w:rPr>
        <w:t>或挂牌转让</w:t>
      </w:r>
      <w:r>
        <w:rPr>
          <w:rFonts w:asciiTheme="minorEastAsia" w:hAnsiTheme="minorEastAsia"/>
          <w:color w:val="0D0D0D" w:themeColor="text1" w:themeTint="F2"/>
          <w14:textFill>
            <w14:solidFill>
              <w14:schemeClr w14:val="tx1">
                <w14:lumMod w14:val="95000"/>
                <w14:lumOff w14:val="5000"/>
              </w14:schemeClr>
            </w14:solidFill>
          </w14:textFill>
        </w:rPr>
        <w:t>的有价证券（包括股票等</w:t>
      </w:r>
      <w:r>
        <w:rPr>
          <w:rFonts w:hint="eastAsia" w:asciiTheme="minorEastAsia" w:hAnsiTheme="minorEastAsia"/>
          <w:color w:val="0D0D0D" w:themeColor="text1" w:themeTint="F2"/>
          <w14:textFill>
            <w14:solidFill>
              <w14:schemeClr w14:val="tx1">
                <w14:lumMod w14:val="95000"/>
                <w14:lumOff w14:val="5000"/>
              </w14:schemeClr>
            </w14:solidFill>
          </w14:textFill>
        </w:rPr>
        <w:t>，基金合同另有规定的除外</w:t>
      </w:r>
      <w:r>
        <w:rPr>
          <w:rFonts w:asciiTheme="minorEastAsia" w:hAnsiTheme="minorEastAsia"/>
          <w:color w:val="0D0D0D" w:themeColor="text1" w:themeTint="F2"/>
          <w14:textFill>
            <w14:solidFill>
              <w14:schemeClr w14:val="tx1">
                <w14:lumMod w14:val="95000"/>
                <w14:lumOff w14:val="5000"/>
              </w14:schemeClr>
            </w14:solidFill>
          </w14:textFill>
        </w:rPr>
        <w:t>），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w:t>
      </w:r>
      <w:r>
        <w:rPr>
          <w:rFonts w:hint="eastAsia" w:asciiTheme="minorEastAsia" w:hAnsiTheme="minorEastAsia"/>
          <w:color w:val="0D0D0D" w:themeColor="text1" w:themeTint="F2"/>
          <w14:textFill>
            <w14:solidFill>
              <w14:schemeClr w14:val="tx1">
                <w14:lumMod w14:val="95000"/>
                <w14:lumOff w14:val="5000"/>
              </w14:schemeClr>
            </w14:solidFill>
          </w14:textFill>
        </w:rPr>
        <w:t>或</w:t>
      </w:r>
      <w:r>
        <w:rPr>
          <w:rFonts w:asciiTheme="minorEastAsia" w:hAnsiTheme="minorEastAsia"/>
          <w:color w:val="0D0D0D" w:themeColor="text1" w:themeTint="F2"/>
          <w14:textFill>
            <w14:solidFill>
              <w14:schemeClr w14:val="tx1">
                <w14:lumMod w14:val="95000"/>
                <w14:lumOff w14:val="5000"/>
              </w14:schemeClr>
            </w14:solidFill>
          </w14:textFill>
        </w:rPr>
        <w:t>证券发行机构发生影响证券价格的重大事件的，可参考类似投资品种的现行市价及重大变化因素，调整最近交易市价，确定公允价格。</w:t>
      </w:r>
    </w:p>
    <w:p w14:paraId="7BBEE57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对于已上市或已挂牌转让的不含权固定收益品种，选取估值日第三方估值基准服务机构提供的相应品种当日的估值</w:t>
      </w:r>
      <w:r>
        <w:rPr>
          <w:rFonts w:hint="eastAsia" w:asciiTheme="minorEastAsia" w:hAnsiTheme="minorEastAsia"/>
          <w:color w:val="0D0D0D" w:themeColor="text1" w:themeTint="F2"/>
          <w14:textFill>
            <w14:solidFill>
              <w14:schemeClr w14:val="tx1">
                <w14:lumMod w14:val="95000"/>
                <w14:lumOff w14:val="5000"/>
              </w14:schemeClr>
            </w14:solidFill>
          </w14:textFill>
        </w:rPr>
        <w:t>全</w:t>
      </w:r>
      <w:r>
        <w:rPr>
          <w:rFonts w:asciiTheme="minorEastAsia" w:hAnsiTheme="minorEastAsia"/>
          <w:color w:val="0D0D0D" w:themeColor="text1" w:themeTint="F2"/>
          <w14:textFill>
            <w14:solidFill>
              <w14:schemeClr w14:val="tx1">
                <w14:lumMod w14:val="95000"/>
                <w14:lumOff w14:val="5000"/>
              </w14:schemeClr>
            </w14:solidFill>
          </w14:textFill>
        </w:rPr>
        <w:t>价进行估值</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3DFFBA0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对于已上市或已挂牌转让的含权固定收益品种，选取估值日第三方估值基准服务机构提供的相应品种当日的唯一估值</w:t>
      </w:r>
      <w:r>
        <w:rPr>
          <w:rFonts w:hint="eastAsia" w:asciiTheme="minorEastAsia" w:hAnsiTheme="minorEastAsia"/>
          <w:color w:val="0D0D0D" w:themeColor="text1" w:themeTint="F2"/>
          <w14:textFill>
            <w14:solidFill>
              <w14:schemeClr w14:val="tx1">
                <w14:lumMod w14:val="95000"/>
                <w14:lumOff w14:val="5000"/>
              </w14:schemeClr>
            </w14:solidFill>
          </w14:textFill>
        </w:rPr>
        <w:t>全</w:t>
      </w:r>
      <w:r>
        <w:rPr>
          <w:rFonts w:asciiTheme="minorEastAsia" w:hAnsiTheme="minorEastAsia"/>
          <w:color w:val="0D0D0D" w:themeColor="text1" w:themeTint="F2"/>
          <w14:textFill>
            <w14:solidFill>
              <w14:schemeClr w14:val="tx1">
                <w14:lumMod w14:val="95000"/>
                <w14:lumOff w14:val="5000"/>
              </w14:schemeClr>
            </w14:solidFill>
          </w14:textFill>
        </w:rPr>
        <w:t>价或推荐估值</w:t>
      </w:r>
      <w:r>
        <w:rPr>
          <w:rFonts w:hint="eastAsia" w:asciiTheme="minorEastAsia" w:hAnsiTheme="minorEastAsia"/>
          <w:color w:val="0D0D0D" w:themeColor="text1" w:themeTint="F2"/>
          <w14:textFill>
            <w14:solidFill>
              <w14:schemeClr w14:val="tx1">
                <w14:lumMod w14:val="95000"/>
                <w14:lumOff w14:val="5000"/>
              </w14:schemeClr>
            </w14:solidFill>
          </w14:textFill>
        </w:rPr>
        <w:t>全</w:t>
      </w:r>
      <w:r>
        <w:rPr>
          <w:rFonts w:asciiTheme="minorEastAsia" w:hAnsiTheme="minorEastAsia"/>
          <w:color w:val="0D0D0D" w:themeColor="text1" w:themeTint="F2"/>
          <w14:textFill>
            <w14:solidFill>
              <w14:schemeClr w14:val="tx1">
                <w14:lumMod w14:val="95000"/>
                <w14:lumOff w14:val="5000"/>
              </w14:schemeClr>
            </w14:solidFill>
          </w14:textFill>
        </w:rPr>
        <w:t>价进行估值</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5306FB5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对于含投资者回售权的固定收益品种，行使回售权的，在回售登记日至实际收款日期间选取第三方估值基准服务机构提供的相应品种的唯一估值全价或推荐估值全价。回售登记期截止日（含当日）后未行使回售权的</w:t>
      </w: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按照长待偿期所对应的价格进行估值。</w:t>
      </w:r>
    </w:p>
    <w:p w14:paraId="3831AFF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111DDFC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5、</w:t>
      </w:r>
      <w:r>
        <w:rPr>
          <w:rFonts w:asciiTheme="minorEastAsia" w:hAnsiTheme="minorEastAsia"/>
          <w:color w:val="0D0D0D" w:themeColor="text1" w:themeTint="F2"/>
          <w14:textFill>
            <w14:solidFill>
              <w14:schemeClr w14:val="tx1">
                <w14:lumMod w14:val="95000"/>
                <w14:lumOff w14:val="5000"/>
              </w14:schemeClr>
            </w14:solidFill>
          </w14:textFill>
        </w:rPr>
        <w:t>对于未上市或未挂牌转让且不存在活跃市场的固定收益品种，应采用在当前情况下适用并且有足够可利用数据和其他信息支持的估值技术确定其公允价值。</w:t>
      </w:r>
    </w:p>
    <w:p w14:paraId="583AD19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6、处于未上市期间的股票应区分如下情况处理：</w:t>
      </w:r>
    </w:p>
    <w:p w14:paraId="10F93BC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（1）送股、转增股、配股和公开增发的新股，按估值日在证券交易所挂牌的同一股票的估值方法估值；该日无交易的，以最近一日的市价（收盘价）估值；</w:t>
      </w:r>
    </w:p>
    <w:p w14:paraId="52FB0CB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）首次公开发行未上市的股票，采用估值技术确定公允价值，在估值技术难以可靠计量公允价值的情况下，按成本估值；</w:t>
      </w:r>
    </w:p>
    <w:p w14:paraId="0E70C9F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5C573A6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、本基金投资存托凭证的估值核算，依照境内上市交易的股票执行。</w:t>
      </w:r>
    </w:p>
    <w:p w14:paraId="1B2DA25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、同一证券同时在两个或两个以上市场交易的，按证券所处的市场分别估值。</w:t>
      </w:r>
    </w:p>
    <w:p w14:paraId="3E68390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9</w:t>
      </w:r>
      <w:r>
        <w:rPr>
          <w:rFonts w:hint="eastAsia" w:asciiTheme="minorEastAsia" w:hAnsiTheme="minorEastAsia"/>
          <w:color w:val="0D0D0D" w:themeColor="text1" w:themeTint="F2"/>
          <w14:textFill>
            <w14:solidFill>
              <w14:schemeClr w14:val="tx1">
                <w14:lumMod w14:val="95000"/>
                <w14:lumOff w14:val="5000"/>
              </w14:schemeClr>
            </w14:solidFill>
          </w14:textFill>
        </w:rPr>
        <w:t>、本基金投资股指期货、国债期货合约，一般以估值当日结算价确定公允价值，估值当日无结算价的，且最近交易日后未发生影响公允价值计量的重大事件的，采用最近交易日结算价估值。</w:t>
      </w:r>
    </w:p>
    <w:p w14:paraId="1F9A70F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、本基金投资股票期权，根据相关法律法规以及监管部门的规定估值。</w:t>
      </w:r>
    </w:p>
    <w:p w14:paraId="60F433F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11</w:t>
      </w:r>
      <w:r>
        <w:rPr>
          <w:rFonts w:hint="eastAsia" w:asciiTheme="minorEastAsia" w:hAnsiTheme="minorEastAsia"/>
          <w:color w:val="0D0D0D" w:themeColor="text1" w:themeTint="F2"/>
          <w14:textFill>
            <w14:solidFill>
              <w14:schemeClr w14:val="tx1">
                <w14:lumMod w14:val="95000"/>
                <w14:lumOff w14:val="5000"/>
              </w14:schemeClr>
            </w14:solidFill>
          </w14:textFill>
        </w:rPr>
        <w:t>、本基金参与融资及转融通证券出借业务的，应参照法律法规及行业协会的相关规定进行估值。</w:t>
      </w:r>
    </w:p>
    <w:p w14:paraId="43D0056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12</w:t>
      </w:r>
      <w:r>
        <w:rPr>
          <w:rFonts w:hint="eastAsia" w:asciiTheme="minorEastAsia" w:hAnsiTheme="minorEastAsia"/>
          <w:color w:val="0D0D0D" w:themeColor="text1" w:themeTint="F2"/>
          <w14:textFill>
            <w14:solidFill>
              <w14:schemeClr w14:val="tx1">
                <w14:lumMod w14:val="95000"/>
                <w14:lumOff w14:val="5000"/>
              </w14:schemeClr>
            </w14:solidFill>
          </w14:textFill>
        </w:rPr>
        <w:t>、汇率</w:t>
      </w:r>
    </w:p>
    <w:p w14:paraId="771F964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本基金外币资产价值计算中，涉及主要货币对人民币汇率的，应当以基金估值日中国人民银行或其授权机构公布的人民币汇率中间价或其他可以反映公允价值的汇率进行估值。</w:t>
      </w:r>
    </w:p>
    <w:p w14:paraId="7E2C32F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13</w:t>
      </w:r>
      <w:r>
        <w:rPr>
          <w:rFonts w:hint="eastAsia" w:asciiTheme="minorEastAsia" w:hAnsiTheme="minorEastAsia"/>
          <w:color w:val="0D0D0D" w:themeColor="text1" w:themeTint="F2"/>
          <w14:textFill>
            <w14:solidFill>
              <w14:schemeClr w14:val="tx1">
                <w14:lumMod w14:val="95000"/>
                <w14:lumOff w14:val="5000"/>
              </w14:schemeClr>
            </w14:solidFill>
          </w14:textFill>
        </w:rPr>
        <w:t>、如有确凿证据表明按上述方法进行估值不能客观反映其公允价值的，基金管理人可根据具体情况与基金托管人商定后，按最能反映公允价值的方法估值。</w:t>
      </w:r>
    </w:p>
    <w:p w14:paraId="0E2D6CC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14</w:t>
      </w:r>
      <w:r>
        <w:rPr>
          <w:rFonts w:hint="eastAsia" w:asciiTheme="minorEastAsia" w:hAnsiTheme="minorEastAsia"/>
          <w:color w:val="0D0D0D" w:themeColor="text1" w:themeTint="F2"/>
          <w14:textFill>
            <w14:solidFill>
              <w14:schemeClr w14:val="tx1">
                <w14:lumMod w14:val="95000"/>
                <w14:lumOff w14:val="5000"/>
              </w14:schemeClr>
            </w14:solidFill>
          </w14:textFill>
        </w:rPr>
        <w:t>、相关法律法规以及监管部门有强制规定的，从其规定。如有新增事项，按国家最新规定估值。</w:t>
      </w:r>
    </w:p>
    <w:p w14:paraId="5BCEFB7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如基金管理人或基金托管人发现基金估值违反基金合同订明的估值方法、程序及相关法律法规的规定或者未能充分维护基金份额持有人利益时，应立即通知对方，共同查明原因，双方协商解决。</w:t>
      </w:r>
    </w:p>
    <w:p w14:paraId="38CEE856">
      <w:pPr>
        <w:adjustRightInd w:val="0"/>
        <w:snapToGrid w:val="0"/>
        <w:spacing w:line="360" w:lineRule="auto"/>
        <w:ind w:firstLine="420" w:firstLineChars="200"/>
        <w:rPr>
          <w:rFonts w:ascii="宋体" w:hAnsi="宋体"/>
        </w:rPr>
      </w:pPr>
      <w:r>
        <w:rPr>
          <w:rFonts w:hint="eastAsia" w:asciiTheme="minorEastAsia" w:hAnsiTheme="minorEastAsia"/>
          <w:color w:val="0D0D0D" w:themeColor="text1" w:themeTint="F2"/>
          <w14:textFill>
            <w14:solidFill>
              <w14:schemeClr w14:val="tx1">
                <w14:lumMod w14:val="95000"/>
                <w14:lumOff w14:val="5000"/>
              </w14:schemeClr>
            </w14:solidFill>
          </w14:textFill>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20233E24">
      <w:pPr>
        <w:spacing w:line="360" w:lineRule="auto"/>
        <w:ind w:firstLine="422" w:firstLineChars="200"/>
        <w:rPr>
          <w:rFonts w:ascii="宋体" w:hAnsi="宋体" w:cs="Arial"/>
          <w:b/>
          <w:szCs w:val="21"/>
        </w:rPr>
      </w:pPr>
      <w:r>
        <w:rPr>
          <w:rFonts w:hint="eastAsia" w:ascii="宋体" w:hAnsi="宋体" w:cs="Arial"/>
          <w:b/>
          <w:szCs w:val="21"/>
        </w:rPr>
        <w:t>五</w:t>
      </w:r>
      <w:r>
        <w:rPr>
          <w:rFonts w:ascii="宋体" w:hAnsi="宋体" w:cs="Arial"/>
          <w:b/>
          <w:szCs w:val="21"/>
        </w:rPr>
        <w:t>、估值程序</w:t>
      </w:r>
    </w:p>
    <w:p w14:paraId="583EED24">
      <w:pPr>
        <w:spacing w:line="360" w:lineRule="auto"/>
        <w:ind w:firstLine="420" w:firstLineChars="200"/>
        <w:rPr>
          <w:rFonts w:ascii="宋体" w:hAnsi="宋体" w:cs="Arial"/>
          <w:bCs/>
          <w:szCs w:val="21"/>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、基金份额净值是按照每个工作日闭市后，基金资产净值除以当日基金份额的余额数量计算，精确到0.0001元，小数点后第</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位四舍五入，由此产生的误差计入基金财产。基金管理人可以设立大额赎回情形下的净值精度应急调整机制。国家另有规定的，从其规定。</w:t>
      </w:r>
    </w:p>
    <w:p w14:paraId="3CBC9A28">
      <w:pPr>
        <w:spacing w:line="360" w:lineRule="auto"/>
        <w:ind w:firstLine="420" w:firstLineChars="200"/>
        <w:rPr>
          <w:rFonts w:ascii="宋体" w:hAnsi="宋体" w:cs="Arial"/>
          <w:bCs/>
          <w:szCs w:val="21"/>
        </w:rPr>
      </w:pPr>
      <w:r>
        <w:rPr>
          <w:rFonts w:ascii="宋体" w:hAnsi="宋体" w:cs="Arial"/>
          <w:bCs/>
          <w:szCs w:val="21"/>
        </w:rPr>
        <w:t>基金管理人</w:t>
      </w:r>
      <w:r>
        <w:rPr>
          <w:rFonts w:hint="eastAsia" w:ascii="宋体" w:hAnsi="宋体" w:cs="Arial"/>
          <w:bCs/>
          <w:szCs w:val="21"/>
        </w:rPr>
        <w:t>于</w:t>
      </w:r>
      <w:r>
        <w:rPr>
          <w:rFonts w:ascii="宋体" w:hAnsi="宋体" w:cs="Arial"/>
          <w:bCs/>
          <w:szCs w:val="21"/>
        </w:rPr>
        <w:t>每个工作日计算基金资产净值及基金份额净值，并按规定公告。</w:t>
      </w:r>
    </w:p>
    <w:p w14:paraId="6D9A43D2">
      <w:pPr>
        <w:spacing w:line="360" w:lineRule="auto"/>
        <w:ind w:firstLine="420" w:firstLineChars="200"/>
        <w:rPr>
          <w:rFonts w:ascii="宋体" w:hAnsi="宋体" w:cs="Arial"/>
          <w:bCs/>
          <w:szCs w:val="21"/>
        </w:rPr>
      </w:pPr>
      <w:r>
        <w:rPr>
          <w:rFonts w:ascii="宋体" w:hAnsi="宋体" w:cs="Arial"/>
          <w:bCs/>
          <w:szCs w:val="21"/>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w:t>
      </w:r>
      <w:r>
        <w:rPr>
          <w:rFonts w:hint="eastAsia" w:ascii="宋体" w:hAnsi="宋体" w:cs="Arial"/>
          <w:bCs/>
          <w:szCs w:val="21"/>
        </w:rPr>
        <w:t>按约定</w:t>
      </w:r>
      <w:r>
        <w:rPr>
          <w:rFonts w:ascii="宋体" w:hAnsi="宋体" w:cs="Arial"/>
          <w:bCs/>
          <w:szCs w:val="21"/>
        </w:rPr>
        <w:t>对外公布。</w:t>
      </w:r>
    </w:p>
    <w:p w14:paraId="761CF83B">
      <w:pPr>
        <w:spacing w:line="360" w:lineRule="auto"/>
        <w:ind w:firstLine="422" w:firstLineChars="200"/>
        <w:rPr>
          <w:rFonts w:ascii="宋体" w:hAnsi="宋体" w:cs="Arial"/>
          <w:b/>
          <w:szCs w:val="21"/>
        </w:rPr>
      </w:pPr>
      <w:r>
        <w:rPr>
          <w:rFonts w:hint="eastAsia" w:ascii="宋体" w:hAnsi="宋体" w:cs="Arial"/>
          <w:b/>
          <w:szCs w:val="21"/>
        </w:rPr>
        <w:t>六</w:t>
      </w:r>
      <w:r>
        <w:rPr>
          <w:rFonts w:ascii="宋体" w:hAnsi="宋体" w:cs="Arial"/>
          <w:b/>
          <w:szCs w:val="21"/>
        </w:rPr>
        <w:t>、估值错误的处理</w:t>
      </w:r>
    </w:p>
    <w:p w14:paraId="1BE6E726">
      <w:pPr>
        <w:adjustRightInd w:val="0"/>
        <w:snapToGrid w:val="0"/>
        <w:spacing w:line="360" w:lineRule="auto"/>
        <w:ind w:firstLine="420" w:firstLineChars="200"/>
        <w:rPr>
          <w:rFonts w:ascii="宋体" w:hAnsi="宋体"/>
        </w:rPr>
      </w:pPr>
      <w:r>
        <w:rPr>
          <w:rFonts w:hint="eastAsia" w:ascii="宋体" w:hAnsi="宋体"/>
        </w:rPr>
        <w:t>基金管理人和基金托管人将采取必要、适当、合理的措施确保基金资产估值的准确性、及时性。当基金份额净值小数点后4位以内(含第4位)发生估值错误时，视为基金份额净值错误。</w:t>
      </w:r>
    </w:p>
    <w:p w14:paraId="164C6E42">
      <w:pPr>
        <w:adjustRightInd w:val="0"/>
        <w:snapToGrid w:val="0"/>
        <w:spacing w:line="360" w:lineRule="auto"/>
        <w:ind w:firstLine="420" w:firstLineChars="200"/>
        <w:rPr>
          <w:rFonts w:ascii="宋体" w:hAnsi="宋体"/>
        </w:rPr>
      </w:pPr>
      <w:r>
        <w:rPr>
          <w:rFonts w:hint="eastAsia" w:ascii="宋体" w:hAnsi="宋体"/>
        </w:rPr>
        <w:t>基金合同的当事人应按照以下约定处理：</w:t>
      </w:r>
    </w:p>
    <w:p w14:paraId="6C1A8B0F">
      <w:pPr>
        <w:adjustRightInd w:val="0"/>
        <w:snapToGrid w:val="0"/>
        <w:spacing w:line="360" w:lineRule="auto"/>
        <w:ind w:firstLine="420" w:firstLineChars="200"/>
        <w:rPr>
          <w:rFonts w:ascii="宋体" w:hAnsi="宋体"/>
        </w:rPr>
      </w:pPr>
      <w:r>
        <w:rPr>
          <w:rFonts w:hint="eastAsia" w:ascii="宋体" w:hAnsi="宋体"/>
        </w:rPr>
        <w:t>1、估值错误类型</w:t>
      </w:r>
    </w:p>
    <w:p w14:paraId="2AE8F623">
      <w:pPr>
        <w:adjustRightInd w:val="0"/>
        <w:snapToGrid w:val="0"/>
        <w:spacing w:line="360" w:lineRule="auto"/>
        <w:ind w:firstLine="420" w:firstLineChars="200"/>
        <w:rPr>
          <w:rFonts w:ascii="宋体" w:hAnsi="宋体"/>
        </w:rPr>
      </w:pPr>
      <w:r>
        <w:rPr>
          <w:rFonts w:hint="eastAsia" w:ascii="宋体" w:hAnsi="宋体"/>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3B9993B5">
      <w:pPr>
        <w:adjustRightInd w:val="0"/>
        <w:snapToGrid w:val="0"/>
        <w:spacing w:line="360" w:lineRule="auto"/>
        <w:ind w:firstLine="420" w:firstLineChars="200"/>
        <w:rPr>
          <w:rFonts w:ascii="宋体" w:hAnsi="宋体"/>
        </w:rPr>
      </w:pPr>
      <w:r>
        <w:rPr>
          <w:rFonts w:hint="eastAsia" w:ascii="宋体" w:hAnsi="宋体"/>
        </w:rPr>
        <w:t>上述估值错误的主要类型包括但不限于：资料申报差错、数据传输差错、数据计算差错、系统故障差错、下达指令差错等。</w:t>
      </w:r>
    </w:p>
    <w:p w14:paraId="71FBAEB1">
      <w:pPr>
        <w:adjustRightInd w:val="0"/>
        <w:snapToGrid w:val="0"/>
        <w:spacing w:line="360" w:lineRule="auto"/>
        <w:ind w:firstLine="420" w:firstLineChars="200"/>
        <w:rPr>
          <w:rFonts w:ascii="宋体" w:hAnsi="宋体"/>
        </w:rPr>
      </w:pPr>
      <w:r>
        <w:rPr>
          <w:rFonts w:hint="eastAsia" w:ascii="宋体" w:hAnsi="宋体"/>
        </w:rPr>
        <w:t>2、估值错误处理原则</w:t>
      </w:r>
    </w:p>
    <w:p w14:paraId="6E15B399">
      <w:pPr>
        <w:adjustRightInd w:val="0"/>
        <w:snapToGrid w:val="0"/>
        <w:spacing w:line="360" w:lineRule="auto"/>
        <w:ind w:firstLine="420" w:firstLineChars="200"/>
        <w:rPr>
          <w:rFonts w:ascii="宋体" w:hAnsi="宋体"/>
        </w:rPr>
      </w:pPr>
      <w:r>
        <w:rPr>
          <w:rFonts w:hint="eastAsia" w:ascii="宋体" w:hAnsi="宋体"/>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3FE2F212">
      <w:pPr>
        <w:adjustRightInd w:val="0"/>
        <w:snapToGrid w:val="0"/>
        <w:spacing w:line="360" w:lineRule="auto"/>
        <w:ind w:firstLine="420" w:firstLineChars="200"/>
        <w:rPr>
          <w:rFonts w:ascii="宋体" w:hAnsi="宋体"/>
        </w:rPr>
      </w:pPr>
      <w:r>
        <w:rPr>
          <w:rFonts w:hint="eastAsia" w:ascii="宋体" w:hAnsi="宋体"/>
        </w:rPr>
        <w:t>（2）估值错误的责任方对有关当事人的直接损失负责，不对间接损失负责，并且仅对估值错误的有关直接当事人负责，不对第三方负责。</w:t>
      </w:r>
    </w:p>
    <w:p w14:paraId="3057A5FC">
      <w:pPr>
        <w:adjustRightInd w:val="0"/>
        <w:snapToGrid w:val="0"/>
        <w:spacing w:line="360" w:lineRule="auto"/>
        <w:ind w:firstLine="420" w:firstLineChars="200"/>
        <w:rPr>
          <w:rFonts w:ascii="宋体" w:hAnsi="宋体"/>
        </w:rPr>
      </w:pPr>
      <w:r>
        <w:rPr>
          <w:rFonts w:hint="eastAsia" w:ascii="宋体" w:hAnsi="宋体"/>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092EBC94">
      <w:pPr>
        <w:adjustRightInd w:val="0"/>
        <w:snapToGrid w:val="0"/>
        <w:spacing w:line="360" w:lineRule="auto"/>
        <w:ind w:firstLine="420" w:firstLineChars="200"/>
        <w:rPr>
          <w:rFonts w:ascii="宋体" w:hAnsi="宋体"/>
        </w:rPr>
      </w:pPr>
      <w:r>
        <w:rPr>
          <w:rFonts w:hint="eastAsia" w:ascii="宋体" w:hAnsi="宋体"/>
        </w:rPr>
        <w:t>（4）估值错误调整采用尽量恢复至假设未发生估值错误的正确情形的方式。</w:t>
      </w:r>
    </w:p>
    <w:p w14:paraId="563AE1E7">
      <w:pPr>
        <w:adjustRightInd w:val="0"/>
        <w:snapToGrid w:val="0"/>
        <w:spacing w:line="360" w:lineRule="auto"/>
        <w:ind w:firstLine="420" w:firstLineChars="200"/>
        <w:rPr>
          <w:rFonts w:ascii="宋体" w:hAnsi="宋体"/>
        </w:rPr>
      </w:pPr>
      <w:r>
        <w:rPr>
          <w:rFonts w:hint="eastAsia" w:ascii="宋体" w:hAnsi="宋体"/>
        </w:rPr>
        <w:t>3、估值错误处理程序</w:t>
      </w:r>
    </w:p>
    <w:p w14:paraId="6287FF2D">
      <w:pPr>
        <w:adjustRightInd w:val="0"/>
        <w:snapToGrid w:val="0"/>
        <w:spacing w:line="360" w:lineRule="auto"/>
        <w:ind w:firstLine="420" w:firstLineChars="200"/>
        <w:rPr>
          <w:rFonts w:ascii="宋体" w:hAnsi="宋体"/>
        </w:rPr>
      </w:pPr>
      <w:r>
        <w:rPr>
          <w:rFonts w:hint="eastAsia" w:ascii="宋体" w:hAnsi="宋体"/>
        </w:rPr>
        <w:t>估值错误被发现后，有关的当事人应当及时进行处理，处理的程序如下：</w:t>
      </w:r>
    </w:p>
    <w:p w14:paraId="119D4B39">
      <w:pPr>
        <w:adjustRightInd w:val="0"/>
        <w:snapToGrid w:val="0"/>
        <w:spacing w:line="360" w:lineRule="auto"/>
        <w:ind w:firstLine="420" w:firstLineChars="200"/>
        <w:rPr>
          <w:rFonts w:ascii="宋体" w:hAnsi="宋体"/>
        </w:rPr>
      </w:pPr>
      <w:r>
        <w:rPr>
          <w:rFonts w:hint="eastAsia" w:ascii="宋体" w:hAnsi="宋体"/>
        </w:rPr>
        <w:t>（1）查明估值错误发生的原因，列明所有的当事人，并根据估值错误发生的原因确定估值错误的责任方；</w:t>
      </w:r>
    </w:p>
    <w:p w14:paraId="5E15DE96">
      <w:pPr>
        <w:adjustRightInd w:val="0"/>
        <w:snapToGrid w:val="0"/>
        <w:spacing w:line="360" w:lineRule="auto"/>
        <w:ind w:firstLine="420" w:firstLineChars="200"/>
        <w:rPr>
          <w:rFonts w:ascii="宋体" w:hAnsi="宋体"/>
        </w:rPr>
      </w:pPr>
      <w:r>
        <w:rPr>
          <w:rFonts w:hint="eastAsia" w:ascii="宋体" w:hAnsi="宋体"/>
        </w:rPr>
        <w:t>（2）根据估值错误处理原则或当事人协商的方法对因估值错误造成的损失进行评估；</w:t>
      </w:r>
    </w:p>
    <w:p w14:paraId="24BDE1DC">
      <w:pPr>
        <w:adjustRightInd w:val="0"/>
        <w:snapToGrid w:val="0"/>
        <w:spacing w:line="360" w:lineRule="auto"/>
        <w:ind w:firstLine="420" w:firstLineChars="200"/>
        <w:rPr>
          <w:rFonts w:ascii="宋体" w:hAnsi="宋体"/>
        </w:rPr>
      </w:pPr>
      <w:r>
        <w:rPr>
          <w:rFonts w:hint="eastAsia" w:ascii="宋体" w:hAnsi="宋体"/>
        </w:rPr>
        <w:t>（3）根据估值错误处理原则或当事人协商的方法由估值错误的责任方进行更正和赔偿损失；</w:t>
      </w:r>
    </w:p>
    <w:p w14:paraId="10FB1895">
      <w:pPr>
        <w:adjustRightInd w:val="0"/>
        <w:snapToGrid w:val="0"/>
        <w:spacing w:line="360" w:lineRule="auto"/>
        <w:ind w:firstLine="420" w:firstLineChars="200"/>
        <w:rPr>
          <w:rFonts w:ascii="宋体" w:hAnsi="宋体"/>
        </w:rPr>
      </w:pPr>
      <w:r>
        <w:rPr>
          <w:rFonts w:hint="eastAsia" w:ascii="宋体" w:hAnsi="宋体"/>
        </w:rPr>
        <w:t>（4）根据估值错误处理的方法，需要修改基金登记机构交易数据的，由基金登记机构进行更正，并就估值错误的更正向有关当事人进行确认。</w:t>
      </w:r>
    </w:p>
    <w:p w14:paraId="135E6A0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、基金份额净值估值错误处理的方法如下：</w:t>
      </w:r>
    </w:p>
    <w:p w14:paraId="09FEB9BD">
      <w:pPr>
        <w:adjustRightInd w:val="0"/>
        <w:snapToGrid w:val="0"/>
        <w:spacing w:line="360" w:lineRule="auto"/>
        <w:ind w:firstLine="422" w:firstLineChars="201"/>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（1）基金份额净值计算出现错误时，基金管理人应当立即予以纠正，通报基金托管人，并采取合理的措施防止损失进一步扩大。</w:t>
      </w:r>
    </w:p>
    <w:p w14:paraId="252B3F0A">
      <w:pPr>
        <w:adjustRightInd w:val="0"/>
        <w:snapToGrid w:val="0"/>
        <w:spacing w:line="360" w:lineRule="auto"/>
        <w:ind w:firstLine="422" w:firstLineChars="201"/>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（2）错误偏差达到基金份额净值的0.25%时，基金管理人应当通报基金托管人并报中国证监会备案；错误偏差达到基金份额净值的0.5%时，基金管理人应当公告，并报中国证监会备案。</w:t>
      </w:r>
    </w:p>
    <w:p w14:paraId="62431A42">
      <w:pPr>
        <w:adjustRightInd w:val="0"/>
        <w:snapToGrid w:val="0"/>
        <w:spacing w:line="360" w:lineRule="auto"/>
        <w:ind w:firstLine="422" w:firstLineChars="201"/>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（3）前述内容如法律法规或监管机关另有规定的，从其规定处理。如果行业另有通行做法，基金管理人、基金托管人应本着平等和保护基金份额持有人利益的原则进行协商。</w:t>
      </w:r>
    </w:p>
    <w:p w14:paraId="1CE79959">
      <w:pPr>
        <w:adjustRightInd w:val="0"/>
        <w:snapToGrid w:val="0"/>
        <w:spacing w:line="360" w:lineRule="auto"/>
        <w:ind w:firstLine="424" w:firstLineChars="201"/>
        <w:rPr>
          <w:rFonts w:ascii="宋体" w:hAnsi="宋体"/>
          <w:b/>
          <w:kern w:val="0"/>
        </w:rPr>
      </w:pPr>
      <w:r>
        <w:rPr>
          <w:rFonts w:hint="eastAsia" w:ascii="宋体" w:hAnsi="宋体"/>
          <w:b/>
          <w:kern w:val="0"/>
        </w:rPr>
        <w:t>七、暂停估值的情形</w:t>
      </w:r>
    </w:p>
    <w:p w14:paraId="1E2D10B5">
      <w:pPr>
        <w:adjustRightInd w:val="0"/>
        <w:snapToGrid w:val="0"/>
        <w:spacing w:line="360" w:lineRule="auto"/>
        <w:ind w:firstLine="422" w:firstLineChars="201"/>
        <w:rPr>
          <w:rFonts w:ascii="宋体" w:hAnsi="宋体"/>
          <w:kern w:val="0"/>
        </w:rPr>
      </w:pPr>
      <w:r>
        <w:rPr>
          <w:rFonts w:hint="eastAsia" w:ascii="宋体" w:hAnsi="宋体"/>
          <w:kern w:val="0"/>
        </w:rPr>
        <w:t>1、基金投资所涉及的证券/期货交易市场或外汇市场遇法定节假日或因其他原因暂停营业时；</w:t>
      </w:r>
    </w:p>
    <w:p w14:paraId="2ACA329D">
      <w:pPr>
        <w:adjustRightInd w:val="0"/>
        <w:snapToGrid w:val="0"/>
        <w:spacing w:line="360" w:lineRule="auto"/>
        <w:ind w:firstLine="422" w:firstLineChars="201"/>
        <w:rPr>
          <w:rFonts w:ascii="宋体" w:hAnsi="宋体"/>
          <w:kern w:val="0"/>
        </w:rPr>
      </w:pPr>
      <w:r>
        <w:rPr>
          <w:rFonts w:hint="eastAsia" w:ascii="宋体" w:hAnsi="宋体"/>
          <w:kern w:val="0"/>
        </w:rPr>
        <w:t>2、因不可抗力致使基金管理人、基金托管人无法准确评估基金资产价值时；</w:t>
      </w:r>
    </w:p>
    <w:p w14:paraId="294B3B4E">
      <w:pPr>
        <w:adjustRightInd w:val="0"/>
        <w:snapToGrid w:val="0"/>
        <w:spacing w:line="360" w:lineRule="auto"/>
        <w:ind w:firstLine="422" w:firstLineChars="201"/>
        <w:rPr>
          <w:rFonts w:ascii="宋体" w:hAnsi="宋体"/>
          <w:kern w:val="0"/>
        </w:rPr>
      </w:pPr>
      <w:r>
        <w:rPr>
          <w:rFonts w:hint="eastAsia" w:ascii="宋体" w:hAnsi="宋体"/>
          <w:kern w:val="0"/>
        </w:rPr>
        <w:t>3、当前一估值日基金资产净值50%以上的资产出现无可参考的活跃市场价格且采用估值技术仍导致公允价值存在重大不确定性时，经与基金托管人协商确认后，基金管理人应当暂停估值；</w:t>
      </w:r>
    </w:p>
    <w:p w14:paraId="69AE8F58">
      <w:pPr>
        <w:adjustRightInd w:val="0"/>
        <w:snapToGrid w:val="0"/>
        <w:spacing w:line="360" w:lineRule="auto"/>
        <w:ind w:firstLine="422" w:firstLineChars="201"/>
        <w:rPr>
          <w:rFonts w:ascii="宋体" w:hAnsi="宋体"/>
        </w:rPr>
      </w:pPr>
      <w:r>
        <w:rPr>
          <w:rFonts w:hint="eastAsia" w:ascii="宋体" w:hAnsi="宋体"/>
          <w:kern w:val="0"/>
        </w:rPr>
        <w:t>4、中国证监会和基金合同认定的其它情形。</w:t>
      </w:r>
    </w:p>
    <w:p w14:paraId="365DA51B">
      <w:pPr>
        <w:adjustRightInd w:val="0"/>
        <w:snapToGrid w:val="0"/>
        <w:spacing w:line="360" w:lineRule="auto"/>
        <w:ind w:firstLine="424" w:firstLineChars="201"/>
        <w:rPr>
          <w:rFonts w:ascii="宋体" w:hAnsi="宋体"/>
          <w:b/>
          <w:kern w:val="0"/>
        </w:rPr>
      </w:pPr>
      <w:r>
        <w:rPr>
          <w:rFonts w:hint="eastAsia" w:ascii="宋体" w:hAnsi="宋体"/>
          <w:b/>
          <w:kern w:val="0"/>
        </w:rPr>
        <w:t>八、基金净值的确认</w:t>
      </w:r>
    </w:p>
    <w:p w14:paraId="1F441BB7">
      <w:pPr>
        <w:adjustRightInd w:val="0"/>
        <w:snapToGrid w:val="0"/>
        <w:spacing w:line="360" w:lineRule="auto"/>
        <w:ind w:firstLine="422" w:firstLineChars="201"/>
        <w:rPr>
          <w:rFonts w:ascii="宋体" w:hAnsi="宋体"/>
          <w:kern w:val="0"/>
        </w:rPr>
      </w:pPr>
      <w:r>
        <w:rPr>
          <w:rFonts w:hint="eastAsia" w:ascii="宋体" w:hAnsi="宋体"/>
          <w:kern w:val="0"/>
        </w:rPr>
        <w:t>基金资产净值和基金份额净值由基金管理人负责计算，基金托管人负责进行复核。基金管理人应于每个工作日交易结束后计算当日的基金资产净值和基金份额净值并发送给基金托管人。基金托管人对净值计算结果复核确认后发送给基金管理人，由基金管理人按规定对基金净值予以公布。</w:t>
      </w:r>
    </w:p>
    <w:p w14:paraId="1A61E665">
      <w:pPr>
        <w:spacing w:line="360" w:lineRule="auto"/>
        <w:ind w:firstLine="422" w:firstLineChars="200"/>
        <w:rPr>
          <w:rFonts w:ascii="宋体" w:hAnsi="宋体" w:cs="Arial"/>
          <w:b/>
          <w:szCs w:val="21"/>
        </w:rPr>
      </w:pPr>
      <w:r>
        <w:rPr>
          <w:rFonts w:hint="eastAsia" w:ascii="宋体" w:hAnsi="宋体" w:cs="Arial"/>
          <w:b/>
          <w:szCs w:val="21"/>
        </w:rPr>
        <w:t>九、</w:t>
      </w:r>
      <w:r>
        <w:rPr>
          <w:rFonts w:ascii="宋体" w:hAnsi="宋体" w:cs="Arial"/>
          <w:b/>
          <w:szCs w:val="21"/>
        </w:rPr>
        <w:t>特殊情况的处理</w:t>
      </w:r>
    </w:p>
    <w:p w14:paraId="2124C283">
      <w:pPr>
        <w:adjustRightInd w:val="0"/>
        <w:snapToGrid w:val="0"/>
        <w:spacing w:line="360" w:lineRule="auto"/>
        <w:ind w:firstLine="420" w:firstLineChars="200"/>
        <w:rPr>
          <w:rFonts w:ascii="宋体" w:hAnsi="宋体" w:cs="Arial"/>
          <w:bCs/>
          <w:szCs w:val="21"/>
        </w:rPr>
      </w:pPr>
      <w:r>
        <w:rPr>
          <w:rFonts w:hint="eastAsia" w:ascii="宋体" w:hAnsi="宋体" w:cs="Arial"/>
          <w:bCs/>
          <w:szCs w:val="21"/>
        </w:rPr>
        <w:t>1、基金管理人或基金托管人按估值方法的第13项进行估值时，所造成的误差不作为基金资产估值错误处理。</w:t>
      </w:r>
    </w:p>
    <w:p w14:paraId="59C12CE3">
      <w:pPr>
        <w:adjustRightInd w:val="0"/>
        <w:snapToGrid w:val="0"/>
        <w:spacing w:line="360" w:lineRule="auto"/>
        <w:ind w:firstLine="420" w:firstLineChars="200"/>
        <w:rPr>
          <w:rFonts w:ascii="宋体" w:hAnsi="宋体" w:cs="Arial"/>
          <w:b/>
          <w:bCs/>
          <w:sz w:val="28"/>
          <w:szCs w:val="28"/>
        </w:rPr>
        <w:sectPr>
          <w:footerReference r:id="rId34" w:type="first"/>
          <w:footerReference r:id="rId33" w:type="default"/>
          <w:pgSz w:w="11906" w:h="16838"/>
          <w:pgMar w:top="1440" w:right="1800" w:bottom="1440" w:left="1800" w:header="851" w:footer="992" w:gutter="0"/>
          <w:pgNumType w:start="1"/>
          <w:cols w:space="720" w:num="1"/>
          <w:docGrid w:linePitch="312" w:charSpace="0"/>
        </w:sectPr>
      </w:pPr>
      <w:r>
        <w:rPr>
          <w:rFonts w:hint="eastAsia" w:ascii="宋体" w:hAnsi="宋体" w:cs="Arial"/>
          <w:bCs/>
          <w:szCs w:val="21"/>
        </w:rPr>
        <w:t>2、由于不可抗力原因，或证券/期货交易所、指数编制机构及登记结算公司等第三方机构发送的数据错误、遗漏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w:t>
      </w:r>
    </w:p>
    <w:p w14:paraId="233C3E2B">
      <w:pPr>
        <w:pStyle w:val="2"/>
        <w:snapToGrid w:val="0"/>
        <w:spacing w:before="0" w:after="0" w:line="360" w:lineRule="auto"/>
        <w:ind w:firstLine="141" w:firstLineChars="50"/>
        <w:rPr>
          <w:rFonts w:hAnsi="宋体" w:eastAsia="宋体" w:cs="Arial"/>
          <w:b/>
          <w:bCs/>
          <w:sz w:val="28"/>
          <w:szCs w:val="28"/>
        </w:rPr>
      </w:pPr>
      <w:bookmarkStart w:id="76" w:name="_Toc16568"/>
      <w:r>
        <w:rPr>
          <w:rFonts w:hAnsi="宋体" w:eastAsia="宋体" w:cs="Arial"/>
          <w:b/>
          <w:bCs/>
          <w:sz w:val="28"/>
          <w:szCs w:val="28"/>
        </w:rPr>
        <w:t>第十</w:t>
      </w:r>
      <w:r>
        <w:rPr>
          <w:rFonts w:hint="eastAsia" w:hAnsi="宋体" w:eastAsia="宋体" w:cs="Arial"/>
          <w:b/>
          <w:bCs/>
          <w:sz w:val="28"/>
          <w:szCs w:val="28"/>
        </w:rPr>
        <w:t xml:space="preserve">四部分 </w:t>
      </w:r>
      <w:bookmarkEnd w:id="74"/>
      <w:r>
        <w:rPr>
          <w:rFonts w:hint="eastAsia" w:hAnsi="宋体" w:eastAsia="宋体" w:cs="Arial"/>
          <w:b/>
          <w:bCs/>
          <w:sz w:val="28"/>
          <w:szCs w:val="28"/>
        </w:rPr>
        <w:t xml:space="preserve"> 基金的收益与分配</w:t>
      </w:r>
      <w:bookmarkEnd w:id="75"/>
      <w:bookmarkEnd w:id="76"/>
    </w:p>
    <w:p w14:paraId="7BAE1E98">
      <w:pPr>
        <w:spacing w:line="360" w:lineRule="auto"/>
        <w:rPr>
          <w:rFonts w:ascii="宋体" w:hAnsi="宋体"/>
        </w:rPr>
      </w:pPr>
    </w:p>
    <w:p w14:paraId="193AC39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一、基金收益分配原则</w:t>
      </w:r>
    </w:p>
    <w:p w14:paraId="4DDDB20F">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1、本基金的收益分配方式为现金分红；</w:t>
      </w:r>
    </w:p>
    <w:p w14:paraId="3089C99C">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2、基金管理人可每季度对基金相对标的指数的超额收益率以及基金的可供分配利润进行评价，在符合基金分红条件的前提下，本基金可每季度进行收益分配。评价时间、分配时间、分配方案及每次基金收益分配数额等内容，基金管理人可以根据实际情况确定并按照有关规定公告；</w:t>
      </w:r>
    </w:p>
    <w:p w14:paraId="6CA78F8F">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3、每一基金份额享有同等分配权；</w:t>
      </w:r>
    </w:p>
    <w:p w14:paraId="67F4EC33">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4、法律法规或监管机构另有规定的，从其规定。在不违反法律法规、基金合同的约定以及对基金份额持有人利益无实质性不利影响的情况下，基金管理人在履行适当程序后，可调整基金收益的分配原则和支付方式，但应于变更实施日前在规定媒介上公告。</w:t>
      </w:r>
    </w:p>
    <w:p w14:paraId="546935A1">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二</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、基金收益分配比例及金额的确定原则</w:t>
      </w:r>
    </w:p>
    <w:p w14:paraId="5756E139">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1、在收益评价日，基金管理人计算基金份额净值增长率、标的指数同期增长率。</w:t>
      </w:r>
    </w:p>
    <w:p w14:paraId="03E9236E">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基金收益评价日本基金相对标的指数的超额收益率＝基金份额净值增长率－标的指数同期增长率。</w:t>
      </w:r>
    </w:p>
    <w:p w14:paraId="084C8EF5">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基金份额净值增长率为收益评价日基金份额净值与基金上市前一交易日基金份额净值之比减去1乘以100%；标的指数同期增长率为收益评价日标的指数收盘价与基金上市前一交易日标的指数收盘价之比减去1乘以100%。</w:t>
      </w:r>
    </w:p>
    <w:p w14:paraId="1A95FAC0">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期间如发生基金份额折算、拆分或合并，则以基金份额折算日、经拆分或合并调整后的基金份额折算日为初始日重新计算上述指标。</w:t>
      </w:r>
    </w:p>
    <w:p w14:paraId="3F9B12A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收益评价日日期以本基金日后相关公告为准。</w:t>
      </w:r>
    </w:p>
    <w:p w14:paraId="4DFF11B5">
      <w:pPr>
        <w:numPr>
          <w:ilvl w:val="255"/>
          <w:numId w:val="0"/>
        </w:num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2、</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基金可供分配利润指截至收益分配基准日基金未分配利润与未分配利润中已实现收益的孰低数。</w:t>
      </w:r>
    </w:p>
    <w:p w14:paraId="21BC43F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3、根据前述收益分配原则计算截至基金收益评价日本基金的超额收益率及基金可供分配利润，并确定收益分配比例。</w:t>
      </w:r>
    </w:p>
    <w:p w14:paraId="7DADC944">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4、根据前述超额收益率、可供分配利润及收益分配比例计算收益分配金额。</w:t>
      </w:r>
    </w:p>
    <w:p w14:paraId="2423723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三</w:t>
      </w:r>
      <w:r>
        <w:rPr>
          <w:rFonts w:hint="eastAsia" w:asciiTheme="minorEastAsia" w:hAnsiTheme="minorEastAsia"/>
          <w:color w:val="0D0D0D" w:themeColor="text1" w:themeTint="F2"/>
          <w14:textFill>
            <w14:solidFill>
              <w14:schemeClr w14:val="tx1">
                <w14:lumMod w14:val="95000"/>
                <w14:lumOff w14:val="5000"/>
              </w14:schemeClr>
            </w14:solidFill>
          </w14:textFill>
        </w:rPr>
        <w:t>、收益分配方案</w:t>
      </w:r>
    </w:p>
    <w:p w14:paraId="44B99B4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基金收益分配方案中应载明基金收益分配对象、分配时间、分配数额及比例、分配方式等内容。</w:t>
      </w:r>
    </w:p>
    <w:p w14:paraId="0A8CF66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四</w:t>
      </w:r>
      <w:r>
        <w:rPr>
          <w:rFonts w:hint="eastAsia" w:asciiTheme="minorEastAsia" w:hAnsiTheme="minorEastAsia"/>
          <w:color w:val="0D0D0D" w:themeColor="text1" w:themeTint="F2"/>
          <w14:textFill>
            <w14:solidFill>
              <w14:schemeClr w14:val="tx1">
                <w14:lumMod w14:val="95000"/>
                <w14:lumOff w14:val="5000"/>
              </w14:schemeClr>
            </w14:solidFill>
          </w14:textFill>
        </w:rPr>
        <w:t>、收益分配方案的确定、公告与实施</w:t>
      </w:r>
    </w:p>
    <w:p w14:paraId="383A4AE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w:t>
      </w:r>
      <w:r>
        <w:rPr>
          <w:rFonts w:hint="eastAsia" w:asciiTheme="minorEastAsia" w:hAnsiTheme="minorEastAsia"/>
          <w:color w:val="0D0D0D" w:themeColor="text1" w:themeTint="F2"/>
          <w14:textFill>
            <w14:solidFill>
              <w14:schemeClr w14:val="tx1">
                <w14:lumMod w14:val="95000"/>
                <w14:lumOff w14:val="5000"/>
              </w14:schemeClr>
            </w14:solidFill>
          </w14:textFill>
        </w:rPr>
        <w:t>基金收益分配</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方案由</w:t>
      </w:r>
      <w:r>
        <w:rPr>
          <w:rFonts w:hint="eastAsia" w:asciiTheme="minorEastAsia" w:hAnsiTheme="minorEastAsia"/>
          <w:color w:val="0D0D0D" w:themeColor="text1" w:themeTint="F2"/>
          <w14:textFill>
            <w14:solidFill>
              <w14:schemeClr w14:val="tx1">
                <w14:lumMod w14:val="95000"/>
                <w14:lumOff w14:val="5000"/>
              </w14:schemeClr>
            </w14:solidFill>
          </w14:textFill>
        </w:rPr>
        <w:t>基金</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管理人拟定，并由</w:t>
      </w:r>
      <w:r>
        <w:rPr>
          <w:rFonts w:hint="eastAsia" w:asciiTheme="minorEastAsia" w:hAnsiTheme="minorEastAsia"/>
          <w:color w:val="0D0D0D" w:themeColor="text1" w:themeTint="F2"/>
          <w14:textFill>
            <w14:solidFill>
              <w14:schemeClr w14:val="tx1">
                <w14:lumMod w14:val="95000"/>
                <w14:lumOff w14:val="5000"/>
              </w14:schemeClr>
            </w14:solidFill>
          </w14:textFill>
        </w:rPr>
        <w:t>基金</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托管人复核</w:t>
      </w:r>
      <w:r>
        <w:rPr>
          <w:rFonts w:hint="eastAsia" w:asciiTheme="minorEastAsia" w:hAnsiTheme="minorEastAsia"/>
          <w:color w:val="0D0D0D" w:themeColor="text1" w:themeTint="F2"/>
          <w14:textFill>
            <w14:solidFill>
              <w14:schemeClr w14:val="tx1">
                <w14:lumMod w14:val="95000"/>
                <w14:lumOff w14:val="5000"/>
              </w14:schemeClr>
            </w14:solidFill>
          </w14:textFill>
        </w:rPr>
        <w:t>，依照</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《信息披露办法》在规定媒介公告</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5C00490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五、基金收益分配中发生的费用</w:t>
      </w:r>
    </w:p>
    <w:p w14:paraId="40038902">
      <w:pPr>
        <w:spacing w:line="360" w:lineRule="auto"/>
        <w:ind w:firstLine="420" w:firstLineChars="200"/>
        <w:rPr>
          <w:rFonts w:ascii="宋体" w:hAnsi="宋体" w:cs="Arial"/>
          <w:szCs w:val="21"/>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基金收益分配时所发生的银行转账或其他手续费用由投资者自行承担。</w:t>
      </w:r>
    </w:p>
    <w:p w14:paraId="4FE2F0BF">
      <w:pPr>
        <w:pStyle w:val="2"/>
        <w:snapToGrid w:val="0"/>
        <w:spacing w:before="0" w:after="0" w:line="360" w:lineRule="auto"/>
        <w:ind w:firstLine="120" w:firstLineChars="50"/>
        <w:rPr>
          <w:rFonts w:hAnsi="宋体" w:eastAsia="宋体" w:cs="Arial"/>
        </w:rPr>
        <w:sectPr>
          <w:footerReference r:id="rId36" w:type="first"/>
          <w:footerReference r:id="rId35" w:type="default"/>
          <w:pgSz w:w="11906" w:h="16838"/>
          <w:pgMar w:top="1440" w:right="1800" w:bottom="1440" w:left="1800" w:header="851" w:footer="992" w:gutter="0"/>
          <w:pgNumType w:start="1"/>
          <w:cols w:space="720" w:num="1"/>
          <w:docGrid w:linePitch="312" w:charSpace="0"/>
        </w:sectPr>
      </w:pPr>
      <w:bookmarkStart w:id="77" w:name="_Toc21073401"/>
      <w:bookmarkStart w:id="78" w:name="_Toc12357181"/>
      <w:bookmarkStart w:id="79" w:name="_Toc147463128"/>
      <w:bookmarkStart w:id="80" w:name="_Toc214873602"/>
    </w:p>
    <w:p w14:paraId="0686CAA6">
      <w:pPr>
        <w:pStyle w:val="2"/>
        <w:snapToGrid w:val="0"/>
        <w:spacing w:before="0" w:after="0" w:line="360" w:lineRule="auto"/>
        <w:ind w:firstLine="141" w:firstLineChars="50"/>
        <w:rPr>
          <w:rFonts w:hAnsi="宋体" w:eastAsia="宋体" w:cs="Arial"/>
          <w:b/>
          <w:bCs/>
          <w:sz w:val="28"/>
          <w:szCs w:val="28"/>
        </w:rPr>
      </w:pPr>
      <w:bookmarkStart w:id="81" w:name="_Toc11221"/>
      <w:r>
        <w:rPr>
          <w:rFonts w:hAnsi="宋体" w:eastAsia="宋体" w:cs="Arial"/>
          <w:b/>
          <w:bCs/>
          <w:sz w:val="28"/>
          <w:szCs w:val="28"/>
        </w:rPr>
        <w:t>第十</w:t>
      </w:r>
      <w:r>
        <w:rPr>
          <w:rFonts w:hint="eastAsia" w:hAnsi="宋体" w:eastAsia="宋体" w:cs="Arial"/>
          <w:b/>
          <w:bCs/>
          <w:sz w:val="28"/>
          <w:szCs w:val="28"/>
        </w:rPr>
        <w:t>五</w:t>
      </w:r>
      <w:r>
        <w:rPr>
          <w:rFonts w:hAnsi="宋体" w:eastAsia="宋体" w:cs="Arial"/>
          <w:b/>
          <w:bCs/>
          <w:sz w:val="28"/>
          <w:szCs w:val="28"/>
        </w:rPr>
        <w:t>部分  基金费用与税收</w:t>
      </w:r>
      <w:bookmarkEnd w:id="77"/>
      <w:bookmarkEnd w:id="78"/>
      <w:bookmarkEnd w:id="79"/>
      <w:bookmarkEnd w:id="80"/>
      <w:bookmarkEnd w:id="81"/>
    </w:p>
    <w:p w14:paraId="75838578">
      <w:pPr>
        <w:spacing w:line="360" w:lineRule="auto"/>
        <w:rPr>
          <w:rFonts w:ascii="宋体" w:hAnsi="宋体"/>
        </w:rPr>
      </w:pPr>
    </w:p>
    <w:p w14:paraId="7D493FCC">
      <w:pPr>
        <w:spacing w:line="360" w:lineRule="auto"/>
        <w:ind w:firstLine="422" w:firstLineChars="200"/>
        <w:rPr>
          <w:rFonts w:ascii="宋体" w:hAnsi="宋体" w:cs="Arial"/>
          <w:b/>
          <w:kern w:val="0"/>
          <w:szCs w:val="21"/>
        </w:rPr>
      </w:pPr>
      <w:r>
        <w:rPr>
          <w:rFonts w:ascii="宋体" w:hAnsi="宋体" w:cs="Arial"/>
          <w:b/>
          <w:kern w:val="0"/>
          <w:szCs w:val="21"/>
        </w:rPr>
        <w:t>一、基金费用的种类</w:t>
      </w:r>
    </w:p>
    <w:p w14:paraId="104A5C7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1、基金管理人的管理费；</w:t>
      </w:r>
    </w:p>
    <w:p w14:paraId="2574420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2、基金托管人的托管费；</w:t>
      </w:r>
    </w:p>
    <w:p w14:paraId="5BAAACE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3、基金的证券、期货、股票期权交易费用；</w:t>
      </w:r>
    </w:p>
    <w:p w14:paraId="1ECD380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4、《基金合同》生效后与基金相关的信息披露费用，但法律法规、中国证监会另有规定的除外；</w:t>
      </w:r>
    </w:p>
    <w:p w14:paraId="204B754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5、《基金合同》生效后与基金相关的会计师费、律师费、仲裁费和诉讼费；</w:t>
      </w:r>
    </w:p>
    <w:p w14:paraId="6997B47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6、基金份额持有人大会费用；</w:t>
      </w:r>
    </w:p>
    <w:p w14:paraId="7976335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7、基金银行汇划费用、账户开户及维护费用；</w:t>
      </w:r>
    </w:p>
    <w:p w14:paraId="4E28F59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8、基金上市费及年费、场内注册登记费用、IOPV计算与发布费用；</w:t>
      </w:r>
    </w:p>
    <w:p w14:paraId="3EC5320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9、收益分配中发生的费用</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（银行转账或其他手续费用除外）</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25A5339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10、因投资港股通标的股票而产生的各项合理费用；</w:t>
      </w:r>
    </w:p>
    <w:p w14:paraId="4E7D5D7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11、基金依照有关法律法规应当缴纳的，购买或处置证券有关的任何税收、征费、关税、印花税、及预扣提税（以及与前述各项有关的任何利息及费用）（简称“税收”），及基金缴纳税收有关的手续费、汇款费、顾问费等；</w:t>
      </w:r>
    </w:p>
    <w:p w14:paraId="1BF4598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12、按照国家有关规定和《基金合同》约定，可以在基金财产中列支的其他费用。</w:t>
      </w:r>
    </w:p>
    <w:p w14:paraId="123EBB47">
      <w:pPr>
        <w:adjustRightInd w:val="0"/>
        <w:snapToGrid w:val="0"/>
        <w:spacing w:line="360" w:lineRule="auto"/>
        <w:ind w:firstLine="422" w:firstLineChars="200"/>
        <w:rPr>
          <w:rFonts w:ascii="宋体" w:hAnsi="宋体" w:cs="Arial"/>
          <w:b/>
          <w:kern w:val="0"/>
          <w:szCs w:val="21"/>
        </w:rPr>
      </w:pPr>
      <w:r>
        <w:rPr>
          <w:rFonts w:hint="eastAsia" w:ascii="宋体" w:hAnsi="宋体" w:cs="Arial"/>
          <w:b/>
          <w:kern w:val="0"/>
          <w:szCs w:val="21"/>
        </w:rPr>
        <w:t>二、基金费用计提方法、计提标准和支付方式</w:t>
      </w:r>
    </w:p>
    <w:p w14:paraId="79B00D2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1、基金管理人的管理费</w:t>
      </w:r>
    </w:p>
    <w:p w14:paraId="68B61EC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本基金的管理费按前一日基金资产净值的0.50%年费率计提。管理费的计算方法如下：</w:t>
      </w:r>
    </w:p>
    <w:p w14:paraId="1A508E0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H＝E×0.50%÷当年天数</w:t>
      </w:r>
    </w:p>
    <w:p w14:paraId="1157A75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H为每日应计提的基金管理费</w:t>
      </w:r>
    </w:p>
    <w:p w14:paraId="1CF89B8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E为前一日的基金资产净值</w:t>
      </w:r>
    </w:p>
    <w:p w14:paraId="0CE565A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管理费每日计提，逐日累计至每月月末，按月支付，由基金管理人于次月5个工作日内向基金托管人发送基金管理费划款指令，基金托管人于收到指令当日复核后从基金财产中一次性支付给基金管理人。若遇法定节假日、休息日或不可抗力致使无法按时支付的，顺延至法定节假日、休息日结束之日起2个工作日内或不可抗力情形消除之日起2个工作日内支付。</w:t>
      </w:r>
    </w:p>
    <w:p w14:paraId="2C2DA44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2、基金托管人的托管费</w:t>
      </w:r>
    </w:p>
    <w:p w14:paraId="6140944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本基金的托管费按前一日基金资产净值的0.10%年费率计提。托管费的计算方法如下：</w:t>
      </w:r>
    </w:p>
    <w:p w14:paraId="50E5CD1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H＝E×0.10%÷当年天数</w:t>
      </w:r>
    </w:p>
    <w:p w14:paraId="36A8BB1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H为每日应计提的基金托管费</w:t>
      </w:r>
    </w:p>
    <w:p w14:paraId="303E95C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E为前一日的基金资产净值</w:t>
      </w:r>
    </w:p>
    <w:p w14:paraId="7E3776C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托管费每日计提，逐日累计至每月月末，按月支付，由基金管理人于次月5个工作日内向基金托管人发送基金托管费划款指令，基金托管人于收到指令当日复核后从基金财产中一次性支取。若遇法定节假日、休息日或不可抗力致使无法按时支取的，顺延至法定节假日、休息日结束之日起2个工作日内或不可抗力情形消除之日起2个工作日内支取。</w:t>
      </w:r>
    </w:p>
    <w:p w14:paraId="64FE4473">
      <w:pPr>
        <w:adjustRightInd w:val="0"/>
        <w:snapToGrid w:val="0"/>
        <w:spacing w:line="360" w:lineRule="auto"/>
        <w:ind w:firstLine="420" w:firstLineChars="200"/>
        <w:rPr>
          <w:rFonts w:ascii="宋体" w:hAnsi="宋体" w:cs="Arial"/>
          <w:bCs/>
          <w:kern w:val="0"/>
          <w:szCs w:val="21"/>
        </w:rPr>
      </w:pPr>
      <w:r>
        <w:rPr>
          <w:rFonts w:hint="eastAsia" w:ascii="宋体" w:hAnsi="宋体" w:cs="Arial"/>
          <w:bCs/>
          <w:kern w:val="0"/>
          <w:szCs w:val="21"/>
        </w:rPr>
        <w:t>上述“一、基金费用的种类”中第3－12项费用，根据有关法规及相应协议规定，按费用实际支出金额列入当期费用，由基金托管人从基金财产中支付。</w:t>
      </w:r>
    </w:p>
    <w:p w14:paraId="718DDAEB">
      <w:pPr>
        <w:adjustRightInd w:val="0"/>
        <w:snapToGrid w:val="0"/>
        <w:spacing w:line="360" w:lineRule="auto"/>
        <w:ind w:firstLine="422" w:firstLineChars="200"/>
        <w:rPr>
          <w:rFonts w:ascii="宋体" w:hAnsi="宋体" w:cs="Arial"/>
          <w:b/>
          <w:kern w:val="0"/>
          <w:szCs w:val="21"/>
        </w:rPr>
      </w:pPr>
      <w:r>
        <w:rPr>
          <w:rFonts w:hint="eastAsia" w:ascii="宋体" w:hAnsi="宋体" w:cs="Arial"/>
          <w:b/>
          <w:kern w:val="0"/>
          <w:szCs w:val="21"/>
        </w:rPr>
        <w:t>三、不列入基金费用的项目</w:t>
      </w:r>
    </w:p>
    <w:p w14:paraId="59DBE987">
      <w:pPr>
        <w:adjustRightInd w:val="0"/>
        <w:snapToGrid w:val="0"/>
        <w:spacing w:line="360" w:lineRule="auto"/>
        <w:ind w:firstLine="420" w:firstLineChars="200"/>
        <w:rPr>
          <w:rFonts w:ascii="宋体" w:hAnsi="宋体" w:cs="Arial"/>
          <w:bCs/>
          <w:kern w:val="0"/>
          <w:szCs w:val="21"/>
        </w:rPr>
      </w:pPr>
      <w:r>
        <w:rPr>
          <w:rFonts w:hint="eastAsia" w:ascii="宋体" w:hAnsi="宋体" w:cs="Arial"/>
          <w:bCs/>
          <w:kern w:val="0"/>
          <w:szCs w:val="21"/>
        </w:rPr>
        <w:t>下列费用不列入基金费用：</w:t>
      </w:r>
    </w:p>
    <w:p w14:paraId="35D2976B">
      <w:pPr>
        <w:adjustRightInd w:val="0"/>
        <w:snapToGrid w:val="0"/>
        <w:spacing w:line="360" w:lineRule="auto"/>
        <w:ind w:firstLine="420" w:firstLineChars="200"/>
        <w:rPr>
          <w:rFonts w:ascii="宋体" w:hAnsi="宋体" w:cs="Arial"/>
          <w:bCs/>
          <w:kern w:val="0"/>
          <w:szCs w:val="21"/>
        </w:rPr>
      </w:pPr>
      <w:r>
        <w:rPr>
          <w:rFonts w:hint="eastAsia" w:ascii="宋体" w:hAnsi="宋体" w:cs="Arial"/>
          <w:bCs/>
          <w:kern w:val="0"/>
          <w:szCs w:val="21"/>
        </w:rPr>
        <w:t>1、基金管理人和基金托管人因未履行或未完全履行义务导致的费用支出或基金财产的损失；</w:t>
      </w:r>
    </w:p>
    <w:p w14:paraId="588D45E8">
      <w:pPr>
        <w:adjustRightInd w:val="0"/>
        <w:snapToGrid w:val="0"/>
        <w:spacing w:line="360" w:lineRule="auto"/>
        <w:ind w:firstLine="420" w:firstLineChars="200"/>
        <w:rPr>
          <w:rFonts w:ascii="宋体" w:hAnsi="宋体" w:cs="Arial"/>
          <w:bCs/>
          <w:kern w:val="0"/>
          <w:szCs w:val="21"/>
        </w:rPr>
      </w:pPr>
      <w:r>
        <w:rPr>
          <w:rFonts w:hint="eastAsia" w:ascii="宋体" w:hAnsi="宋体" w:cs="Arial"/>
          <w:bCs/>
          <w:kern w:val="0"/>
          <w:szCs w:val="21"/>
        </w:rPr>
        <w:t>2、基金管理人和基金托管人处理与基金运作无关的事项发生的费用；</w:t>
      </w:r>
    </w:p>
    <w:p w14:paraId="63D4650F">
      <w:pPr>
        <w:adjustRightInd w:val="0"/>
        <w:snapToGrid w:val="0"/>
        <w:spacing w:line="360" w:lineRule="auto"/>
        <w:ind w:firstLine="420" w:firstLineChars="200"/>
        <w:rPr>
          <w:rFonts w:ascii="宋体" w:hAnsi="宋体" w:cs="Arial"/>
          <w:bCs/>
          <w:kern w:val="0"/>
          <w:szCs w:val="21"/>
        </w:rPr>
      </w:pPr>
      <w:r>
        <w:rPr>
          <w:rFonts w:hint="eastAsia" w:ascii="宋体" w:hAnsi="宋体" w:cs="Arial"/>
          <w:bCs/>
          <w:kern w:val="0"/>
          <w:szCs w:val="21"/>
        </w:rPr>
        <w:t>3、《基金合同》生效前的相关费用；</w:t>
      </w:r>
    </w:p>
    <w:p w14:paraId="3F0D2AF6">
      <w:pPr>
        <w:adjustRightInd w:val="0"/>
        <w:snapToGrid w:val="0"/>
        <w:spacing w:line="360" w:lineRule="auto"/>
        <w:ind w:firstLine="420" w:firstLineChars="200"/>
        <w:rPr>
          <w:rFonts w:ascii="宋体" w:hAnsi="宋体" w:cs="Arial"/>
          <w:bCs/>
          <w:kern w:val="0"/>
          <w:szCs w:val="21"/>
        </w:rPr>
      </w:pPr>
      <w:r>
        <w:rPr>
          <w:rFonts w:hint="eastAsia" w:ascii="宋体" w:hAnsi="宋体" w:cs="Arial"/>
          <w:bCs/>
          <w:kern w:val="0"/>
          <w:szCs w:val="21"/>
        </w:rPr>
        <w:t>4、指数许可使用费</w:t>
      </w:r>
    </w:p>
    <w:p w14:paraId="5DCAE92F">
      <w:pPr>
        <w:adjustRightInd w:val="0"/>
        <w:snapToGrid w:val="0"/>
        <w:spacing w:line="360" w:lineRule="auto"/>
        <w:ind w:firstLine="420" w:firstLineChars="200"/>
        <w:rPr>
          <w:rFonts w:ascii="宋体" w:hAnsi="宋体" w:cs="Arial"/>
          <w:bCs/>
          <w:kern w:val="0"/>
          <w:szCs w:val="21"/>
        </w:rPr>
      </w:pPr>
      <w:r>
        <w:rPr>
          <w:rFonts w:hint="eastAsia" w:ascii="宋体" w:hAnsi="宋体" w:cs="Arial"/>
          <w:bCs/>
          <w:kern w:val="0"/>
          <w:szCs w:val="21"/>
        </w:rPr>
        <w:t>由基金管理人承担，不得从基金财产中列支；</w:t>
      </w:r>
    </w:p>
    <w:p w14:paraId="1E35FD7B">
      <w:pPr>
        <w:adjustRightInd w:val="0"/>
        <w:snapToGrid w:val="0"/>
        <w:spacing w:line="360" w:lineRule="auto"/>
        <w:ind w:firstLine="420" w:firstLineChars="200"/>
        <w:rPr>
          <w:rFonts w:ascii="宋体" w:hAnsi="宋体" w:cs="Arial"/>
          <w:bCs/>
          <w:kern w:val="0"/>
          <w:szCs w:val="21"/>
        </w:rPr>
      </w:pPr>
      <w:r>
        <w:rPr>
          <w:rFonts w:hint="eastAsia" w:ascii="宋体" w:hAnsi="宋体" w:cs="Arial"/>
          <w:bCs/>
          <w:kern w:val="0"/>
          <w:szCs w:val="21"/>
        </w:rPr>
        <w:t>5、其他根据相关法律法规及中国证监会的有关规定不得列入基金费用的项目。</w:t>
      </w:r>
    </w:p>
    <w:p w14:paraId="37C1F8C6">
      <w:pPr>
        <w:adjustRightInd w:val="0"/>
        <w:snapToGrid w:val="0"/>
        <w:spacing w:line="360" w:lineRule="auto"/>
        <w:ind w:firstLine="422" w:firstLineChars="200"/>
        <w:rPr>
          <w:rFonts w:ascii="宋体" w:hAnsi="宋体" w:cs="Arial"/>
          <w:b/>
          <w:kern w:val="0"/>
          <w:szCs w:val="21"/>
        </w:rPr>
      </w:pPr>
      <w:r>
        <w:rPr>
          <w:rFonts w:hint="eastAsia" w:ascii="宋体" w:hAnsi="宋体" w:cs="Arial"/>
          <w:b/>
          <w:kern w:val="0"/>
          <w:szCs w:val="21"/>
        </w:rPr>
        <w:t>四、基金税收</w:t>
      </w:r>
    </w:p>
    <w:p w14:paraId="23FDF44E">
      <w:pPr>
        <w:adjustRightInd w:val="0"/>
        <w:snapToGrid w:val="0"/>
        <w:spacing w:line="360" w:lineRule="auto"/>
        <w:ind w:firstLine="420" w:firstLineChars="200"/>
        <w:rPr>
          <w:rFonts w:ascii="宋体" w:hAnsi="宋体" w:cs="Arial"/>
          <w:b/>
          <w:bCs/>
          <w:sz w:val="28"/>
          <w:szCs w:val="28"/>
        </w:rPr>
        <w:sectPr>
          <w:footerReference r:id="rId38" w:type="first"/>
          <w:footerReference r:id="rId37" w:type="default"/>
          <w:pgSz w:w="11906" w:h="16838"/>
          <w:pgMar w:top="1440" w:right="1800" w:bottom="1440" w:left="1800" w:header="851" w:footer="992" w:gutter="0"/>
          <w:pgNumType w:start="1"/>
          <w:cols w:space="720" w:num="1"/>
          <w:docGrid w:linePitch="312" w:charSpace="0"/>
        </w:sectPr>
      </w:pPr>
      <w:bookmarkStart w:id="82" w:name="_Toc214873603"/>
      <w:r>
        <w:rPr>
          <w:rFonts w:hint="eastAsia" w:ascii="宋体" w:hAnsi="宋体" w:cs="Arial"/>
          <w:bCs/>
          <w:kern w:val="0"/>
          <w:szCs w:val="21"/>
        </w:rPr>
        <w:t>本基金运作过程中涉及的各纳税主体，其纳税义务按国家税收法律、法规执行。基金财产投资的相关税收，由基金份额持有人承担，基金管理人或者其他扣缴义务人按照国家有关税收征收的规定代扣代缴。</w:t>
      </w:r>
    </w:p>
    <w:p w14:paraId="051B12F8">
      <w:pPr>
        <w:pStyle w:val="2"/>
        <w:snapToGrid w:val="0"/>
        <w:spacing w:before="0" w:after="0" w:line="360" w:lineRule="auto"/>
        <w:ind w:firstLine="141" w:firstLineChars="50"/>
        <w:rPr>
          <w:rFonts w:hAnsi="宋体" w:eastAsia="宋体" w:cs="Arial"/>
          <w:b/>
          <w:bCs/>
          <w:sz w:val="28"/>
          <w:szCs w:val="28"/>
        </w:rPr>
      </w:pPr>
      <w:bookmarkStart w:id="83" w:name="_Toc22079"/>
      <w:r>
        <w:rPr>
          <w:rFonts w:hAnsi="宋体" w:eastAsia="宋体" w:cs="Arial"/>
          <w:b/>
          <w:bCs/>
          <w:sz w:val="28"/>
          <w:szCs w:val="28"/>
        </w:rPr>
        <w:t>第十</w:t>
      </w:r>
      <w:r>
        <w:rPr>
          <w:rFonts w:hint="eastAsia" w:hAnsi="宋体" w:eastAsia="宋体" w:cs="Arial"/>
          <w:b/>
          <w:bCs/>
          <w:sz w:val="28"/>
          <w:szCs w:val="28"/>
        </w:rPr>
        <w:t>六</w:t>
      </w:r>
      <w:r>
        <w:rPr>
          <w:rFonts w:hAnsi="宋体" w:eastAsia="宋体" w:cs="Arial"/>
          <w:b/>
          <w:bCs/>
          <w:sz w:val="28"/>
          <w:szCs w:val="28"/>
        </w:rPr>
        <w:t>部分  基金的会计与审计</w:t>
      </w:r>
      <w:bookmarkEnd w:id="82"/>
      <w:bookmarkEnd w:id="83"/>
    </w:p>
    <w:p w14:paraId="5FC08030">
      <w:pPr>
        <w:spacing w:line="360" w:lineRule="auto"/>
        <w:ind w:firstLine="422" w:firstLineChars="200"/>
        <w:rPr>
          <w:rFonts w:ascii="宋体" w:hAnsi="宋体" w:cs="Arial"/>
          <w:b/>
          <w:szCs w:val="21"/>
        </w:rPr>
      </w:pPr>
      <w:bookmarkStart w:id="84" w:name="_Toc79978642"/>
      <w:bookmarkStart w:id="85" w:name="_Toc214873604"/>
      <w:r>
        <w:rPr>
          <w:rFonts w:hint="eastAsia" w:ascii="宋体" w:hAnsi="宋体" w:cs="Arial"/>
          <w:b/>
          <w:szCs w:val="21"/>
        </w:rPr>
        <w:t>一、</w:t>
      </w:r>
      <w:r>
        <w:rPr>
          <w:rFonts w:ascii="宋体" w:hAnsi="宋体" w:cs="Arial"/>
          <w:b/>
          <w:szCs w:val="21"/>
        </w:rPr>
        <w:t>基金的会计政策</w:t>
      </w:r>
    </w:p>
    <w:p w14:paraId="535AB019">
      <w:pPr>
        <w:spacing w:line="360" w:lineRule="auto"/>
        <w:ind w:firstLine="420" w:firstLineChars="200"/>
        <w:rPr>
          <w:rFonts w:ascii="宋体" w:hAnsi="宋体" w:cs="Arial"/>
          <w:bCs/>
          <w:szCs w:val="21"/>
        </w:rPr>
      </w:pPr>
      <w:r>
        <w:rPr>
          <w:rFonts w:ascii="宋体" w:hAnsi="宋体" w:cs="Arial"/>
          <w:bCs/>
          <w:szCs w:val="21"/>
        </w:rPr>
        <w:t>1、基金管理人为本基金的基金会计责任方；</w:t>
      </w:r>
    </w:p>
    <w:p w14:paraId="107E95AB">
      <w:pPr>
        <w:adjustRightInd w:val="0"/>
        <w:snapToGrid w:val="0"/>
        <w:spacing w:line="360" w:lineRule="auto"/>
        <w:ind w:firstLine="420" w:firstLineChars="200"/>
        <w:rPr>
          <w:rFonts w:ascii="宋体" w:hAnsi="宋体"/>
        </w:rPr>
      </w:pPr>
      <w:r>
        <w:rPr>
          <w:rFonts w:ascii="宋体" w:hAnsi="宋体"/>
        </w:rPr>
        <w:t>2</w:t>
      </w:r>
      <w:r>
        <w:rPr>
          <w:rFonts w:hint="eastAsia" w:ascii="宋体" w:hAnsi="宋体"/>
        </w:rPr>
        <w:t>、基金的会计年度为公历年度的</w:t>
      </w:r>
      <w:r>
        <w:rPr>
          <w:rFonts w:ascii="宋体" w:hAnsi="宋体"/>
        </w:rPr>
        <w:t>1</w:t>
      </w:r>
      <w:r>
        <w:rPr>
          <w:rFonts w:hint="eastAsia" w:ascii="宋体" w:hAnsi="宋体"/>
        </w:rPr>
        <w:t>月</w:t>
      </w:r>
      <w:r>
        <w:rPr>
          <w:rFonts w:ascii="宋体" w:hAnsi="宋体"/>
        </w:rPr>
        <w:t>1</w:t>
      </w:r>
      <w:r>
        <w:rPr>
          <w:rFonts w:hint="eastAsia" w:ascii="宋体" w:hAnsi="宋体"/>
        </w:rPr>
        <w:t>日至</w:t>
      </w:r>
      <w:r>
        <w:rPr>
          <w:rFonts w:ascii="宋体" w:hAnsi="宋体"/>
        </w:rPr>
        <w:t>12</w:t>
      </w:r>
      <w:r>
        <w:rPr>
          <w:rFonts w:hint="eastAsia" w:ascii="宋体" w:hAnsi="宋体"/>
        </w:rPr>
        <w:t>月</w:t>
      </w:r>
      <w:r>
        <w:rPr>
          <w:rFonts w:ascii="宋体" w:hAnsi="宋体"/>
        </w:rPr>
        <w:t>31</w:t>
      </w:r>
      <w:r>
        <w:rPr>
          <w:rFonts w:hint="eastAsia" w:ascii="宋体" w:hAnsi="宋体"/>
        </w:rPr>
        <w:t>日</w:t>
      </w:r>
      <w:r>
        <w:rPr>
          <w:rFonts w:ascii="宋体" w:hAnsi="宋体"/>
        </w:rPr>
        <w:t>；</w:t>
      </w:r>
      <w:r>
        <w:rPr>
          <w:rFonts w:hint="eastAsia" w:ascii="宋体" w:hAnsi="宋体"/>
        </w:rPr>
        <w:t>基金首次募集的会计年度按如下原则：如果《基金合同》生效少于2个月，可以并入下一个会计年度披露</w:t>
      </w:r>
      <w:r>
        <w:rPr>
          <w:rFonts w:ascii="宋体" w:hAnsi="宋体"/>
        </w:rPr>
        <w:t xml:space="preserve">； </w:t>
      </w:r>
    </w:p>
    <w:p w14:paraId="3DB25C8B">
      <w:pPr>
        <w:spacing w:line="360" w:lineRule="auto"/>
        <w:ind w:firstLine="420" w:firstLineChars="200"/>
        <w:rPr>
          <w:rFonts w:ascii="宋体" w:hAnsi="宋体" w:cs="Arial"/>
          <w:bCs/>
          <w:szCs w:val="21"/>
        </w:rPr>
      </w:pPr>
      <w:r>
        <w:rPr>
          <w:rFonts w:ascii="宋体" w:hAnsi="宋体" w:cs="Arial"/>
          <w:bCs/>
          <w:szCs w:val="21"/>
        </w:rPr>
        <w:t>3、基金核算以人民币为记账本位币，以人民币元为记账单位；</w:t>
      </w:r>
    </w:p>
    <w:p w14:paraId="65687963">
      <w:pPr>
        <w:spacing w:line="360" w:lineRule="auto"/>
        <w:ind w:firstLine="420" w:firstLineChars="200"/>
        <w:rPr>
          <w:rFonts w:ascii="宋体" w:hAnsi="宋体" w:cs="Arial"/>
          <w:bCs/>
          <w:szCs w:val="21"/>
        </w:rPr>
      </w:pPr>
      <w:r>
        <w:rPr>
          <w:rFonts w:ascii="宋体" w:hAnsi="宋体" w:cs="Arial"/>
          <w:bCs/>
          <w:szCs w:val="21"/>
        </w:rPr>
        <w:t>4、会计制度执行国家有关会计制度；</w:t>
      </w:r>
    </w:p>
    <w:p w14:paraId="7BD0CF90">
      <w:pPr>
        <w:spacing w:line="360" w:lineRule="auto"/>
        <w:ind w:firstLine="420" w:firstLineChars="200"/>
        <w:rPr>
          <w:rFonts w:ascii="宋体" w:hAnsi="宋体" w:cs="Arial"/>
          <w:bCs/>
          <w:szCs w:val="21"/>
        </w:rPr>
      </w:pPr>
      <w:r>
        <w:rPr>
          <w:rFonts w:ascii="宋体" w:hAnsi="宋体" w:cs="Arial"/>
          <w:bCs/>
          <w:szCs w:val="21"/>
        </w:rPr>
        <w:t>5、本基金独立建账、独立核算；</w:t>
      </w:r>
    </w:p>
    <w:p w14:paraId="36509FAF">
      <w:pPr>
        <w:spacing w:line="360" w:lineRule="auto"/>
        <w:ind w:firstLine="420" w:firstLineChars="200"/>
        <w:rPr>
          <w:rFonts w:ascii="宋体" w:hAnsi="宋体" w:cs="Arial"/>
          <w:bCs/>
          <w:szCs w:val="21"/>
        </w:rPr>
      </w:pPr>
      <w:r>
        <w:rPr>
          <w:rFonts w:ascii="宋体" w:hAnsi="宋体" w:cs="Arial"/>
          <w:bCs/>
          <w:szCs w:val="21"/>
        </w:rPr>
        <w:t>6、基金管理人及基金托管人各自保留完整的会计账目、凭证并进行日常的会计核算，按照有关规定编制基金会计报表；</w:t>
      </w:r>
    </w:p>
    <w:p w14:paraId="5C31DC67">
      <w:pPr>
        <w:spacing w:line="360" w:lineRule="auto"/>
        <w:ind w:firstLine="420" w:firstLineChars="200"/>
        <w:rPr>
          <w:rFonts w:ascii="宋体" w:hAnsi="宋体" w:cs="Arial"/>
          <w:szCs w:val="21"/>
        </w:rPr>
      </w:pPr>
      <w:r>
        <w:rPr>
          <w:rFonts w:ascii="宋体" w:hAnsi="宋体" w:cs="Arial"/>
          <w:bCs/>
          <w:szCs w:val="21"/>
        </w:rPr>
        <w:t>7、基金托管人每月与基金管理人就基金的会计核算、报表编制等进行核对并以书面方式确认。</w:t>
      </w:r>
    </w:p>
    <w:p w14:paraId="3225F4BA">
      <w:pPr>
        <w:spacing w:line="360" w:lineRule="auto"/>
        <w:ind w:firstLine="422" w:firstLineChars="200"/>
        <w:rPr>
          <w:rFonts w:ascii="宋体" w:hAnsi="宋体" w:cs="Arial"/>
          <w:b/>
          <w:szCs w:val="21"/>
        </w:rPr>
      </w:pPr>
      <w:r>
        <w:rPr>
          <w:rFonts w:hint="eastAsia" w:ascii="宋体" w:hAnsi="宋体" w:cs="Arial"/>
          <w:b/>
          <w:szCs w:val="21"/>
        </w:rPr>
        <w:t>二、</w:t>
      </w:r>
      <w:r>
        <w:rPr>
          <w:rFonts w:ascii="宋体" w:hAnsi="宋体" w:cs="Arial"/>
          <w:b/>
          <w:szCs w:val="21"/>
        </w:rPr>
        <w:t>基金的</w:t>
      </w:r>
      <w:r>
        <w:rPr>
          <w:rFonts w:hint="eastAsia" w:ascii="宋体" w:hAnsi="宋体" w:cs="Arial"/>
          <w:b/>
          <w:szCs w:val="21"/>
        </w:rPr>
        <w:t>年度</w:t>
      </w:r>
      <w:r>
        <w:rPr>
          <w:rFonts w:ascii="宋体" w:hAnsi="宋体" w:cs="Arial"/>
          <w:b/>
          <w:szCs w:val="21"/>
        </w:rPr>
        <w:t>审计</w:t>
      </w:r>
    </w:p>
    <w:p w14:paraId="1CBE218A">
      <w:pPr>
        <w:spacing w:line="360" w:lineRule="auto"/>
        <w:ind w:firstLine="420" w:firstLineChars="200"/>
        <w:rPr>
          <w:rFonts w:ascii="宋体" w:hAnsi="宋体" w:cs="Arial"/>
          <w:bCs/>
          <w:szCs w:val="21"/>
        </w:rPr>
      </w:pPr>
      <w:r>
        <w:rPr>
          <w:rFonts w:hint="eastAsia" w:ascii="宋体" w:hAnsi="宋体" w:cs="Arial"/>
          <w:bCs/>
          <w:szCs w:val="21"/>
        </w:rPr>
        <w:t>1、基金管理人聘请与基金管理人、基金托管人相互独立且符合《证券法》规定的会计师事务所及其注册会计师对本基金的年度财务报表进行审计。</w:t>
      </w:r>
    </w:p>
    <w:p w14:paraId="080162FE">
      <w:pPr>
        <w:spacing w:line="360" w:lineRule="auto"/>
        <w:ind w:firstLine="420" w:firstLineChars="200"/>
        <w:rPr>
          <w:rFonts w:ascii="宋体" w:hAnsi="宋体" w:cs="Arial"/>
          <w:bCs/>
          <w:szCs w:val="21"/>
        </w:rPr>
      </w:pPr>
      <w:r>
        <w:rPr>
          <w:rFonts w:hint="eastAsia" w:ascii="宋体" w:hAnsi="宋体" w:cs="Arial"/>
          <w:bCs/>
          <w:szCs w:val="21"/>
        </w:rPr>
        <w:t>2、会计师事务所更换经办注册会计师，应事先征得基金管理人同意。</w:t>
      </w:r>
    </w:p>
    <w:p w14:paraId="561A3F11">
      <w:pPr>
        <w:spacing w:line="360" w:lineRule="auto"/>
        <w:ind w:firstLine="420" w:firstLineChars="200"/>
        <w:rPr>
          <w:rFonts w:ascii="宋体" w:hAnsi="宋体" w:cs="Arial"/>
          <w:b/>
          <w:bCs/>
          <w:sz w:val="28"/>
          <w:szCs w:val="28"/>
        </w:rPr>
        <w:sectPr>
          <w:footerReference r:id="rId40" w:type="first"/>
          <w:footerReference r:id="rId39" w:type="default"/>
          <w:pgSz w:w="11906" w:h="16838"/>
          <w:pgMar w:top="1440" w:right="1800" w:bottom="1440" w:left="1800" w:header="851" w:footer="992" w:gutter="0"/>
          <w:pgNumType w:start="1"/>
          <w:cols w:space="720" w:num="1"/>
          <w:docGrid w:linePitch="312" w:charSpace="0"/>
        </w:sectPr>
      </w:pPr>
      <w:r>
        <w:rPr>
          <w:rFonts w:hint="eastAsia" w:ascii="宋体" w:hAnsi="宋体" w:cs="Arial"/>
          <w:bCs/>
          <w:szCs w:val="21"/>
        </w:rPr>
        <w:t>3、基金管理人认为有充足理由更换会计师事务所，须通报基金托管人。更换会计师事务所需依照《信息披露办法》在规定媒介公告。</w:t>
      </w:r>
    </w:p>
    <w:p w14:paraId="70AEAB14">
      <w:pPr>
        <w:pStyle w:val="2"/>
        <w:snapToGrid w:val="0"/>
        <w:spacing w:before="0" w:after="0" w:line="360" w:lineRule="auto"/>
        <w:ind w:firstLine="141" w:firstLineChars="50"/>
        <w:rPr>
          <w:rFonts w:hAnsi="宋体" w:eastAsia="宋体" w:cs="Arial"/>
          <w:b/>
          <w:bCs/>
          <w:sz w:val="28"/>
          <w:szCs w:val="28"/>
        </w:rPr>
      </w:pPr>
      <w:bookmarkStart w:id="86" w:name="_Toc11059"/>
      <w:r>
        <w:rPr>
          <w:rFonts w:hAnsi="宋体" w:eastAsia="宋体" w:cs="Arial"/>
          <w:b/>
          <w:bCs/>
          <w:sz w:val="28"/>
          <w:szCs w:val="28"/>
        </w:rPr>
        <w:t>第十</w:t>
      </w:r>
      <w:r>
        <w:rPr>
          <w:rFonts w:hint="eastAsia" w:hAnsi="宋体" w:eastAsia="宋体" w:cs="Arial"/>
          <w:b/>
          <w:bCs/>
          <w:sz w:val="28"/>
          <w:szCs w:val="28"/>
        </w:rPr>
        <w:t>七</w:t>
      </w:r>
      <w:r>
        <w:rPr>
          <w:rFonts w:hAnsi="宋体" w:eastAsia="宋体" w:cs="Arial"/>
          <w:b/>
          <w:bCs/>
          <w:sz w:val="28"/>
          <w:szCs w:val="28"/>
        </w:rPr>
        <w:t>部分  基金的信息披露</w:t>
      </w:r>
      <w:bookmarkEnd w:id="86"/>
    </w:p>
    <w:bookmarkEnd w:id="84"/>
    <w:bookmarkEnd w:id="85"/>
    <w:p w14:paraId="1DBB6558">
      <w:pPr>
        <w:snapToGrid w:val="0"/>
        <w:spacing w:line="360" w:lineRule="auto"/>
        <w:ind w:firstLine="420" w:firstLineChars="200"/>
        <w:rPr>
          <w:rFonts w:asciiTheme="minorEastAsia" w:hAnsiTheme="minorEastAsia"/>
          <w:szCs w:val="22"/>
        </w:rPr>
      </w:pPr>
      <w:bookmarkStart w:id="87" w:name="_Toc21073398"/>
      <w:bookmarkStart w:id="88" w:name="_Toc12357178"/>
      <w:bookmarkStart w:id="89" w:name="_Toc214873605"/>
      <w:bookmarkStart w:id="90" w:name="_Toc147463125"/>
      <w:r>
        <w:rPr>
          <w:rFonts w:hint="eastAsia" w:asciiTheme="minorEastAsia" w:hAnsiTheme="minorEastAsia"/>
          <w:szCs w:val="22"/>
        </w:rPr>
        <w:t>一、本基金的信息披露应符合《基金法》、《运作办法》、《信息披露办法》、《流动性风险管理规定》、《基金合同》及其他有关规定。相关法律法规关于信息披露的披露方式、登载媒介、报备方式等规定发生变化时，本基金从其最新规定。</w:t>
      </w:r>
    </w:p>
    <w:p w14:paraId="7CA57711">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二、信息披露义务人</w:t>
      </w:r>
    </w:p>
    <w:p w14:paraId="0358A87D">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本基金信息披露义务人包括基金管理人、基金托管人、召集基金份额持有人大会的基金份额持有人等法律、行政法规和中国证监会规定的自然人、法人和非法人组织。</w:t>
      </w:r>
    </w:p>
    <w:p w14:paraId="7A734A10">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本基金信息披露义务人以保护基金份额持有人利益为根本出发点，按照法律法规和中国证监会的规定披露基金信息，并保证所披露信息的真实性、准确性、完整性、及时性、简明性和易得性。</w:t>
      </w:r>
    </w:p>
    <w:p w14:paraId="0506F254">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本基金信息披露义务人应当在中国证监会规定时间内，将应予披露的基金信息通过符合中国证监会</w:t>
      </w:r>
      <w:r>
        <w:rPr>
          <w:rFonts w:hint="eastAsia" w:asciiTheme="minorEastAsia" w:hAnsiTheme="minorEastAsia"/>
        </w:rPr>
        <w:t>规定条件</w:t>
      </w:r>
      <w:r>
        <w:rPr>
          <w:rFonts w:hint="eastAsia" w:asciiTheme="minorEastAsia" w:hAnsiTheme="minorEastAsia"/>
          <w:szCs w:val="22"/>
        </w:rPr>
        <w:t>的全国性报刊（以下简称“规定报刊”）及《信息披露办法》规定的互联网网站（以下简称“规定网站”）等媒介披露，并保证基金投资者能够按照《基金合同》约定的时间和方式查阅或者复制公开披露的信息资料。</w:t>
      </w:r>
    </w:p>
    <w:p w14:paraId="1ABB4608">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三、本基金信息披露义务人承诺公开披露的基金信息，不得有下列行为：</w:t>
      </w:r>
    </w:p>
    <w:p w14:paraId="48B0B471">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1、虚假记载、误导性陈述或者重大遗漏；</w:t>
      </w:r>
    </w:p>
    <w:p w14:paraId="1DBFC7DD">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2、对证券投资业绩进行预测；</w:t>
      </w:r>
    </w:p>
    <w:p w14:paraId="5455C1AE">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3、违规承诺收益或者承担损失；</w:t>
      </w:r>
    </w:p>
    <w:p w14:paraId="73B0155A">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4、诋毁其他基金管理人、基金托管人或者基金销售机构；</w:t>
      </w:r>
    </w:p>
    <w:p w14:paraId="6FBE13A8">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5、登载任何自然人、法人和非法人组织的祝贺性、恭维性或推荐性的文字；</w:t>
      </w:r>
    </w:p>
    <w:p w14:paraId="4151835E">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6、中国证监会禁止的其他行为。</w:t>
      </w:r>
    </w:p>
    <w:p w14:paraId="4BCA13D2">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四、本基金公开披露的信息应采用中文文本。如同时采用外文文本的，基金信息披露义务人应保证不同文本的内容一致。不同文本之间发生歧义的，以中文文本为准。</w:t>
      </w:r>
    </w:p>
    <w:p w14:paraId="0EC4C62B">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本基金公开披露的信息采用阿拉伯数字；除特别说明外，货币单位为人民币元。</w:t>
      </w:r>
    </w:p>
    <w:p w14:paraId="568CFC94">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五、公开披露的基金信息</w:t>
      </w:r>
    </w:p>
    <w:p w14:paraId="510465A8">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公开披露的基金信息包括：</w:t>
      </w:r>
    </w:p>
    <w:p w14:paraId="53C2B959">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（一）基金招募说明书、基金产品资料概要、基金合同、基金托管协议</w:t>
      </w:r>
    </w:p>
    <w:p w14:paraId="217813CC">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1、基金合同是界定基金合同当事人的各项权利、义务关系，明确基金份额持有人大会召开的规则及具体程序，说明基金产品的特性等涉及基金投资者重大利益的事项的法律文件。</w:t>
      </w:r>
    </w:p>
    <w:p w14:paraId="4ABA5C3D">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14:paraId="6DB0CD0F">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3、基金托管协议是界定基金托管人和基金管理人在基金财产保管及基金运作监督等活动中的权利、义务关系的法律文件。</w:t>
      </w:r>
    </w:p>
    <w:p w14:paraId="24F03D8B">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14:paraId="379CF37A">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基金募集申请经中国证监会注册后，基金管理人在基金份额发售的3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w:t>
      </w:r>
    </w:p>
    <w:p w14:paraId="3D252E5C">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（二）基金份额发售公告</w:t>
      </w:r>
    </w:p>
    <w:p w14:paraId="66E3B076">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基金管理人应当就基金份额发售的具体事宜编制基金份额发售公告。</w:t>
      </w:r>
    </w:p>
    <w:p w14:paraId="0270DA9F">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（三）《基金合同》生效公告</w:t>
      </w:r>
    </w:p>
    <w:p w14:paraId="1BB9B379">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基金管理人应当在收到中国证监会确认文件的次日在规定报刊和规定网站上登载《基金合同》生效公告。</w:t>
      </w:r>
    </w:p>
    <w:p w14:paraId="1EC5F3F6">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（四）基金份额上市交易公告书</w:t>
      </w:r>
    </w:p>
    <w:p w14:paraId="773FD3B5">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基金份额获准在证券交易所上市交易的，基金管理人应当在基金份额上市交易的3个工作日前，将基金份额上市交易公告书登载在规定网站上，并将上市交易公告书提示性公告登载在规定报刊上。</w:t>
      </w:r>
    </w:p>
    <w:p w14:paraId="79CE1554">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（五）基金份额折算日和折算结果公告</w:t>
      </w:r>
    </w:p>
    <w:p w14:paraId="346A2156">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 xml:space="preserve">基金管理人确定基金份额折算日，并依照《信息披露办法》的有关规定将基金份额折算日公告登载于规定媒介上。 </w:t>
      </w:r>
    </w:p>
    <w:p w14:paraId="3AF2214A">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基金份额进行折算并由登记机构完成基金份额的变更登记后，基金管理人将基金份额折算结果公告登载于规定媒介上。</w:t>
      </w:r>
    </w:p>
    <w:p w14:paraId="1C719A7C">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（六）基金净值信息</w:t>
      </w:r>
    </w:p>
    <w:p w14:paraId="2CC48493">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基金合同生效后，在基金份额上市交易或开始办理基金份额申购或者赎回前，基金管理人应当至少每周在规定网站披露一次基金份额净值和基金份额累计净值。</w:t>
      </w:r>
    </w:p>
    <w:p w14:paraId="68314217">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在基金份额上市交易或开始办理基金份额申购或者赎回后，基金管理人应当在不晚于每个开放日的次日，通过规定网站、基金销售机构网站或者营业网点以及其他媒介，披露开放日的基金份额净值和基金份额累计净值。</w:t>
      </w:r>
    </w:p>
    <w:p w14:paraId="39C9CFAE">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基金管理人应当在不晚于半年度和年度最后一日的次日，在规定网站披露半年度和年度最后一日的基金份额净值和基金份额累计净值。</w:t>
      </w:r>
    </w:p>
    <w:p w14:paraId="2CB872C1">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（七）基金份额申购、赎回清单</w:t>
      </w:r>
    </w:p>
    <w:p w14:paraId="76847D97">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在开始办理基金份额申购或者赎回之后，基金管理人应当在每个开放日，通过规定网站、申购赎回代理券商以及其他媒介公告当日的申购、赎回清单。</w:t>
      </w:r>
    </w:p>
    <w:p w14:paraId="2D98D7EB">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（八）基金定期报告，包括基金年度报告、基金中期报告和基金季度报告（含资产组合季度报告）</w:t>
      </w:r>
    </w:p>
    <w:p w14:paraId="2DFE5416">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基金管理人应当在每年结束之日起三个月内，编制完成基金年度报告，将年度报告登载于规定网站上，并将年度报告提示性公告登载在规定报刊上。基金年度报告中的财务会计报告应当经过符合《证券法》规定的会计师事务所审计。</w:t>
      </w:r>
    </w:p>
    <w:p w14:paraId="01527A6A">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基金管理人应当在上半年结束之日起两个月内，编制完成基金中期报告，将中期报告登载在规定网站上，并将中期报告提示性公告登载在规定报刊上。</w:t>
      </w:r>
    </w:p>
    <w:p w14:paraId="07CEB618">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基金管理人应当在季度结束之日起15个工作日内，编制完成基金季度报告，将季度报告登载在规定网站上，并将季度报告提示性公告登载在规定报刊上。</w:t>
      </w:r>
    </w:p>
    <w:p w14:paraId="6AAE1FDE">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《基金合同》生效不足2个月的，基金管理人可以不编制当期季度报告、中期报告或者年度报告。</w:t>
      </w:r>
    </w:p>
    <w:p w14:paraId="72378B2C">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38313F89">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基金管理人应当在基金年度报告和中期报告中披露基金组合资产情况及其流动性风险分析等。</w:t>
      </w:r>
    </w:p>
    <w:p w14:paraId="3901F39D">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（九）临时报告</w:t>
      </w:r>
    </w:p>
    <w:p w14:paraId="248FC252">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本基金发生重大事件，有关信息披露义务人应当依照《信息披露办法》编制临时报告书，并登载在规定报刊和规定网站上。</w:t>
      </w:r>
    </w:p>
    <w:p w14:paraId="4FE7A97D">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前款所称重大事件，是指可能对基金份额持有人权益或者基金份额的价格产生重大影响的下列事件：</w:t>
      </w:r>
    </w:p>
    <w:p w14:paraId="466C548A">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1、基金份额持有人大会的召开及决定的事项；</w:t>
      </w:r>
    </w:p>
    <w:p w14:paraId="0CA6DA52">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2、基金合同终止、基金清算；</w:t>
      </w:r>
    </w:p>
    <w:p w14:paraId="13688B6B">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3、转换基金运作方式、基金合并；</w:t>
      </w:r>
    </w:p>
    <w:p w14:paraId="7C8F5D98">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4、更换基金管理人、基金托管人、基金份额登记机构，基金改聘会计师事务所；</w:t>
      </w:r>
    </w:p>
    <w:p w14:paraId="05867719">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5、基金管理人委托基金服务机构代为办理基金的份额登记、核算、估值等事项，基金托管人委托基金服务机构代为办理基金的核算、估值、复核等事项；</w:t>
      </w:r>
    </w:p>
    <w:p w14:paraId="5FB7D255">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6、基金管理人、基金托管人的法定名称、住所发生变更；</w:t>
      </w:r>
    </w:p>
    <w:p w14:paraId="04BC915F">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7、基金管理人变更持有百分之五以上股权的股东、基金管理人的实际控制人变更；</w:t>
      </w:r>
    </w:p>
    <w:p w14:paraId="038F7680">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8、基金募集期延长或提前结束募集；</w:t>
      </w:r>
    </w:p>
    <w:p w14:paraId="2F52E021">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9、基金管理人高级管理人员、基金经理和基金托管人专门基金托管部门负责人发生变动；</w:t>
      </w:r>
    </w:p>
    <w:p w14:paraId="686ECBB1">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10、基金管理人的董事在最近12个月内变更超过50%；</w:t>
      </w:r>
    </w:p>
    <w:p w14:paraId="2C78BADC">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11、基金管理人、基金托管人专门基金托管部门的主要业务人员在最近12个月内变动超过30%；</w:t>
      </w:r>
    </w:p>
    <w:p w14:paraId="693C4147">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12、涉及基金管理业务、基金财产、基金托管业务的诉讼或仲裁；</w:t>
      </w:r>
    </w:p>
    <w:p w14:paraId="7565BC0F">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13、基金管理人或其高级管理人员、基金经理因基金管理业务相关行为受到重大行政处罚、刑事处罚，基金托管人或其专门基金托管部门负责人因基金托管业务相关行为受到重大行政处罚、刑事处罚；</w:t>
      </w:r>
    </w:p>
    <w:p w14:paraId="6008FBF5">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14、基金管理人运用基金财产买卖基金管理人、基金托管人及其控股股东、实际控制人或者与其有重大利害关系的公司发行的证券或者承销期内承销的证券，或者从事其他重大关联交易事项，中国证监会另有规定的情形除外；</w:t>
      </w:r>
    </w:p>
    <w:p w14:paraId="3659379A">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15、基金收益分配事项；</w:t>
      </w:r>
    </w:p>
    <w:p w14:paraId="2D63955B">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16、管理费、托管费、申购费、赎回费等费用计提标准、计提方式和费率发生变更；</w:t>
      </w:r>
    </w:p>
    <w:p w14:paraId="7D471437">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17、基金份额净值计价错误达基金份额净值0.5%；</w:t>
      </w:r>
    </w:p>
    <w:p w14:paraId="6D8E270F">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18、本基金开始办理申购、赎回；</w:t>
      </w:r>
    </w:p>
    <w:p w14:paraId="78158B16">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19、本基金暂停接受申购、赎回申请或重新接受申购、赎回申请；</w:t>
      </w:r>
    </w:p>
    <w:p w14:paraId="3ADCC79C">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20、本基金停复牌、暂停上市、恢复上市或终止上市交易；</w:t>
      </w:r>
    </w:p>
    <w:p w14:paraId="461A4B0A">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2</w:t>
      </w:r>
      <w:r>
        <w:rPr>
          <w:rFonts w:asciiTheme="minorEastAsia" w:hAnsiTheme="minorEastAsia"/>
          <w:szCs w:val="22"/>
        </w:rPr>
        <w:t>1</w:t>
      </w:r>
      <w:r>
        <w:rPr>
          <w:rFonts w:hint="eastAsia" w:asciiTheme="minorEastAsia" w:hAnsiTheme="minorEastAsia"/>
          <w:szCs w:val="22"/>
        </w:rPr>
        <w:t>、调整最小申购赎回单位、申购赎回方式及申购对价、赎回对价组成；</w:t>
      </w:r>
    </w:p>
    <w:p w14:paraId="6F66967C">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22、基金推出新业务或服务；</w:t>
      </w:r>
    </w:p>
    <w:p w14:paraId="1D583C0D">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2</w:t>
      </w:r>
      <w:r>
        <w:rPr>
          <w:rFonts w:asciiTheme="minorEastAsia" w:hAnsiTheme="minorEastAsia"/>
          <w:szCs w:val="22"/>
        </w:rPr>
        <w:t>3</w:t>
      </w:r>
      <w:r>
        <w:rPr>
          <w:rFonts w:hint="eastAsia" w:asciiTheme="minorEastAsia" w:hAnsiTheme="minorEastAsia"/>
          <w:szCs w:val="22"/>
        </w:rPr>
        <w:t>、发生涉及本基金申购、赎回事项调整或潜在影响投资者赎回等重大事项时；</w:t>
      </w:r>
    </w:p>
    <w:p w14:paraId="6D45A2DF">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2</w:t>
      </w:r>
      <w:r>
        <w:rPr>
          <w:rFonts w:asciiTheme="minorEastAsia" w:hAnsiTheme="minorEastAsia"/>
          <w:szCs w:val="22"/>
        </w:rPr>
        <w:t>4</w:t>
      </w:r>
      <w:r>
        <w:rPr>
          <w:rFonts w:hint="eastAsia" w:asciiTheme="minorEastAsia" w:hAnsiTheme="minorEastAsia"/>
          <w:szCs w:val="22"/>
        </w:rPr>
        <w:t>、基金信息披露义务人认为可能对基金份额持有人权益或者基金份额的价格产生重大影响的其他事项、中国证监会或基金合同规定的其他事项。</w:t>
      </w:r>
    </w:p>
    <w:p w14:paraId="0184F079">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（十）澄清公告</w:t>
      </w:r>
    </w:p>
    <w:p w14:paraId="30F3CC8A">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基金上市交易的证券交易所。</w:t>
      </w:r>
    </w:p>
    <w:p w14:paraId="32182851">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（十一）清算报告</w:t>
      </w:r>
    </w:p>
    <w:p w14:paraId="3FD8AAB3">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基金合同出现终止情形的，基金管理人应当依法组织基金财产清算小组对基金财产进行清算并作出清算报告。基金财产清算小组应当将清算报告登载在规定网站上，并将清算报告提示性公告登载在规定报刊上。</w:t>
      </w:r>
    </w:p>
    <w:p w14:paraId="26C9F2DC">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（十二）基金份额持有人大会决议</w:t>
      </w:r>
    </w:p>
    <w:p w14:paraId="21E7260E">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基金份额持有人大会决定的事项，应当依法报中国证监会备案，并予以公告。</w:t>
      </w:r>
    </w:p>
    <w:p w14:paraId="3CCF6B39">
      <w:pPr>
        <w:snapToGrid w:val="0"/>
        <w:spacing w:line="360" w:lineRule="auto"/>
        <w:ind w:firstLine="420" w:firstLineChars="200"/>
        <w:rPr>
          <w:rFonts w:asciiTheme="minorEastAsia" w:hAnsiTheme="minorEastAsia" w:eastAsiaTheme="minorEastAsia"/>
        </w:rPr>
      </w:pPr>
      <w:r>
        <w:rPr>
          <w:rFonts w:hint="eastAsia" w:asciiTheme="minorEastAsia" w:hAnsiTheme="minorEastAsia"/>
        </w:rPr>
        <w:t>（</w:t>
      </w:r>
      <w:r>
        <w:rPr>
          <w:rFonts w:hint="eastAsia" w:asciiTheme="minorEastAsia" w:hAnsiTheme="minorEastAsia" w:eastAsiaTheme="minorEastAsia"/>
        </w:rPr>
        <w:t>十三）基金参与股指期货和国债期货交易的信息披露</w:t>
      </w:r>
    </w:p>
    <w:p w14:paraId="4BF32F31">
      <w:pPr>
        <w:snapToGrid w:val="0"/>
        <w:spacing w:line="360" w:lineRule="auto"/>
        <w:ind w:firstLine="420" w:firstLineChars="200"/>
        <w:rPr>
          <w:rFonts w:asciiTheme="minorEastAsia" w:hAnsiTheme="minorEastAsia"/>
          <w:szCs w:val="22"/>
        </w:rPr>
      </w:pPr>
      <w:r>
        <w:rPr>
          <w:rFonts w:hint="eastAsia" w:asciiTheme="minorEastAsia" w:hAnsiTheme="minorEastAsia" w:eastAsiaTheme="minorEastAsia"/>
        </w:rPr>
        <w:t>本基金参与股指期货或国债期货交易的，基金管理人应在季度报告、中期报告、年度报告等定期报告和招募说明书（更新）等文件中披露股指期货、国债期货交易情况，包括投资政策、持仓情况、损益情况、风险指标等，并充分揭示股指期货、国债期货交易对基金总体风险的影响以及是否符合既定的投资政策和投资目标等。</w:t>
      </w:r>
    </w:p>
    <w:p w14:paraId="5166EF56">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（十四）基金投资资产支持证券的信息披露</w:t>
      </w:r>
    </w:p>
    <w:p w14:paraId="4C6139DB">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本基金投资资产支持证券的，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525A7F6F">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（十五）基金投资股票期权的信息披露</w:t>
      </w:r>
    </w:p>
    <w:p w14:paraId="3E828C9D">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本基金投资股票期权的，基金管理人应当在季度报告、中期报告、年度报告等定期报告和招募说明书（更新）等文件中披露股票期权交易情况，包括投资政策、持仓情况、损益情况、风险指标、估值方法等，并充分揭示股票期权交易对基金总体风险的影响以及是否符合既定的投资政策和投资目标等。</w:t>
      </w:r>
    </w:p>
    <w:p w14:paraId="20D5DC1E">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（十六）参与融资和转融通证券出借业务的公告</w:t>
      </w:r>
    </w:p>
    <w:p w14:paraId="0B49CF49">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本基金参与融资和转融通证券出借业务的，基金管理人应当在季度报告、中期报告、年度报告等定期报告和招募说明书（更新）等文件中披露参与融资和转融通证券出借业务的情况，包括投资策略、业务开展情况、损益情况、风险及其管理情况等，并就转融通证券出借业务在报告期内发生的重大关联交易事项做详细说明。</w:t>
      </w:r>
    </w:p>
    <w:p w14:paraId="7A7FCEB9">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（十七）基金投资港股通标的股票的信息披露</w:t>
      </w:r>
    </w:p>
    <w:p w14:paraId="3229F523">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应当在基金季度报告、中期报告、年度报告等定期报告和招募说明书（更新）等文件中披露港股通标的股票的投资情况，包括报告期末本基金在香港地区证券市场的权益投资分布情况及按相关法律法规及中国证监会要求披露港股通标的股票的投资明细等内容。若中国证监会对公开募集证券投资基金通过内地与香港股票市场交易互联互通机制投资香港股票市场的信息披露另有规定的，从其规定。</w:t>
      </w:r>
    </w:p>
    <w:p w14:paraId="284A8FF7">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（十八）基金投资非公开发行股票的信息披露</w:t>
      </w:r>
    </w:p>
    <w:p w14:paraId="0DCC08E7">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基金管理人应在基金投资非公开发行股票后两个交易日内，在中国证监会规定媒介披露所投资非公开发行股票的名称、数量、总成本、账面价值，以及总成本和账面价值占基金资产净值的比例、锁定期等信息。</w:t>
      </w:r>
    </w:p>
    <w:p w14:paraId="76CBC2BB">
      <w:pPr>
        <w:snapToGrid w:val="0"/>
        <w:spacing w:line="360" w:lineRule="auto"/>
        <w:ind w:firstLine="420" w:firstLineChars="200"/>
        <w:rPr>
          <w:rFonts w:asciiTheme="minorEastAsia" w:hAnsiTheme="minorEastAsia"/>
          <w:szCs w:val="22"/>
        </w:rPr>
      </w:pPr>
      <w:r>
        <w:rPr>
          <w:rFonts w:hint="eastAsia" w:asciiTheme="minorEastAsia" w:hAnsiTheme="minorEastAsia" w:eastAsiaTheme="minorEastAsia"/>
        </w:rPr>
        <w:t>（十九</w:t>
      </w:r>
      <w:r>
        <w:rPr>
          <w:rFonts w:hint="eastAsia" w:asciiTheme="minorEastAsia" w:hAnsiTheme="minorEastAsia"/>
        </w:rPr>
        <w:t>）中国证监会规定的其他信息</w:t>
      </w:r>
    </w:p>
    <w:p w14:paraId="17A4C5A5">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六、信息披露事务管理</w:t>
      </w:r>
    </w:p>
    <w:p w14:paraId="05517434">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基金管理人、基金托管人应当建立健全信息披露管理制度，指定专门部门及高级管理人员负责管理信息披露事务。</w:t>
      </w:r>
    </w:p>
    <w:p w14:paraId="12621479">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基金信息披露义务人公开披露基金信息，应当符合中国证监会相关基金信息披露内容与格式准则等法规以及证券交易所的自律管理规则的规定。</w:t>
      </w:r>
    </w:p>
    <w:p w14:paraId="1C864FAA">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基金托管人应当按照相关法律法规、中国证监会的规定和基金合同的约定，对基金管理人编制的基金资产净值、基金份额净值、申购对价、赎回对价、基金定期报告、更新的招募说明书、基金产品资料概要、基金清算报告等相关基金信息进行复核、审查，并向基金管理人进行书面或电子确认。</w:t>
      </w:r>
    </w:p>
    <w:p w14:paraId="3B6E0BE0">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基金管理人、基金托管人应当在规定报刊中选择一家报刊披露本基金信息。基金管理人、基金托管人应当向中国证监会基金电子披露网站报送拟披露的基金信息，并保证相关报送信息的真实、准确、完整、及时。</w:t>
      </w:r>
    </w:p>
    <w:p w14:paraId="66F981F4">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为基金信息披露义务人公开披露的基金信息出具审计报告、法律意见书的专业机构，应当制作工作底稿，并将相关档案至少保存到《基金合同》终止后10年。</w:t>
      </w:r>
    </w:p>
    <w:p w14:paraId="44CA0F8E">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七、信息披露文件的存放与查阅</w:t>
      </w:r>
    </w:p>
    <w:p w14:paraId="065CFF81">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依法必须披露的信息发布后，基金管理人、基金托管人应当按照相关法律法规规定将信息置备于公司住所、基金上市交易的证券交易所，以供社会公众查阅、复制。</w:t>
      </w:r>
    </w:p>
    <w:p w14:paraId="1928EEAA">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八、暂停或延迟披露基金相关信息的情形</w:t>
      </w:r>
    </w:p>
    <w:p w14:paraId="11B3F471">
      <w:pPr>
        <w:snapToGrid w:val="0"/>
        <w:spacing w:line="360" w:lineRule="auto"/>
        <w:ind w:firstLine="420" w:firstLineChars="200"/>
        <w:rPr>
          <w:rFonts w:asciiTheme="minorEastAsia" w:hAnsiTheme="minorEastAsia"/>
          <w:szCs w:val="22"/>
        </w:rPr>
      </w:pPr>
      <w:r>
        <w:rPr>
          <w:rFonts w:hint="eastAsia" w:asciiTheme="minorEastAsia" w:hAnsiTheme="minorEastAsia"/>
          <w:szCs w:val="22"/>
        </w:rPr>
        <w:t>当出现下述情况时，基金管理人和基金托管人可暂停或延迟披露基金相关信息：</w:t>
      </w:r>
    </w:p>
    <w:p w14:paraId="488858B5">
      <w:pPr>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1、不可抗力；</w:t>
      </w:r>
    </w:p>
    <w:p w14:paraId="424B6372">
      <w:pPr>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2、发生基金合同约定的暂停估值的情形；</w:t>
      </w:r>
    </w:p>
    <w:p w14:paraId="57930E6A">
      <w:pPr>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3、法律法规、中国证监会和基金合同认定的其它情形。</w:t>
      </w:r>
    </w:p>
    <w:p w14:paraId="0EC01EFC">
      <w:pPr>
        <w:spacing w:line="360" w:lineRule="auto"/>
        <w:ind w:firstLine="562" w:firstLineChars="200"/>
        <w:rPr>
          <w:rFonts w:ascii="宋体" w:hAnsi="宋体" w:cs="Arial"/>
          <w:b/>
          <w:bCs/>
          <w:sz w:val="28"/>
          <w:szCs w:val="28"/>
        </w:rPr>
        <w:sectPr>
          <w:footerReference r:id="rId42" w:type="first"/>
          <w:footerReference r:id="rId41" w:type="default"/>
          <w:pgSz w:w="11906" w:h="16838"/>
          <w:pgMar w:top="1440" w:right="1800" w:bottom="1440" w:left="1800" w:header="851" w:footer="992" w:gutter="0"/>
          <w:pgNumType w:start="1"/>
          <w:cols w:space="720" w:num="1"/>
          <w:docGrid w:linePitch="312" w:charSpace="0"/>
        </w:sectPr>
      </w:pPr>
    </w:p>
    <w:p w14:paraId="2B24C680">
      <w:pPr>
        <w:pStyle w:val="2"/>
        <w:snapToGrid w:val="0"/>
        <w:spacing w:before="0" w:after="0" w:line="360" w:lineRule="auto"/>
        <w:ind w:firstLine="141" w:firstLineChars="50"/>
        <w:rPr>
          <w:rFonts w:hAnsi="宋体" w:eastAsia="宋体" w:cs="Arial"/>
          <w:b/>
          <w:bCs/>
          <w:sz w:val="28"/>
          <w:szCs w:val="28"/>
        </w:rPr>
      </w:pPr>
      <w:bookmarkStart w:id="91" w:name="_Toc10607"/>
      <w:r>
        <w:rPr>
          <w:rFonts w:hAnsi="宋体" w:eastAsia="宋体" w:cs="Arial"/>
          <w:b/>
          <w:bCs/>
          <w:sz w:val="28"/>
          <w:szCs w:val="28"/>
        </w:rPr>
        <w:t>第十</w:t>
      </w:r>
      <w:r>
        <w:rPr>
          <w:rFonts w:hint="eastAsia" w:hAnsi="宋体" w:eastAsia="宋体" w:cs="Arial"/>
          <w:b/>
          <w:bCs/>
          <w:sz w:val="28"/>
          <w:szCs w:val="28"/>
        </w:rPr>
        <w:t>八</w:t>
      </w:r>
      <w:r>
        <w:rPr>
          <w:rFonts w:hAnsi="宋体" w:eastAsia="宋体" w:cs="Arial"/>
          <w:b/>
          <w:bCs/>
          <w:sz w:val="28"/>
          <w:szCs w:val="28"/>
        </w:rPr>
        <w:t>部分  风险揭示</w:t>
      </w:r>
      <w:bookmarkEnd w:id="87"/>
      <w:bookmarkEnd w:id="88"/>
      <w:bookmarkEnd w:id="89"/>
      <w:bookmarkEnd w:id="90"/>
      <w:bookmarkEnd w:id="91"/>
    </w:p>
    <w:p w14:paraId="19036714">
      <w:pPr>
        <w:adjustRightInd w:val="0"/>
        <w:snapToGrid w:val="0"/>
        <w:spacing w:line="360" w:lineRule="auto"/>
        <w:ind w:firstLine="420"/>
        <w:rPr>
          <w:rFonts w:ascii="宋体" w:hAnsi="宋体" w:cs="Arial"/>
        </w:rPr>
      </w:pPr>
      <w:r>
        <w:rPr>
          <w:rFonts w:ascii="宋体" w:hAnsi="宋体" w:cs="Arial"/>
        </w:rPr>
        <w:t>本基金管理人在总结、借鉴</w:t>
      </w:r>
      <w:r>
        <w:rPr>
          <w:rFonts w:hint="eastAsia" w:ascii="宋体" w:hAnsi="宋体" w:cs="Arial"/>
        </w:rPr>
        <w:t>基金管理人</w:t>
      </w:r>
      <w:r>
        <w:rPr>
          <w:rFonts w:ascii="宋体" w:hAnsi="宋体" w:cs="Arial"/>
        </w:rPr>
        <w:t>旗下已有开放式基金</w:t>
      </w:r>
      <w:r>
        <w:rPr>
          <w:rFonts w:hint="eastAsia" w:ascii="宋体" w:hAnsi="宋体" w:cs="Arial"/>
        </w:rPr>
        <w:t>（包括ETF基金）</w:t>
      </w:r>
      <w:r>
        <w:rPr>
          <w:rFonts w:ascii="宋体" w:hAnsi="宋体" w:cs="Arial"/>
        </w:rPr>
        <w:t>风险管理成熟经验的基础上，针对本基金的特点，确立科学的风险管理理念，建立相应的风险管理体系，对本基金整个投资过程进行有效的风险监控，为基金</w:t>
      </w:r>
      <w:r>
        <w:rPr>
          <w:rFonts w:hint="eastAsia" w:ascii="宋体" w:hAnsi="宋体" w:cs="Arial"/>
        </w:rPr>
        <w:t>份额</w:t>
      </w:r>
      <w:r>
        <w:rPr>
          <w:rFonts w:ascii="宋体" w:hAnsi="宋体" w:cs="Arial"/>
        </w:rPr>
        <w:t>持有人谋取标的指数所表征的市场平均水平的投资收益。</w:t>
      </w:r>
    </w:p>
    <w:p w14:paraId="46CB30E3">
      <w:pPr>
        <w:adjustRightInd w:val="0"/>
        <w:snapToGrid w:val="0"/>
        <w:spacing w:line="360" w:lineRule="auto"/>
        <w:ind w:firstLine="420"/>
        <w:rPr>
          <w:rFonts w:ascii="宋体" w:hAnsi="宋体" w:cs="Arial"/>
        </w:rPr>
      </w:pPr>
      <w:r>
        <w:rPr>
          <w:rFonts w:ascii="宋体" w:hAnsi="宋体" w:cs="Arial"/>
        </w:rPr>
        <w:t>投资于本基金的主要风险</w:t>
      </w:r>
      <w:r>
        <w:rPr>
          <w:rFonts w:hint="eastAsia" w:ascii="宋体" w:hAnsi="宋体" w:cs="Arial"/>
        </w:rPr>
        <w:t>包括以下几个方面：</w:t>
      </w:r>
    </w:p>
    <w:p w14:paraId="1DCD09FF">
      <w:pPr>
        <w:tabs>
          <w:tab w:val="left" w:pos="851"/>
          <w:tab w:val="left" w:pos="1134"/>
        </w:tabs>
        <w:adjustRightInd w:val="0"/>
        <w:snapToGrid w:val="0"/>
        <w:spacing w:line="360" w:lineRule="auto"/>
        <w:ind w:firstLine="426"/>
        <w:outlineLvl w:val="0"/>
        <w:rPr>
          <w:rFonts w:ascii="宋体" w:hAnsi="宋体" w:cs="Arial"/>
          <w:b/>
        </w:rPr>
      </w:pPr>
      <w:bookmarkStart w:id="92" w:name="_Toc293495053"/>
      <w:r>
        <w:rPr>
          <w:rFonts w:ascii="Arial" w:hAnsi="Arial" w:cs="宋体"/>
          <w:b/>
        </w:rPr>
        <w:t>一、</w:t>
      </w:r>
      <w:r>
        <w:rPr>
          <w:rFonts w:ascii="宋体" w:hAnsi="宋体" w:cs="Arial"/>
          <w:b/>
        </w:rPr>
        <w:t>标的指数回报与股票市场平均回报偏离的风险</w:t>
      </w:r>
      <w:bookmarkEnd w:id="92"/>
      <w:r>
        <w:rPr>
          <w:rFonts w:ascii="宋体" w:hAnsi="宋体" w:cs="Arial"/>
          <w:b/>
        </w:rPr>
        <w:t xml:space="preserve"> </w:t>
      </w:r>
    </w:p>
    <w:p w14:paraId="002760DA">
      <w:pPr>
        <w:adjustRightInd w:val="0"/>
        <w:snapToGrid w:val="0"/>
        <w:spacing w:line="360" w:lineRule="auto"/>
        <w:ind w:firstLine="426"/>
        <w:rPr>
          <w:rFonts w:ascii="宋体" w:hAnsi="宋体" w:cs="Arial"/>
        </w:rPr>
      </w:pPr>
      <w:r>
        <w:rPr>
          <w:rFonts w:ascii="宋体" w:hAnsi="宋体" w:cs="Arial"/>
        </w:rPr>
        <w:t xml:space="preserve">标的指数并不能完全代表整个股票市场。标的指数成份股的平均回报率与整个股票市场的平均回报率可能存在偏离。 </w:t>
      </w:r>
    </w:p>
    <w:p w14:paraId="384260A5">
      <w:pPr>
        <w:tabs>
          <w:tab w:val="left" w:pos="851"/>
          <w:tab w:val="left" w:pos="1134"/>
        </w:tabs>
        <w:adjustRightInd w:val="0"/>
        <w:snapToGrid w:val="0"/>
        <w:spacing w:line="360" w:lineRule="auto"/>
        <w:ind w:firstLine="426"/>
        <w:outlineLvl w:val="0"/>
        <w:rPr>
          <w:rFonts w:ascii="宋体" w:hAnsi="宋体" w:cs="Arial"/>
          <w:b/>
        </w:rPr>
      </w:pPr>
      <w:bookmarkStart w:id="93" w:name="_Toc293495054"/>
      <w:r>
        <w:rPr>
          <w:rFonts w:ascii="Arial" w:hAnsi="Arial" w:cs="宋体"/>
          <w:b/>
        </w:rPr>
        <w:t>二、</w:t>
      </w:r>
      <w:r>
        <w:rPr>
          <w:rFonts w:ascii="宋体" w:hAnsi="宋体" w:cs="Arial"/>
          <w:b/>
        </w:rPr>
        <w:t>标的指数波动的风险</w:t>
      </w:r>
      <w:bookmarkEnd w:id="93"/>
      <w:r>
        <w:rPr>
          <w:rFonts w:ascii="宋体" w:hAnsi="宋体" w:cs="Arial"/>
          <w:b/>
        </w:rPr>
        <w:t xml:space="preserve"> </w:t>
      </w:r>
    </w:p>
    <w:p w14:paraId="39C6B80E">
      <w:pPr>
        <w:adjustRightInd w:val="0"/>
        <w:snapToGrid w:val="0"/>
        <w:spacing w:line="360" w:lineRule="auto"/>
        <w:ind w:firstLine="426"/>
        <w:rPr>
          <w:rFonts w:ascii="宋体" w:hAnsi="宋体" w:cs="Arial"/>
        </w:rPr>
      </w:pPr>
      <w:r>
        <w:rPr>
          <w:rFonts w:ascii="宋体" w:hAnsi="宋体" w:cs="Arial"/>
        </w:rPr>
        <w:t xml:space="preserve">标的指数成份股的价格可能受到政治因素、经济因素、上市公司经营状况、投资人心理和交易制度等各种因素的影响而波动，导致指数波动，从而使基金收益水平发生变化，产生风险。 </w:t>
      </w:r>
    </w:p>
    <w:p w14:paraId="00ED9EFE">
      <w:pPr>
        <w:tabs>
          <w:tab w:val="left" w:pos="851"/>
          <w:tab w:val="left" w:pos="1134"/>
        </w:tabs>
        <w:adjustRightInd w:val="0"/>
        <w:snapToGrid w:val="0"/>
        <w:spacing w:line="360" w:lineRule="auto"/>
        <w:ind w:firstLine="426"/>
        <w:outlineLvl w:val="0"/>
        <w:rPr>
          <w:rFonts w:ascii="宋体" w:hAnsi="宋体" w:cs="Arial"/>
          <w:b/>
        </w:rPr>
      </w:pPr>
      <w:bookmarkStart w:id="94" w:name="_Toc293495055"/>
      <w:r>
        <w:rPr>
          <w:rFonts w:ascii="Arial" w:hAnsi="Arial" w:cs="宋体"/>
          <w:b/>
        </w:rPr>
        <w:t>三、</w:t>
      </w:r>
      <w:r>
        <w:rPr>
          <w:rFonts w:ascii="宋体" w:hAnsi="宋体" w:cs="Arial"/>
          <w:b/>
        </w:rPr>
        <w:t>基金投资组合回报与标的指数回报偏离的风险</w:t>
      </w:r>
      <w:bookmarkEnd w:id="94"/>
      <w:r>
        <w:rPr>
          <w:rFonts w:ascii="宋体" w:hAnsi="宋体" w:cs="Arial"/>
          <w:b/>
        </w:rPr>
        <w:t xml:space="preserve"> </w:t>
      </w:r>
    </w:p>
    <w:p w14:paraId="016F7E8B">
      <w:pPr>
        <w:adjustRightInd w:val="0"/>
        <w:snapToGrid w:val="0"/>
        <w:spacing w:line="360" w:lineRule="auto"/>
        <w:ind w:firstLine="426"/>
        <w:rPr>
          <w:rFonts w:ascii="宋体" w:hAnsi="宋体" w:cs="Arial"/>
        </w:rPr>
      </w:pPr>
      <w:r>
        <w:rPr>
          <w:rFonts w:ascii="宋体" w:hAnsi="宋体" w:cs="Arial"/>
        </w:rPr>
        <w:t xml:space="preserve">以下因素可能使基金投资组合的收益率与标的指数的收益率发生偏离： </w:t>
      </w:r>
    </w:p>
    <w:p w14:paraId="77A9DC80">
      <w:pPr>
        <w:adjustRightInd w:val="0"/>
        <w:snapToGrid w:val="0"/>
        <w:spacing w:line="360" w:lineRule="auto"/>
        <w:ind w:firstLine="426"/>
        <w:rPr>
          <w:rFonts w:ascii="宋体" w:hAnsi="宋体" w:cs="Arial"/>
        </w:rPr>
      </w:pPr>
      <w:r>
        <w:rPr>
          <w:rFonts w:hint="eastAsia" w:ascii="宋体" w:hAnsi="宋体" w:cs="Arial"/>
        </w:rPr>
        <w:t>1、</w:t>
      </w:r>
      <w:r>
        <w:rPr>
          <w:rFonts w:ascii="宋体" w:hAnsi="宋体" w:cs="Arial"/>
        </w:rPr>
        <w:t xml:space="preserve">由于标的指数调整成份股或变更编制方法，使本基金在相应的组合调整中产生跟踪偏离度与跟踪误差。 </w:t>
      </w:r>
    </w:p>
    <w:p w14:paraId="65745687">
      <w:pPr>
        <w:adjustRightInd w:val="0"/>
        <w:snapToGrid w:val="0"/>
        <w:spacing w:line="360" w:lineRule="auto"/>
        <w:ind w:firstLine="426"/>
        <w:rPr>
          <w:rFonts w:ascii="宋体" w:hAnsi="宋体" w:cs="Arial"/>
        </w:rPr>
      </w:pPr>
      <w:r>
        <w:rPr>
          <w:rFonts w:hint="eastAsia" w:ascii="宋体" w:hAnsi="宋体" w:cs="Arial"/>
        </w:rPr>
        <w:t>2、</w:t>
      </w:r>
      <w:r>
        <w:rPr>
          <w:rFonts w:ascii="宋体" w:hAnsi="宋体" w:cs="Arial"/>
        </w:rPr>
        <w:t xml:space="preserve">由于标的指数成份股发生送配股、增发等行为导致成份股在标的指数中的权重发生变化，使本基金在相应的组合调整中产生跟踪偏离度和跟踪误差。 </w:t>
      </w:r>
    </w:p>
    <w:p w14:paraId="426B1620">
      <w:pPr>
        <w:adjustRightInd w:val="0"/>
        <w:snapToGrid w:val="0"/>
        <w:spacing w:line="360" w:lineRule="auto"/>
        <w:ind w:firstLine="426"/>
        <w:rPr>
          <w:rFonts w:ascii="宋体" w:hAnsi="宋体" w:cs="Arial"/>
        </w:rPr>
      </w:pPr>
      <w:r>
        <w:rPr>
          <w:rFonts w:hint="eastAsia" w:ascii="宋体" w:hAnsi="宋体" w:cs="Arial"/>
        </w:rPr>
        <w:t>3、</w:t>
      </w:r>
      <w:r>
        <w:rPr>
          <w:rFonts w:ascii="宋体" w:hAnsi="宋体" w:cs="Arial"/>
        </w:rPr>
        <w:t xml:space="preserve">成份股派发现金红利、成份股增发、送配等所获收益可能导致基金收益率偏离标的指数收益率，从而产生跟踪偏离度。 </w:t>
      </w:r>
    </w:p>
    <w:p w14:paraId="73A79593">
      <w:pPr>
        <w:adjustRightInd w:val="0"/>
        <w:snapToGrid w:val="0"/>
        <w:spacing w:line="360" w:lineRule="auto"/>
        <w:ind w:firstLine="426"/>
        <w:rPr>
          <w:rFonts w:ascii="宋体" w:hAnsi="宋体" w:cs="Arial"/>
        </w:rPr>
      </w:pPr>
      <w:r>
        <w:rPr>
          <w:rFonts w:hint="eastAsia" w:ascii="宋体" w:hAnsi="宋体" w:cs="Arial"/>
        </w:rPr>
        <w:t>4、</w:t>
      </w:r>
      <w:r>
        <w:rPr>
          <w:rFonts w:ascii="宋体" w:hAnsi="宋体" w:cs="Arial"/>
        </w:rPr>
        <w:t xml:space="preserve">由于成份股停牌、摘牌或流动性差等原因使本基金无法及时调整投资组合或承担冲击成本而产生跟踪偏离度和跟踪误差。 </w:t>
      </w:r>
    </w:p>
    <w:p w14:paraId="1473CE0B">
      <w:pPr>
        <w:adjustRightInd w:val="0"/>
        <w:snapToGrid w:val="0"/>
        <w:spacing w:line="360" w:lineRule="auto"/>
        <w:ind w:firstLine="426"/>
        <w:rPr>
          <w:rFonts w:ascii="宋体" w:hAnsi="宋体" w:cs="Arial"/>
        </w:rPr>
      </w:pPr>
      <w:r>
        <w:rPr>
          <w:rFonts w:hint="eastAsia" w:ascii="宋体" w:hAnsi="宋体" w:cs="Arial"/>
        </w:rPr>
        <w:t>5、</w:t>
      </w:r>
      <w:r>
        <w:rPr>
          <w:rFonts w:ascii="宋体" w:hAnsi="宋体" w:cs="Arial"/>
        </w:rPr>
        <w:t xml:space="preserve">由于基金投资过程中的证券交易成本，以及基金管理费和托管费等费的存在，使基金投资组合与标的指数产生跟踪偏离度与跟踪误差。 </w:t>
      </w:r>
    </w:p>
    <w:p w14:paraId="32D1E318">
      <w:pPr>
        <w:adjustRightInd w:val="0"/>
        <w:snapToGrid w:val="0"/>
        <w:spacing w:line="360" w:lineRule="auto"/>
        <w:ind w:firstLine="426"/>
        <w:rPr>
          <w:rFonts w:ascii="宋体" w:hAnsi="宋体" w:cs="Arial"/>
        </w:rPr>
      </w:pPr>
      <w:r>
        <w:rPr>
          <w:rFonts w:hint="eastAsia" w:ascii="宋体" w:hAnsi="宋体" w:cs="Arial"/>
        </w:rPr>
        <w:t>6、</w:t>
      </w:r>
      <w:r>
        <w:rPr>
          <w:rFonts w:ascii="宋体" w:hAnsi="宋体" w:cs="Arial"/>
        </w:rPr>
        <w:t xml:space="preserve">在本基金指数化投资过程中，基金管理人的管理能力，例如跟踪指数的水平、技术手段、买入卖出的时机选择等，都会对本基金的收益产生影响，从而影响本基金对标的指数的跟踪程度。 </w:t>
      </w:r>
    </w:p>
    <w:p w14:paraId="5EC5C522">
      <w:pPr>
        <w:adjustRightInd w:val="0"/>
        <w:snapToGrid w:val="0"/>
        <w:spacing w:line="360" w:lineRule="auto"/>
        <w:ind w:firstLine="426"/>
        <w:rPr>
          <w:rFonts w:ascii="宋体" w:hAnsi="宋体" w:cs="Arial"/>
        </w:rPr>
      </w:pPr>
      <w:r>
        <w:rPr>
          <w:rFonts w:hint="eastAsia" w:ascii="宋体" w:hAnsi="宋体" w:cs="Arial"/>
        </w:rPr>
        <w:t>7、</w:t>
      </w:r>
      <w:r>
        <w:rPr>
          <w:rFonts w:ascii="宋体" w:hAnsi="宋体" w:cs="Arial"/>
        </w:rPr>
        <w:t xml:space="preserve">其他因素产生的偏离。如因受到最低买入股数的限制，基金投资组合中个别股票的持有比例与标的指数中该股票的权重可能不完全相同；因缺乏卖空、对冲机制及其他工具造成的指数跟踪成本较大；因基金申购与赎回带来的现金变动；因指数发布机构指数编制错误等，由此产生跟踪偏离度与跟踪误差。 </w:t>
      </w:r>
    </w:p>
    <w:p w14:paraId="0ED035E4">
      <w:pPr>
        <w:tabs>
          <w:tab w:val="left" w:pos="851"/>
          <w:tab w:val="left" w:pos="1134"/>
        </w:tabs>
        <w:adjustRightInd w:val="0"/>
        <w:snapToGrid w:val="0"/>
        <w:spacing w:line="360" w:lineRule="auto"/>
        <w:ind w:firstLine="426"/>
        <w:outlineLvl w:val="0"/>
        <w:rPr>
          <w:rFonts w:ascii="宋体" w:hAnsi="宋体" w:cs="Arial"/>
          <w:b/>
        </w:rPr>
      </w:pPr>
      <w:bookmarkStart w:id="95" w:name="_Toc293495056"/>
      <w:r>
        <w:rPr>
          <w:rFonts w:ascii="Arial" w:hAnsi="Arial" w:cs="宋体"/>
          <w:b/>
        </w:rPr>
        <w:t>四、</w:t>
      </w:r>
      <w:r>
        <w:rPr>
          <w:rFonts w:hint="eastAsia" w:ascii="宋体" w:hAnsi="宋体" w:cs="Arial"/>
          <w:b/>
        </w:rPr>
        <w:t>流动性风险</w:t>
      </w:r>
    </w:p>
    <w:p w14:paraId="3185C2C4">
      <w:pPr>
        <w:adjustRightInd w:val="0"/>
        <w:snapToGrid w:val="0"/>
        <w:spacing w:line="360" w:lineRule="auto"/>
        <w:ind w:firstLine="426"/>
        <w:rPr>
          <w:rFonts w:ascii="宋体" w:hAnsi="宋体" w:cs="Arial"/>
        </w:rPr>
      </w:pPr>
      <w:r>
        <w:rPr>
          <w:rFonts w:ascii="宋体" w:hAnsi="宋体" w:cs="Arial"/>
        </w:rPr>
        <w:t>1</w:t>
      </w:r>
      <w:r>
        <w:rPr>
          <w:rFonts w:hint="eastAsia" w:ascii="宋体" w:hAnsi="宋体" w:cs="Arial"/>
        </w:rPr>
        <w:t>、本基金交易方式带来的流动性风险</w:t>
      </w:r>
    </w:p>
    <w:p w14:paraId="2C936F6D">
      <w:pPr>
        <w:adjustRightInd w:val="0"/>
        <w:snapToGrid w:val="0"/>
        <w:spacing w:line="360" w:lineRule="auto"/>
        <w:ind w:firstLine="426"/>
        <w:rPr>
          <w:rFonts w:ascii="宋体" w:hAnsi="宋体" w:cs="Arial"/>
        </w:rPr>
      </w:pPr>
      <w:r>
        <w:rPr>
          <w:rFonts w:hint="eastAsia" w:ascii="宋体" w:hAnsi="宋体" w:cs="Arial"/>
        </w:rPr>
        <w:t>①本基金最小申购、赎回单位设置较高，中小投资者只能在二级市场上按交易价格卖出基金份额。</w:t>
      </w:r>
    </w:p>
    <w:p w14:paraId="01644128">
      <w:pPr>
        <w:adjustRightInd w:val="0"/>
        <w:snapToGrid w:val="0"/>
        <w:spacing w:line="360" w:lineRule="auto"/>
        <w:ind w:firstLine="426"/>
        <w:rPr>
          <w:rFonts w:ascii="宋体" w:hAnsi="宋体" w:cs="Arial"/>
        </w:rPr>
      </w:pPr>
      <w:r>
        <w:rPr>
          <w:rFonts w:hint="eastAsia" w:ascii="宋体" w:hAnsi="宋体" w:cs="Arial"/>
        </w:rPr>
        <w:t>②基金将在上海证券交易所上市交易，但不保证市场交易一定活跃；基金的交易可能因各种原因被暂停，当基金不再符合相关上市条件时，基金的上市也可能被终止。</w:t>
      </w:r>
    </w:p>
    <w:p w14:paraId="4D678A31">
      <w:pPr>
        <w:adjustRightInd w:val="0"/>
        <w:snapToGrid w:val="0"/>
        <w:spacing w:line="360" w:lineRule="auto"/>
        <w:ind w:firstLine="426"/>
        <w:rPr>
          <w:rFonts w:ascii="宋体" w:hAnsi="宋体" w:cs="Arial"/>
        </w:rPr>
      </w:pPr>
      <w:r>
        <w:rPr>
          <w:rFonts w:hint="eastAsia" w:ascii="宋体" w:hAnsi="宋体" w:cs="Arial"/>
        </w:rPr>
        <w:t>③尽管由于投资者可以进行申购、赎回，基金一般不会持续出现大幅折溢价情况。但是，基金的二级市场交易价格受市场供求的影响，可能高于（称为溢价）或低于（称为折价）基金份额净值。</w:t>
      </w:r>
    </w:p>
    <w:p w14:paraId="1EE2B127">
      <w:pPr>
        <w:adjustRightInd w:val="0"/>
        <w:snapToGrid w:val="0"/>
        <w:spacing w:line="360" w:lineRule="auto"/>
        <w:ind w:firstLine="426"/>
        <w:rPr>
          <w:rFonts w:ascii="宋体" w:hAnsi="宋体" w:cs="Arial"/>
        </w:rPr>
      </w:pPr>
      <w:r>
        <w:rPr>
          <w:rFonts w:hint="eastAsia" w:ascii="宋体" w:hAnsi="宋体" w:cs="Arial"/>
        </w:rPr>
        <w:t>2、拟投资市场、行业及资产的流动性风险评估</w:t>
      </w:r>
    </w:p>
    <w:p w14:paraId="05E8E8A4">
      <w:pPr>
        <w:adjustRightInd w:val="0"/>
        <w:snapToGrid w:val="0"/>
        <w:spacing w:line="360" w:lineRule="auto"/>
        <w:ind w:firstLine="426"/>
        <w:rPr>
          <w:rFonts w:ascii="宋体" w:hAnsi="宋体" w:cs="Arial"/>
        </w:rPr>
      </w:pPr>
      <w:r>
        <w:rPr>
          <w:rFonts w:hint="eastAsia" w:ascii="宋体" w:hAnsi="宋体" w:cs="Arial"/>
        </w:rPr>
        <w:t>本基金投资对象是具有良好流动性的金融工具，包括依法发行上市的股票、国债期货、股指期货、股票期权、债券、货币市场工具、债券回购、资产支持证券等。投资交易均在依法设立的正规市场中进行，所投市场和资产方面的整体流动性较高。同时，本基金通过投资限制对各类资产的投资比例、期限、评级、杠杆和集中度进行了控制，并严格控制了主动投资于流动性受限资产的比例上限，整体持仓资产的流动性风险较低。</w:t>
      </w:r>
    </w:p>
    <w:p w14:paraId="22C1261A">
      <w:pPr>
        <w:adjustRightInd w:val="0"/>
        <w:snapToGrid w:val="0"/>
        <w:spacing w:line="360" w:lineRule="auto"/>
        <w:ind w:firstLine="426"/>
        <w:rPr>
          <w:rFonts w:ascii="宋体" w:hAnsi="宋体" w:cs="Arial"/>
        </w:rPr>
      </w:pPr>
      <w:r>
        <w:rPr>
          <w:rFonts w:hint="eastAsia" w:ascii="宋体" w:hAnsi="宋体" w:cs="Arial"/>
        </w:rPr>
        <w:t>3、实施备用的流动性风险管理工具的情形、程序及对投资者的潜在影响</w:t>
      </w:r>
    </w:p>
    <w:p w14:paraId="496321DD">
      <w:pPr>
        <w:adjustRightInd w:val="0"/>
        <w:snapToGrid w:val="0"/>
        <w:spacing w:line="360" w:lineRule="auto"/>
        <w:ind w:firstLine="426"/>
        <w:rPr>
          <w:rFonts w:ascii="宋体" w:hAnsi="宋体" w:cs="Arial"/>
        </w:rPr>
      </w:pPr>
      <w:bookmarkStart w:id="96" w:name="_Hlk14014393"/>
      <w:r>
        <w:rPr>
          <w:rFonts w:hint="eastAsia" w:ascii="宋体" w:hAnsi="宋体" w:cs="Arial"/>
        </w:rPr>
        <w:t>在市场大幅波动、流动性枯竭等极端情况下发生无法应对投资者赎回的情形时，基金管理人将以保障投资者合法权益为前提，严格按照法律法规及基金合同的规定，谨慎选取暂停接受赎回申请、延缓支付赎回对价、暂停基金估值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对价支付等可能受到相应影响，基金管理人将严格依照法律法规及基金合同的约定进行操作，全面保障投资者的合法权益。</w:t>
      </w:r>
      <w:bookmarkEnd w:id="96"/>
    </w:p>
    <w:p w14:paraId="611D1ED5">
      <w:pPr>
        <w:tabs>
          <w:tab w:val="left" w:pos="851"/>
          <w:tab w:val="left" w:pos="1134"/>
        </w:tabs>
        <w:adjustRightInd w:val="0"/>
        <w:snapToGrid w:val="0"/>
        <w:spacing w:line="360" w:lineRule="auto"/>
        <w:ind w:firstLine="426"/>
        <w:outlineLvl w:val="0"/>
        <w:rPr>
          <w:rFonts w:ascii="宋体" w:hAnsi="宋体" w:cs="Arial"/>
          <w:b/>
        </w:rPr>
      </w:pPr>
      <w:r>
        <w:rPr>
          <w:rFonts w:ascii="Arial" w:hAnsi="Arial" w:cs="宋体"/>
          <w:b/>
        </w:rPr>
        <w:t>五、</w:t>
      </w:r>
      <w:r>
        <w:rPr>
          <w:rFonts w:ascii="宋体" w:hAnsi="宋体" w:cs="Arial"/>
          <w:b/>
        </w:rPr>
        <w:t>标的指数</w:t>
      </w:r>
      <w:r>
        <w:rPr>
          <w:rFonts w:hint="eastAsia" w:ascii="宋体" w:hAnsi="宋体" w:cs="Arial"/>
          <w:b/>
        </w:rPr>
        <w:t>计算出错</w:t>
      </w:r>
      <w:r>
        <w:rPr>
          <w:rFonts w:ascii="宋体" w:hAnsi="宋体" w:cs="Arial"/>
          <w:b/>
        </w:rPr>
        <w:t>的风险</w:t>
      </w:r>
      <w:bookmarkEnd w:id="95"/>
    </w:p>
    <w:p w14:paraId="1DF01670">
      <w:pPr>
        <w:spacing w:line="360" w:lineRule="auto"/>
        <w:ind w:firstLine="420" w:firstLineChars="200"/>
        <w:rPr>
          <w:rFonts w:ascii="宋体" w:hAnsi="宋体" w:cs="宋体"/>
        </w:rPr>
      </w:pPr>
      <w:r>
        <w:rPr>
          <w:rFonts w:hint="eastAsia" w:ascii="宋体" w:hAnsi="宋体" w:cs="宋体"/>
        </w:rPr>
        <w:t>尽管指数公司将采取一切必要措施以确保指数的准确性，但不对此作任何保证，亦不因指数的任何错误对任何人负责。因此，如果标的指数值出现错误，投资人参考指数值进行投资决策，则可能导致损失。</w:t>
      </w:r>
    </w:p>
    <w:p w14:paraId="7F338CBB">
      <w:pPr>
        <w:spacing w:line="360" w:lineRule="auto"/>
        <w:ind w:firstLine="420" w:firstLineChars="200"/>
        <w:rPr>
          <w:rFonts w:ascii="宋体" w:hAnsi="宋体" w:cs="宋体"/>
        </w:rPr>
      </w:pPr>
      <w:r>
        <w:rPr>
          <w:rFonts w:hint="eastAsia" w:ascii="宋体" w:hAnsi="宋体" w:cs="宋体"/>
        </w:rPr>
        <w:t>本基金标的指数提供方为恒生指数有限公司，如果恒生指数有限公司提供的指数数据出现差错，基金管理人依据该数据进行投资，可能会对基金的投资运作产生不利影响。以下为本基金标的指数的编制商发布的声明：</w:t>
      </w:r>
    </w:p>
    <w:p w14:paraId="670675BE">
      <w:pPr>
        <w:adjustRightInd w:val="0"/>
        <w:snapToGrid w:val="0"/>
        <w:spacing w:line="360" w:lineRule="auto"/>
        <w:ind w:firstLine="426"/>
        <w:rPr>
          <w:rFonts w:ascii="宋体" w:hAnsi="宋体" w:cs="Arial"/>
        </w:rPr>
      </w:pPr>
      <w:bookmarkStart w:id="97" w:name="_DV_C143"/>
      <w:r>
        <w:rPr>
          <w:rStyle w:val="139"/>
          <w:rFonts w:hint="eastAsia" w:asciiTheme="minorEastAsia" w:hAnsiTheme="minorEastAsia" w:eastAsiaTheme="minorEastAsia" w:cstheme="minorEastAsia"/>
          <w:color w:val="000000"/>
          <w:szCs w:val="21"/>
          <w:u w:val="none"/>
          <w:lang w:eastAsia="zh-CN"/>
        </w:rPr>
        <w:t>恒生港股通红利低波动指数</w:t>
      </w:r>
      <w:r>
        <w:rPr>
          <w:rStyle w:val="139"/>
          <w:rFonts w:hint="eastAsia" w:asciiTheme="minorEastAsia" w:hAnsiTheme="minorEastAsia" w:eastAsiaTheme="minorEastAsia" w:cstheme="minorEastAsia"/>
          <w:color w:val="000000"/>
          <w:szCs w:val="21"/>
          <w:u w:val="none"/>
        </w:rPr>
        <w:t>(</w:t>
      </w:r>
      <w:bookmarkEnd w:id="97"/>
      <w:bookmarkStart w:id="98" w:name="_DV_M242"/>
      <w:bookmarkEnd w:id="98"/>
      <w:r>
        <w:rPr>
          <w:rFonts w:hint="eastAsia" w:asciiTheme="minorEastAsia" w:hAnsiTheme="minorEastAsia" w:eastAsiaTheme="minorEastAsia" w:cstheme="minorEastAsia"/>
          <w:color w:val="000000"/>
          <w:szCs w:val="21"/>
        </w:rPr>
        <w:t>“该指数”</w:t>
      </w:r>
      <w:bookmarkStart w:id="99" w:name="_DV_C145"/>
      <w:r>
        <w:rPr>
          <w:rStyle w:val="139"/>
          <w:rFonts w:hint="eastAsia" w:asciiTheme="minorEastAsia" w:hAnsiTheme="minorEastAsia" w:eastAsiaTheme="minorEastAsia" w:cstheme="minorEastAsia"/>
          <w:color w:val="000000"/>
          <w:szCs w:val="21"/>
          <w:u w:val="none"/>
        </w:rPr>
        <w:t>)</w:t>
      </w:r>
      <w:bookmarkEnd w:id="99"/>
      <w:bookmarkStart w:id="100" w:name="_DV_M243"/>
      <w:bookmarkEnd w:id="100"/>
      <w:r>
        <w:rPr>
          <w:rFonts w:hint="eastAsia" w:asciiTheme="minorEastAsia" w:hAnsiTheme="minorEastAsia" w:eastAsiaTheme="minorEastAsia" w:cstheme="minorEastAsia"/>
          <w:color w:val="000000"/>
          <w:szCs w:val="21"/>
        </w:rPr>
        <w:t>由恒生指数有限公司根据恒生资讯服务有限公司的授权发布及编制。</w:t>
      </w:r>
      <w:bookmarkStart w:id="101" w:name="_DV_M245"/>
      <w:bookmarkEnd w:id="101"/>
      <w:r>
        <w:rPr>
          <w:rFonts w:hint="eastAsia" w:asciiTheme="minorEastAsia" w:hAnsiTheme="minorEastAsia" w:eastAsiaTheme="minorEastAsia" w:cstheme="minorEastAsia"/>
          <w:color w:val="000000"/>
          <w:szCs w:val="21"/>
          <w:lang w:eastAsia="zh-CN"/>
        </w:rPr>
        <w:t>恒生港股通红利低波动指数</w:t>
      </w:r>
      <w:r>
        <w:rPr>
          <w:rFonts w:hint="eastAsia" w:asciiTheme="minorEastAsia" w:hAnsiTheme="minorEastAsia" w:eastAsiaTheme="minorEastAsia" w:cstheme="minorEastAsia"/>
          <w:color w:val="000000"/>
          <w:szCs w:val="21"/>
        </w:rPr>
        <w:t>的</w:t>
      </w:r>
      <w:r>
        <w:rPr>
          <w:rFonts w:hint="eastAsia" w:asciiTheme="minorEastAsia" w:hAnsiTheme="minorEastAsia" w:eastAsiaTheme="minorEastAsia" w:cstheme="minorEastAsia"/>
          <w:color w:val="000000"/>
          <w:szCs w:val="21"/>
          <w:lang w:val="en-GB"/>
        </w:rPr>
        <w:t>商</w:t>
      </w:r>
      <w:r>
        <w:rPr>
          <w:rFonts w:hint="eastAsia" w:asciiTheme="minorEastAsia" w:hAnsiTheme="minorEastAsia" w:eastAsiaTheme="minorEastAsia" w:cstheme="minorEastAsia"/>
          <w:color w:val="000000"/>
          <w:szCs w:val="21"/>
        </w:rPr>
        <w:t>标及名称由恒生资讯服务有限公司</w:t>
      </w:r>
      <w:r>
        <w:rPr>
          <w:rFonts w:hint="eastAsia" w:asciiTheme="minorEastAsia" w:hAnsiTheme="minorEastAsia" w:eastAsiaTheme="minorEastAsia" w:cstheme="minorEastAsia"/>
          <w:color w:val="000000"/>
          <w:szCs w:val="21"/>
          <w:lang w:val="en-GB"/>
        </w:rPr>
        <w:t>全权</w:t>
      </w:r>
      <w:r>
        <w:rPr>
          <w:rFonts w:hint="eastAsia" w:asciiTheme="minorEastAsia" w:hAnsiTheme="minorEastAsia" w:eastAsiaTheme="minorEastAsia" w:cstheme="minorEastAsia"/>
          <w:color w:val="000000"/>
          <w:szCs w:val="21"/>
        </w:rPr>
        <w:t>拥有。恒生指数有限公司及恒生资讯服务有限公司已同意</w:t>
      </w:r>
      <w:bookmarkStart w:id="102" w:name="_DV_C150"/>
      <w:r>
        <w:rPr>
          <w:rFonts w:hint="eastAsia" w:asciiTheme="minorEastAsia" w:hAnsiTheme="minorEastAsia" w:eastAsiaTheme="minorEastAsia" w:cstheme="minorEastAsia"/>
          <w:szCs w:val="21"/>
        </w:rPr>
        <w:t>博时基金管理有限公司可就博时恒生港股通</w:t>
      </w:r>
      <w:r>
        <w:rPr>
          <w:rFonts w:hint="eastAsia" w:asciiTheme="minorEastAsia" w:hAnsiTheme="minorEastAsia" w:eastAsiaTheme="minorEastAsia" w:cstheme="minorEastAsia"/>
          <w:szCs w:val="21"/>
          <w:lang w:val="en-US" w:eastAsia="zh-CN"/>
        </w:rPr>
        <w:t>红利</w:t>
      </w:r>
      <w:r>
        <w:rPr>
          <w:rFonts w:hint="eastAsia" w:asciiTheme="minorEastAsia" w:hAnsiTheme="minorEastAsia" w:eastAsiaTheme="minorEastAsia" w:cstheme="minorEastAsia"/>
          <w:szCs w:val="21"/>
        </w:rPr>
        <w:t>低波动交易型开放式指数证券投资基金（或由</w:t>
      </w:r>
      <w:r>
        <w:rPr>
          <w:rFonts w:hint="eastAsia" w:asciiTheme="minorEastAsia" w:hAnsiTheme="minorEastAsia" w:eastAsiaTheme="minorEastAsia" w:cstheme="minorEastAsia"/>
          <w:color w:val="000000"/>
          <w:szCs w:val="21"/>
        </w:rPr>
        <w:t>中国证券监督管理委员会</w:t>
      </w:r>
      <w:r>
        <w:rPr>
          <w:rFonts w:hint="eastAsia" w:asciiTheme="minorEastAsia" w:hAnsiTheme="minorEastAsia" w:eastAsiaTheme="minorEastAsia" w:cstheme="minorEastAsia"/>
          <w:szCs w:val="21"/>
        </w:rPr>
        <w:t>审核的其它名称</w:t>
      </w:r>
      <w:r>
        <w:rPr>
          <w:rFonts w:hint="eastAsia" w:asciiTheme="minorEastAsia" w:hAnsiTheme="minorEastAsia" w:eastAsiaTheme="minorEastAsia" w:cstheme="minorEastAsia"/>
          <w:color w:val="000000"/>
          <w:szCs w:val="21"/>
        </w:rPr>
        <w:t>）及博时恒生港股通</w:t>
      </w:r>
      <w:r>
        <w:rPr>
          <w:rFonts w:hint="eastAsia" w:asciiTheme="minorEastAsia" w:hAnsiTheme="minorEastAsia" w:eastAsiaTheme="minorEastAsia" w:cstheme="minorEastAsia"/>
          <w:szCs w:val="21"/>
          <w:lang w:val="en-US" w:eastAsia="zh-CN"/>
        </w:rPr>
        <w:t>红利</w:t>
      </w:r>
      <w:r>
        <w:rPr>
          <w:rFonts w:hint="eastAsia" w:asciiTheme="minorEastAsia" w:hAnsiTheme="minorEastAsia" w:eastAsiaTheme="minorEastAsia" w:cstheme="minorEastAsia"/>
          <w:color w:val="000000"/>
          <w:szCs w:val="21"/>
        </w:rPr>
        <w:t>低波动交易型开放式指数证券投资基金联接基金</w:t>
      </w:r>
      <w:r>
        <w:rPr>
          <w:rStyle w:val="54"/>
          <w:rFonts w:hint="eastAsia"/>
        </w:rPr>
        <w:t>或</w:t>
      </w:r>
      <w:r>
        <w:rPr>
          <w:rFonts w:hint="eastAsia" w:asciiTheme="minorEastAsia" w:hAnsiTheme="minorEastAsia" w:eastAsiaTheme="minorEastAsia" w:cstheme="minorEastAsia"/>
          <w:color w:val="000000"/>
          <w:szCs w:val="21"/>
        </w:rPr>
        <w:t>博时恒生港股通</w:t>
      </w:r>
      <w:r>
        <w:rPr>
          <w:rFonts w:hint="eastAsia" w:asciiTheme="minorEastAsia" w:hAnsiTheme="minorEastAsia" w:eastAsiaTheme="minorEastAsia" w:cstheme="minorEastAsia"/>
          <w:szCs w:val="21"/>
          <w:lang w:val="en-US" w:eastAsia="zh-CN"/>
        </w:rPr>
        <w:t>红利</w:t>
      </w:r>
      <w:r>
        <w:rPr>
          <w:rFonts w:hint="eastAsia" w:asciiTheme="minorEastAsia" w:hAnsiTheme="minorEastAsia" w:eastAsiaTheme="minorEastAsia" w:cstheme="minorEastAsia"/>
          <w:color w:val="000000"/>
          <w:szCs w:val="21"/>
        </w:rPr>
        <w:t>低波动交易型开放式指数证券投资基金发起式联接基金</w:t>
      </w:r>
      <w:r>
        <w:rPr>
          <w:rFonts w:hint="eastAsia" w:asciiTheme="minorEastAsia" w:hAnsiTheme="minorEastAsia" w:eastAsiaTheme="minorEastAsia" w:cstheme="minorEastAsia"/>
          <w:szCs w:val="21"/>
        </w:rPr>
        <w:t>或由</w:t>
      </w:r>
      <w:r>
        <w:rPr>
          <w:rFonts w:hint="eastAsia" w:asciiTheme="minorEastAsia" w:hAnsiTheme="minorEastAsia" w:eastAsiaTheme="minorEastAsia" w:cstheme="minorEastAsia"/>
          <w:color w:val="000000"/>
          <w:szCs w:val="21"/>
        </w:rPr>
        <w:t>中国证券监督管理委员会</w:t>
      </w:r>
      <w:r>
        <w:rPr>
          <w:rFonts w:hint="eastAsia" w:asciiTheme="minorEastAsia" w:hAnsiTheme="minorEastAsia" w:eastAsiaTheme="minorEastAsia" w:cstheme="minorEastAsia"/>
          <w:szCs w:val="21"/>
        </w:rPr>
        <w:t>审核的其它名称</w:t>
      </w:r>
      <w:r>
        <w:rPr>
          <w:rFonts w:hint="eastAsia" w:asciiTheme="minorEastAsia" w:hAnsiTheme="minorEastAsia" w:eastAsiaTheme="minorEastAsia" w:cstheme="minorEastAsia"/>
          <w:color w:val="000000"/>
          <w:szCs w:val="21"/>
        </w:rPr>
        <w:t>）（“</w:t>
      </w:r>
      <w:r>
        <w:rPr>
          <w:rFonts w:hint="eastAsia" w:asciiTheme="minorEastAsia" w:hAnsiTheme="minorEastAsia" w:eastAsiaTheme="minorEastAsia" w:cstheme="minorEastAsia"/>
          <w:szCs w:val="21"/>
        </w:rPr>
        <w:t>该产品</w:t>
      </w:r>
      <w:r>
        <w:rPr>
          <w:rFonts w:hint="eastAsia" w:asciiTheme="minorEastAsia" w:hAnsiTheme="minorEastAsia" w:eastAsiaTheme="minorEastAsia" w:cstheme="minorEastAsia"/>
          <w:color w:val="000000"/>
          <w:szCs w:val="21"/>
        </w:rPr>
        <w:t>”）</w:t>
      </w:r>
      <w:bookmarkEnd w:id="102"/>
      <w:bookmarkStart w:id="103" w:name="_DV_M246"/>
      <w:bookmarkEnd w:id="103"/>
      <w:r>
        <w:rPr>
          <w:rFonts w:hint="eastAsia" w:asciiTheme="minorEastAsia" w:hAnsiTheme="minorEastAsia" w:eastAsiaTheme="minorEastAsia" w:cstheme="minorEastAsia"/>
          <w:color w:val="000000"/>
          <w:szCs w:val="21"/>
        </w:rPr>
        <w:t>使用及</w:t>
      </w:r>
      <w:r>
        <w:rPr>
          <w:rFonts w:hint="eastAsia" w:asciiTheme="minorEastAsia" w:hAnsiTheme="minorEastAsia" w:eastAsiaTheme="minorEastAsia" w:cstheme="minorEastAsia"/>
          <w:color w:val="000000"/>
          <w:szCs w:val="21"/>
          <w:lang w:val="en-GB"/>
        </w:rPr>
        <w:t>参考</w:t>
      </w:r>
      <w:r>
        <w:rPr>
          <w:rFonts w:hint="eastAsia" w:asciiTheme="minorEastAsia" w:hAnsiTheme="minorEastAsia" w:eastAsiaTheme="minorEastAsia" w:cstheme="minorEastAsia"/>
          <w:color w:val="000000"/>
          <w:szCs w:val="21"/>
        </w:rPr>
        <w:t>该指数，但是，</w:t>
      </w:r>
      <w:r>
        <w:rPr>
          <w:rFonts w:hint="eastAsia" w:asciiTheme="minorEastAsia" w:hAnsiTheme="minorEastAsia" w:eastAsiaTheme="minorEastAsia" w:cstheme="minorEastAsia"/>
          <w:b/>
          <w:color w:val="000000"/>
          <w:szCs w:val="21"/>
        </w:rPr>
        <w:t>恒生指数有限公司及恒生资讯服务有限公司并不就(i)该指数及其计算或任何与之有关的数据的准确性</w:t>
      </w:r>
      <w:r>
        <w:rPr>
          <w:rFonts w:hint="eastAsia" w:asciiTheme="minorEastAsia" w:hAnsiTheme="minorEastAsia" w:eastAsiaTheme="minorEastAsia" w:cstheme="minorEastAsia"/>
          <w:b/>
          <w:color w:val="000000"/>
          <w:szCs w:val="21"/>
          <w:lang w:val="en-GB"/>
        </w:rPr>
        <w:t>或</w:t>
      </w:r>
      <w:r>
        <w:rPr>
          <w:rFonts w:hint="eastAsia" w:asciiTheme="minorEastAsia" w:hAnsiTheme="minorEastAsia" w:eastAsiaTheme="minorEastAsia" w:cstheme="minorEastAsia"/>
          <w:b/>
          <w:color w:val="000000"/>
          <w:szCs w:val="21"/>
        </w:rPr>
        <w:t>完整性；或(ii)该指数或其中任何成份或其所包涵的</w:t>
      </w:r>
      <w:r>
        <w:rPr>
          <w:rFonts w:hint="eastAsia" w:asciiTheme="minorEastAsia" w:hAnsiTheme="minorEastAsia" w:eastAsiaTheme="minorEastAsia" w:cstheme="minorEastAsia"/>
          <w:b/>
          <w:color w:val="000000"/>
          <w:szCs w:val="21"/>
          <w:lang w:val="en-GB"/>
        </w:rPr>
        <w:t>数据</w:t>
      </w:r>
      <w:r>
        <w:rPr>
          <w:rFonts w:hint="eastAsia" w:asciiTheme="minorEastAsia" w:hAnsiTheme="minorEastAsia" w:eastAsiaTheme="minorEastAsia" w:cstheme="minorEastAsia"/>
          <w:b/>
          <w:color w:val="000000"/>
          <w:szCs w:val="21"/>
        </w:rPr>
        <w:t>的适用性或适合性；或(iii)任何人士因使用该指数或其中任何成份或其所包涵的</w:t>
      </w:r>
      <w:r>
        <w:rPr>
          <w:rFonts w:hint="eastAsia" w:asciiTheme="minorEastAsia" w:hAnsiTheme="minorEastAsia" w:eastAsiaTheme="minorEastAsia" w:cstheme="minorEastAsia"/>
          <w:b/>
          <w:color w:val="000000"/>
          <w:szCs w:val="21"/>
          <w:lang w:val="en-GB"/>
        </w:rPr>
        <w:t>数据而产生的</w:t>
      </w:r>
      <w:r>
        <w:rPr>
          <w:rFonts w:hint="eastAsia" w:asciiTheme="minorEastAsia" w:hAnsiTheme="minorEastAsia" w:eastAsiaTheme="minorEastAsia" w:cstheme="minorEastAsia"/>
          <w:b/>
          <w:color w:val="000000"/>
          <w:szCs w:val="21"/>
        </w:rPr>
        <w:t>结果，而向该产品的任何经纪或该产品持有人或任何其它人士作出保证或声明或担保，也不会就该指数提供或默示任何保证、声明或担保。</w:t>
      </w:r>
      <w:r>
        <w:rPr>
          <w:rFonts w:hint="eastAsia" w:asciiTheme="minorEastAsia" w:hAnsiTheme="minorEastAsia" w:eastAsiaTheme="minorEastAsia" w:cstheme="minorEastAsia"/>
          <w:color w:val="000000"/>
          <w:szCs w:val="21"/>
        </w:rPr>
        <w:t>恒生指数有限公司可随时更改或修改计算及编制该指数及其任何有关</w:t>
      </w:r>
      <w:r>
        <w:rPr>
          <w:rFonts w:hint="eastAsia" w:asciiTheme="minorEastAsia" w:hAnsiTheme="minorEastAsia" w:eastAsiaTheme="minorEastAsia" w:cstheme="minorEastAsia"/>
          <w:color w:val="000000"/>
          <w:szCs w:val="21"/>
          <w:lang w:val="en-GB"/>
        </w:rPr>
        <w:t>的公式</w:t>
      </w:r>
      <w:r>
        <w:rPr>
          <w:rFonts w:hint="eastAsia" w:asciiTheme="minorEastAsia" w:hAnsiTheme="minorEastAsia" w:eastAsiaTheme="minorEastAsia" w:cstheme="minorEastAsia"/>
          <w:color w:val="000000"/>
          <w:szCs w:val="21"/>
        </w:rPr>
        <w:t>、成份股份及系数的过程及基准，而无须作出通知。</w:t>
      </w:r>
      <w:r>
        <w:rPr>
          <w:rFonts w:hint="eastAsia" w:asciiTheme="minorEastAsia" w:hAnsiTheme="minorEastAsia" w:eastAsiaTheme="minorEastAsia" w:cstheme="minorEastAsia"/>
          <w:b/>
          <w:color w:val="000000"/>
          <w:szCs w:val="21"/>
        </w:rPr>
        <w:t>在</w:t>
      </w:r>
      <w:r>
        <w:rPr>
          <w:rFonts w:hint="eastAsia" w:asciiTheme="minorEastAsia" w:hAnsiTheme="minorEastAsia" w:eastAsiaTheme="minorEastAsia" w:cstheme="minorEastAsia"/>
          <w:b/>
          <w:color w:val="000000"/>
          <w:szCs w:val="21"/>
          <w:lang w:val="en-GB"/>
        </w:rPr>
        <w:t>适用</w:t>
      </w:r>
      <w:r>
        <w:rPr>
          <w:rFonts w:hint="eastAsia" w:asciiTheme="minorEastAsia" w:hAnsiTheme="minorEastAsia" w:eastAsiaTheme="minorEastAsia" w:cstheme="minorEastAsia"/>
          <w:b/>
          <w:color w:val="000000"/>
          <w:szCs w:val="21"/>
        </w:rPr>
        <w:t>法律允许的范围内，恒生指数有限公司或恒生资讯服务有限公司不会因(i)</w:t>
      </w:r>
      <w:bookmarkStart w:id="104" w:name="_DV_M247"/>
      <w:bookmarkEnd w:id="104"/>
      <w:r>
        <w:rPr>
          <w:rFonts w:hint="eastAsia" w:asciiTheme="minorEastAsia" w:hAnsiTheme="minorEastAsia" w:eastAsiaTheme="minorEastAsia" w:cstheme="minorEastAsia"/>
          <w:szCs w:val="21"/>
        </w:rPr>
        <w:t xml:space="preserve"> 博时基金管理有限公司</w:t>
      </w:r>
      <w:r>
        <w:rPr>
          <w:rFonts w:hint="eastAsia" w:asciiTheme="minorEastAsia" w:hAnsiTheme="minorEastAsia" w:eastAsiaTheme="minorEastAsia" w:cstheme="minorEastAsia"/>
          <w:b/>
          <w:color w:val="000000"/>
          <w:szCs w:val="21"/>
        </w:rPr>
        <w:t>就该产品</w:t>
      </w:r>
      <w:r>
        <w:rPr>
          <w:rFonts w:hint="eastAsia" w:asciiTheme="minorEastAsia" w:hAnsiTheme="minorEastAsia" w:eastAsiaTheme="minorEastAsia" w:cstheme="minorEastAsia"/>
          <w:b/>
          <w:color w:val="000000"/>
          <w:szCs w:val="21"/>
          <w:lang w:val="en-GB"/>
        </w:rPr>
        <w:t>使</w:t>
      </w:r>
      <w:r>
        <w:rPr>
          <w:rFonts w:hint="eastAsia" w:asciiTheme="minorEastAsia" w:hAnsiTheme="minorEastAsia" w:eastAsiaTheme="minorEastAsia" w:cstheme="minorEastAsia"/>
          <w:b/>
          <w:color w:val="000000"/>
          <w:szCs w:val="21"/>
        </w:rPr>
        <w:t>用及/或参考该指数；或(ii)恒生指数有限公司在计算该指数时的任何失准、遗漏、失误或错误；或(iii)与计算该指数有关并由任何其它人士提供的资料的任何失准、遗漏、失误﹑错误或不完整；或(iv)任何经纪、该产品持有人或任何其它交易该产品的人士，因上述原因而直接或间接蒙受的任何经济或其它损失承担任何责任</w:t>
      </w:r>
      <w:r>
        <w:rPr>
          <w:rFonts w:hint="eastAsia" w:asciiTheme="minorEastAsia" w:hAnsiTheme="minorEastAsia" w:eastAsiaTheme="minorEastAsia" w:cstheme="minorEastAsia"/>
          <w:b/>
          <w:color w:val="000000"/>
          <w:szCs w:val="21"/>
          <w:lang w:val="en-GB"/>
        </w:rPr>
        <w:t xml:space="preserve">或债务, </w:t>
      </w:r>
      <w:r>
        <w:rPr>
          <w:rFonts w:hint="eastAsia" w:asciiTheme="minorEastAsia" w:hAnsiTheme="minorEastAsia" w:eastAsiaTheme="minorEastAsia" w:cstheme="minorEastAsia"/>
          <w:b/>
          <w:color w:val="000000"/>
          <w:szCs w:val="21"/>
        </w:rPr>
        <w:t>任何经纪、该产品持有人或任何其它交易该产品的人士不得因该产品，以任何形式向恒生指数有限公司及/或恒生资讯服务有限公司进行索偿、法律行动或法律诉讼。</w:t>
      </w:r>
      <w:r>
        <w:rPr>
          <w:rFonts w:hint="eastAsia" w:asciiTheme="minorEastAsia" w:hAnsiTheme="minorEastAsia" w:eastAsiaTheme="minorEastAsia" w:cstheme="minorEastAsia"/>
          <w:color w:val="000000"/>
          <w:szCs w:val="21"/>
        </w:rPr>
        <w:t>任何经纪、持有人或任何其它人士，须</w:t>
      </w:r>
      <w:r>
        <w:rPr>
          <w:rFonts w:hint="eastAsia" w:asciiTheme="minorEastAsia" w:hAnsiTheme="minorEastAsia" w:eastAsiaTheme="minorEastAsia" w:cstheme="minorEastAsia"/>
          <w:color w:val="000000"/>
          <w:szCs w:val="21"/>
          <w:lang w:val="en-GB"/>
        </w:rPr>
        <w:t>在</w:t>
      </w:r>
      <w:r>
        <w:rPr>
          <w:rFonts w:hint="eastAsia" w:asciiTheme="minorEastAsia" w:hAnsiTheme="minorEastAsia" w:eastAsiaTheme="minorEastAsia" w:cstheme="minorEastAsia"/>
          <w:color w:val="000000"/>
          <w:szCs w:val="21"/>
        </w:rPr>
        <w:t>完全了解此免责声明，并且不能依赖恒生指数有限公司及恒生资讯服务有限公司</w:t>
      </w:r>
      <w:r>
        <w:rPr>
          <w:rFonts w:hint="eastAsia" w:asciiTheme="minorEastAsia" w:hAnsiTheme="minorEastAsia" w:eastAsiaTheme="minorEastAsia" w:cstheme="minorEastAsia"/>
          <w:color w:val="000000"/>
          <w:szCs w:val="21"/>
          <w:lang w:val="en-GB"/>
        </w:rPr>
        <w:t>的情况下</w:t>
      </w:r>
      <w:r>
        <w:rPr>
          <w:rFonts w:hint="eastAsia" w:asciiTheme="minorEastAsia" w:hAnsiTheme="minorEastAsia" w:eastAsiaTheme="minorEastAsia" w:cstheme="minorEastAsia"/>
          <w:color w:val="000000"/>
          <w:szCs w:val="21"/>
        </w:rPr>
        <w:t>交易该产品。为避免产生疑问，本免责声明不构成任何经纪、持有人或任何其它人士与恒生指数有限公司及/或恒生资讯服务有限公司之间的任何合约或准合约关系，也不应视作已构成这种关系。</w:t>
      </w:r>
      <w:r>
        <w:rPr>
          <w:rFonts w:hint="eastAsia" w:asciiTheme="minorEastAsia" w:hAnsiTheme="minorEastAsia" w:eastAsiaTheme="minorEastAsia" w:cstheme="minorEastAsia"/>
          <w:color w:val="000000"/>
          <w:szCs w:val="21"/>
          <w:lang w:val="en-GB"/>
        </w:rPr>
        <w:t>任何</w:t>
      </w:r>
      <w:r>
        <w:rPr>
          <w:rFonts w:hint="eastAsia" w:asciiTheme="minorEastAsia" w:hAnsiTheme="minorEastAsia" w:eastAsiaTheme="minorEastAsia" w:cstheme="minorEastAsia"/>
          <w:color w:val="000000"/>
          <w:szCs w:val="21"/>
        </w:rPr>
        <w:t>投资者</w:t>
      </w:r>
      <w:r>
        <w:rPr>
          <w:rFonts w:hint="eastAsia" w:asciiTheme="minorEastAsia" w:hAnsiTheme="minorEastAsia" w:eastAsiaTheme="minorEastAsia" w:cstheme="minorEastAsia"/>
          <w:color w:val="000000"/>
          <w:szCs w:val="21"/>
          <w:lang w:val="en-GB"/>
        </w:rPr>
        <w:t>如</w:t>
      </w:r>
      <w:r>
        <w:rPr>
          <w:rFonts w:hint="eastAsia" w:asciiTheme="minorEastAsia" w:hAnsiTheme="minorEastAsia" w:eastAsiaTheme="minorEastAsia" w:cstheme="minorEastAsia"/>
          <w:color w:val="000000"/>
          <w:szCs w:val="21"/>
        </w:rPr>
        <w:t>认购或购买</w:t>
      </w:r>
      <w:r>
        <w:rPr>
          <w:rFonts w:hint="eastAsia" w:asciiTheme="minorEastAsia" w:hAnsiTheme="minorEastAsia" w:eastAsiaTheme="minorEastAsia" w:cstheme="minorEastAsia"/>
          <w:color w:val="000000"/>
          <w:szCs w:val="21"/>
          <w:lang w:val="en-GB"/>
        </w:rPr>
        <w:t>该</w:t>
      </w:r>
      <w:r>
        <w:rPr>
          <w:rFonts w:hint="eastAsia" w:asciiTheme="minorEastAsia" w:hAnsiTheme="minorEastAsia" w:eastAsiaTheme="minorEastAsia" w:cstheme="minorEastAsia"/>
          <w:color w:val="000000"/>
          <w:szCs w:val="21"/>
        </w:rPr>
        <w:t>产品权益，该投资者将被视为已承认、理解并接受</w:t>
      </w:r>
      <w:r>
        <w:rPr>
          <w:rFonts w:hint="eastAsia" w:asciiTheme="minorEastAsia" w:hAnsiTheme="minorEastAsia" w:eastAsiaTheme="minorEastAsia" w:cstheme="minorEastAsia"/>
          <w:color w:val="000000"/>
          <w:szCs w:val="21"/>
          <w:lang w:val="en-GB"/>
        </w:rPr>
        <w:t>此</w:t>
      </w:r>
      <w:r>
        <w:rPr>
          <w:rFonts w:hint="eastAsia" w:asciiTheme="minorEastAsia" w:hAnsiTheme="minorEastAsia" w:eastAsiaTheme="minorEastAsia" w:cstheme="minorEastAsia"/>
          <w:color w:val="000000"/>
          <w:szCs w:val="21"/>
        </w:rPr>
        <w:t>免责声明并受其约束，以及</w:t>
      </w:r>
      <w:r>
        <w:rPr>
          <w:rFonts w:hint="eastAsia" w:asciiTheme="minorEastAsia" w:hAnsiTheme="minorEastAsia" w:eastAsiaTheme="minorEastAsia" w:cstheme="minorEastAsia"/>
          <w:color w:val="000000"/>
          <w:szCs w:val="21"/>
          <w:lang w:val="en-GB"/>
        </w:rPr>
        <w:t>承认、理解并接受该</w:t>
      </w:r>
      <w:r>
        <w:rPr>
          <w:rFonts w:hint="eastAsia" w:asciiTheme="minorEastAsia" w:hAnsiTheme="minorEastAsia" w:eastAsiaTheme="minorEastAsia" w:cstheme="minorEastAsia"/>
          <w:color w:val="000000"/>
          <w:szCs w:val="21"/>
        </w:rPr>
        <w:t>产品所使用之该指数</w:t>
      </w:r>
      <w:r>
        <w:rPr>
          <w:rFonts w:hint="eastAsia" w:asciiTheme="minorEastAsia" w:hAnsiTheme="minorEastAsia" w:eastAsiaTheme="minorEastAsia" w:cstheme="minorEastAsia"/>
          <w:color w:val="000000"/>
          <w:szCs w:val="21"/>
          <w:lang w:val="en-GB"/>
        </w:rPr>
        <w:t>数值</w:t>
      </w:r>
      <w:r>
        <w:rPr>
          <w:rFonts w:hint="eastAsia" w:asciiTheme="minorEastAsia" w:hAnsiTheme="minorEastAsia" w:eastAsiaTheme="minorEastAsia" w:cstheme="minorEastAsia"/>
          <w:color w:val="000000"/>
          <w:szCs w:val="21"/>
        </w:rPr>
        <w:t>为恒生指数</w:t>
      </w:r>
      <w:r>
        <w:rPr>
          <w:rFonts w:hint="eastAsia" w:asciiTheme="minorEastAsia" w:hAnsiTheme="minorEastAsia" w:eastAsiaTheme="minorEastAsia" w:cstheme="minorEastAsia"/>
          <w:color w:val="000000"/>
          <w:szCs w:val="21"/>
          <w:lang w:val="en-GB"/>
        </w:rPr>
        <w:t>有限</w:t>
      </w:r>
      <w:r>
        <w:rPr>
          <w:rFonts w:hint="eastAsia" w:asciiTheme="minorEastAsia" w:hAnsiTheme="minorEastAsia" w:eastAsiaTheme="minorEastAsia" w:cstheme="minorEastAsia"/>
          <w:color w:val="000000"/>
          <w:szCs w:val="21"/>
        </w:rPr>
        <w:t>公司酌情计算的结果。</w:t>
      </w:r>
      <w:r>
        <w:rPr>
          <w:rFonts w:ascii="宋体" w:hAnsi="宋体" w:cs="Arial"/>
        </w:rPr>
        <w:t xml:space="preserve"> </w:t>
      </w:r>
    </w:p>
    <w:p w14:paraId="33BF6D85">
      <w:pPr>
        <w:numPr>
          <w:ilvl w:val="255"/>
          <w:numId w:val="0"/>
        </w:numPr>
        <w:tabs>
          <w:tab w:val="left" w:pos="851"/>
          <w:tab w:val="left" w:pos="1134"/>
        </w:tabs>
        <w:adjustRightInd w:val="0"/>
        <w:snapToGrid w:val="0"/>
        <w:spacing w:line="360" w:lineRule="auto"/>
        <w:ind w:firstLine="422" w:firstLineChars="200"/>
        <w:outlineLvl w:val="0"/>
        <w:rPr>
          <w:rFonts w:ascii="宋体" w:hAnsi="宋体" w:cs="Arial"/>
          <w:b/>
        </w:rPr>
      </w:pPr>
      <w:bookmarkStart w:id="105" w:name="_Toc293495057"/>
      <w:r>
        <w:rPr>
          <w:rFonts w:hint="eastAsia" w:ascii="宋体" w:hAnsi="宋体" w:cs="Arial"/>
          <w:b/>
        </w:rPr>
        <w:t>六、</w:t>
      </w:r>
      <w:r>
        <w:rPr>
          <w:rFonts w:ascii="宋体" w:hAnsi="宋体" w:cs="Arial"/>
          <w:b/>
        </w:rPr>
        <w:t>指数编制机构停止服务的风险</w:t>
      </w:r>
    </w:p>
    <w:p w14:paraId="5CE9C8E8">
      <w:pPr>
        <w:numPr>
          <w:ilvl w:val="255"/>
          <w:numId w:val="0"/>
        </w:numPr>
        <w:adjustRightInd w:val="0"/>
        <w:snapToGrid w:val="0"/>
        <w:spacing w:line="360" w:lineRule="auto"/>
        <w:ind w:firstLine="420" w:firstLineChars="200"/>
        <w:rPr>
          <w:rFonts w:ascii="宋体" w:hAnsi="宋体" w:cs="Arial"/>
        </w:rPr>
      </w:pPr>
      <w:r>
        <w:rPr>
          <w:rFonts w:hint="eastAsia" w:ascii="宋体" w:hAnsi="宋体" w:cs="Arial"/>
        </w:rPr>
        <w:t>本基金的标的指数由指数编制机构发布并管理和维护，未来指数编制机构可能由于各种原因停止对指数的管理和维护，本基金将根据基金合同的约定自该情形发生之日起十个工作日向中国证监会报告并提出解决方案，如转换运作方式、与其他基金合并或者终止基金合同等，并在6个月内召集基金份额持有人大会。因此，投资人将面临转换运作方式、与其他基金合并或者终止基金合同等风险。</w:t>
      </w:r>
    </w:p>
    <w:p w14:paraId="44986140">
      <w:pPr>
        <w:numPr>
          <w:ilvl w:val="255"/>
          <w:numId w:val="0"/>
        </w:numPr>
        <w:adjustRightInd w:val="0"/>
        <w:snapToGrid w:val="0"/>
        <w:spacing w:line="360" w:lineRule="auto"/>
        <w:ind w:firstLine="420" w:firstLineChars="200"/>
        <w:rPr>
          <w:rFonts w:ascii="宋体" w:hAnsi="宋体" w:cs="Arial"/>
        </w:rPr>
      </w:pPr>
      <w:r>
        <w:rPr>
          <w:rFonts w:hint="eastAsia" w:ascii="宋体" w:hAnsi="宋体" w:cs="Arial"/>
        </w:rPr>
        <w:t>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w:t>
      </w:r>
    </w:p>
    <w:p w14:paraId="033A04C5">
      <w:pPr>
        <w:numPr>
          <w:ilvl w:val="255"/>
          <w:numId w:val="0"/>
        </w:numPr>
        <w:adjustRightInd w:val="0"/>
        <w:snapToGrid w:val="0"/>
        <w:spacing w:line="360" w:lineRule="auto"/>
        <w:ind w:firstLine="422" w:firstLineChars="200"/>
        <w:rPr>
          <w:rFonts w:ascii="宋体" w:hAnsi="宋体" w:cs="Arial"/>
          <w:b/>
          <w:bCs/>
        </w:rPr>
      </w:pPr>
      <w:r>
        <w:rPr>
          <w:rFonts w:hint="eastAsia" w:ascii="宋体" w:hAnsi="宋体" w:cs="Arial"/>
          <w:b/>
          <w:bCs/>
        </w:rPr>
        <w:t>七、跟踪误差控制未达约定目标的风险</w:t>
      </w:r>
    </w:p>
    <w:p w14:paraId="471B5467">
      <w:pPr>
        <w:numPr>
          <w:ilvl w:val="255"/>
          <w:numId w:val="0"/>
        </w:numPr>
        <w:adjustRightInd w:val="0"/>
        <w:snapToGrid w:val="0"/>
        <w:spacing w:line="360" w:lineRule="auto"/>
        <w:ind w:firstLine="420" w:firstLineChars="200"/>
        <w:rPr>
          <w:rFonts w:ascii="宋体" w:hAnsi="宋体" w:cs="Arial"/>
        </w:rPr>
      </w:pPr>
      <w:r>
        <w:rPr>
          <w:rFonts w:hint="eastAsia" w:ascii="宋体" w:hAnsi="宋体" w:cs="Arial"/>
        </w:rPr>
        <w:t>在正常情况下，本基金力争控制投资组合的净值增长率与业绩比较基准之间的预期日均跟踪偏离度的绝对值小于0.35%，预期年化跟踪误差不超过4%。但因标的指数编制规则调整或其他因素可能导致跟踪误差超过上述范围，本基金净值表现与指数价格走势可能发生较大偏离。</w:t>
      </w:r>
    </w:p>
    <w:p w14:paraId="1D229E55">
      <w:pPr>
        <w:numPr>
          <w:ilvl w:val="255"/>
          <w:numId w:val="0"/>
        </w:numPr>
        <w:adjustRightInd w:val="0"/>
        <w:snapToGrid w:val="0"/>
        <w:spacing w:line="360" w:lineRule="auto"/>
        <w:ind w:firstLine="422" w:firstLineChars="200"/>
        <w:rPr>
          <w:rFonts w:ascii="宋体" w:hAnsi="宋体" w:cs="Arial"/>
          <w:b/>
          <w:bCs/>
        </w:rPr>
      </w:pPr>
      <w:r>
        <w:rPr>
          <w:rFonts w:hint="eastAsia" w:ascii="宋体" w:hAnsi="宋体" w:cs="Arial"/>
          <w:b/>
          <w:bCs/>
        </w:rPr>
        <w:t>八、成份股停牌的风险</w:t>
      </w:r>
    </w:p>
    <w:p w14:paraId="505009D3">
      <w:pPr>
        <w:numPr>
          <w:ilvl w:val="255"/>
          <w:numId w:val="0"/>
        </w:numPr>
        <w:adjustRightInd w:val="0"/>
        <w:snapToGrid w:val="0"/>
        <w:spacing w:line="360" w:lineRule="auto"/>
        <w:ind w:firstLine="420" w:firstLineChars="200"/>
        <w:rPr>
          <w:rFonts w:ascii="宋体" w:hAnsi="宋体" w:cs="Arial"/>
        </w:rPr>
      </w:pPr>
      <w:r>
        <w:rPr>
          <w:rFonts w:hint="eastAsia" w:ascii="宋体" w:hAnsi="宋体" w:cs="Arial"/>
        </w:rPr>
        <w:t xml:space="preserve">标的指数成份股可能因各种原因临时或长期停牌，发生成份股停牌时可能面临如下风险： </w:t>
      </w:r>
    </w:p>
    <w:p w14:paraId="24D03E7F">
      <w:pPr>
        <w:numPr>
          <w:ilvl w:val="255"/>
          <w:numId w:val="0"/>
        </w:numPr>
        <w:adjustRightInd w:val="0"/>
        <w:snapToGrid w:val="0"/>
        <w:spacing w:line="360" w:lineRule="auto"/>
        <w:ind w:firstLine="420" w:firstLineChars="200"/>
        <w:rPr>
          <w:rFonts w:ascii="宋体" w:hAnsi="宋体" w:cs="Arial"/>
        </w:rPr>
      </w:pPr>
      <w:r>
        <w:rPr>
          <w:rFonts w:hint="eastAsia" w:ascii="宋体" w:hAnsi="宋体" w:cs="Arial"/>
        </w:rPr>
        <w:t>1、基金可能因无法及时调整投资组合而导致跟踪偏离度和跟踪误差扩大。</w:t>
      </w:r>
    </w:p>
    <w:p w14:paraId="384251F9">
      <w:pPr>
        <w:numPr>
          <w:ilvl w:val="255"/>
          <w:numId w:val="0"/>
        </w:numPr>
        <w:adjustRightInd w:val="0"/>
        <w:snapToGrid w:val="0"/>
        <w:spacing w:line="360" w:lineRule="auto"/>
        <w:ind w:firstLine="420" w:firstLineChars="200"/>
        <w:rPr>
          <w:rFonts w:ascii="宋体" w:hAnsi="宋体" w:cs="Arial"/>
        </w:rPr>
      </w:pPr>
      <w:r>
        <w:rPr>
          <w:rFonts w:hint="eastAsia" w:ascii="宋体" w:hAnsi="宋体" w:cs="Arial"/>
        </w:rPr>
        <w:t>2、停牌成份股可能因其权重占比、市场复牌预期、现金替代标识等因素影响本基金二级市场价格的折溢价水平。</w:t>
      </w:r>
    </w:p>
    <w:p w14:paraId="747F1275">
      <w:pPr>
        <w:numPr>
          <w:ilvl w:val="255"/>
          <w:numId w:val="0"/>
        </w:numPr>
        <w:adjustRightInd w:val="0"/>
        <w:snapToGrid w:val="0"/>
        <w:spacing w:line="360" w:lineRule="auto"/>
        <w:ind w:firstLine="420" w:firstLineChars="200"/>
        <w:rPr>
          <w:rFonts w:ascii="宋体" w:hAnsi="宋体" w:cs="Arial"/>
        </w:rPr>
      </w:pPr>
      <w:r>
        <w:rPr>
          <w:rFonts w:hint="eastAsia" w:ascii="宋体" w:hAnsi="宋体" w:cs="Arial"/>
        </w:rPr>
        <w:t xml:space="preserve">3、若成份股停牌时间较长，在约定时间内仍未能及时买入或卖出的，则该部分款项将按照约定方式进行结算（具体见招募说明书“基金份额的申购与赎回”之“申购赎回清单的内容与格式”相关约定），由此可能影响投资者的投资损益并使基金产生跟踪偏离度和跟踪误差。 </w:t>
      </w:r>
    </w:p>
    <w:p w14:paraId="69955B2F">
      <w:pPr>
        <w:numPr>
          <w:ilvl w:val="255"/>
          <w:numId w:val="0"/>
        </w:numPr>
        <w:adjustRightInd w:val="0"/>
        <w:snapToGrid w:val="0"/>
        <w:spacing w:line="360" w:lineRule="auto"/>
        <w:ind w:firstLine="420" w:firstLineChars="200"/>
        <w:rPr>
          <w:rFonts w:ascii="宋体" w:hAnsi="宋体" w:cs="Arial"/>
        </w:rPr>
      </w:pPr>
      <w:r>
        <w:rPr>
          <w:rFonts w:hint="eastAsia" w:ascii="宋体" w:hAnsi="宋体" w:cs="Arial"/>
        </w:rPr>
        <w:t>4、在极端情况下，标的指数成份股可能大面积停牌，基金可能无法及时卖出成份股以获取足额的符合要求的赎回对价，由此基金管理人可能在申购赎回清单中设置较低的赎回份额上限或者采取暂停赎回的措施，投资者将面临无法赎回全部或部分基金份额的风险。</w:t>
      </w:r>
    </w:p>
    <w:p w14:paraId="60C591E0">
      <w:pPr>
        <w:numPr>
          <w:ilvl w:val="255"/>
          <w:numId w:val="0"/>
        </w:numPr>
        <w:adjustRightInd w:val="0"/>
        <w:snapToGrid w:val="0"/>
        <w:spacing w:line="360" w:lineRule="auto"/>
        <w:ind w:firstLine="422" w:firstLineChars="200"/>
        <w:rPr>
          <w:rFonts w:ascii="宋体" w:hAnsi="宋体" w:cs="Arial"/>
          <w:b/>
          <w:bCs/>
        </w:rPr>
      </w:pPr>
      <w:r>
        <w:rPr>
          <w:rFonts w:hint="eastAsia" w:ascii="宋体" w:hAnsi="宋体" w:cs="Arial"/>
          <w:b/>
          <w:bCs/>
        </w:rPr>
        <w:t>九、成份股退市的风险</w:t>
      </w:r>
    </w:p>
    <w:p w14:paraId="00821650">
      <w:pPr>
        <w:tabs>
          <w:tab w:val="left" w:pos="851"/>
          <w:tab w:val="left" w:pos="1134"/>
        </w:tabs>
        <w:adjustRightInd w:val="0"/>
        <w:snapToGrid w:val="0"/>
        <w:spacing w:line="360" w:lineRule="auto"/>
        <w:ind w:firstLine="426"/>
        <w:outlineLvl w:val="0"/>
        <w:rPr>
          <w:rFonts w:ascii="Arial" w:hAnsi="Arial" w:cs="宋体"/>
          <w:b/>
        </w:rPr>
      </w:pPr>
      <w:r>
        <w:rPr>
          <w:rFonts w:hint="eastAsia" w:ascii="宋体" w:hAnsi="宋体" w:cs="Arial"/>
        </w:rPr>
        <w:t>标的指数成份股发生明显负面事件面临退市风险，且指数编制机构暂未作出调整的，基金管理人将按照基金份额持有人利益优先的原则，综合考虑成份股的退市风险、其在指数中的权重以及对跟踪误差的影响，据此制定成份股替代策略，并对投资组合进行相应调整。</w:t>
      </w:r>
      <w:r>
        <w:rPr>
          <w:rFonts w:ascii="宋体" w:hAnsi="宋体" w:cs="Arial"/>
        </w:rPr>
        <w:t xml:space="preserve"> </w:t>
      </w:r>
    </w:p>
    <w:p w14:paraId="10B69810">
      <w:pPr>
        <w:tabs>
          <w:tab w:val="left" w:pos="851"/>
          <w:tab w:val="left" w:pos="1134"/>
        </w:tabs>
        <w:adjustRightInd w:val="0"/>
        <w:snapToGrid w:val="0"/>
        <w:spacing w:line="360" w:lineRule="auto"/>
        <w:ind w:firstLine="426"/>
        <w:outlineLvl w:val="0"/>
        <w:rPr>
          <w:rFonts w:ascii="宋体" w:hAnsi="宋体" w:cs="Arial"/>
          <w:b/>
        </w:rPr>
      </w:pPr>
      <w:r>
        <w:rPr>
          <w:rFonts w:hint="eastAsia" w:ascii="Arial" w:hAnsi="Arial" w:cs="宋体"/>
          <w:b/>
        </w:rPr>
        <w:t>十</w:t>
      </w:r>
      <w:r>
        <w:rPr>
          <w:rFonts w:ascii="Arial" w:hAnsi="Arial" w:cs="宋体"/>
          <w:b/>
        </w:rPr>
        <w:t>、</w:t>
      </w:r>
      <w:r>
        <w:rPr>
          <w:rFonts w:ascii="宋体" w:hAnsi="宋体" w:cs="Arial"/>
          <w:b/>
        </w:rPr>
        <w:t>基金份额二级市场交易价格折溢价的风险</w:t>
      </w:r>
      <w:bookmarkEnd w:id="105"/>
    </w:p>
    <w:p w14:paraId="0B7D1C6B">
      <w:pPr>
        <w:adjustRightInd w:val="0"/>
        <w:snapToGrid w:val="0"/>
        <w:spacing w:line="360" w:lineRule="auto"/>
        <w:ind w:firstLine="426"/>
        <w:rPr>
          <w:rFonts w:ascii="宋体" w:hAnsi="宋体" w:cs="Arial"/>
        </w:rPr>
      </w:pPr>
      <w:r>
        <w:rPr>
          <w:rFonts w:ascii="宋体" w:hAnsi="宋体" w:cs="Arial"/>
        </w:rPr>
        <w:t>基金份额在证券交易所的交易价格受诸多因素影响，可能存在不同于基金份额净值的情形，即存在价格折溢价的风险。</w:t>
      </w:r>
    </w:p>
    <w:p w14:paraId="14022B39">
      <w:pPr>
        <w:tabs>
          <w:tab w:val="left" w:pos="851"/>
          <w:tab w:val="left" w:pos="1134"/>
        </w:tabs>
        <w:adjustRightInd w:val="0"/>
        <w:snapToGrid w:val="0"/>
        <w:spacing w:line="360" w:lineRule="auto"/>
        <w:ind w:firstLine="422" w:firstLineChars="200"/>
        <w:outlineLvl w:val="0"/>
        <w:rPr>
          <w:rFonts w:ascii="宋体" w:hAnsi="宋体" w:cs="Arial"/>
          <w:b/>
        </w:rPr>
      </w:pPr>
      <w:bookmarkStart w:id="106" w:name="_Toc293495058"/>
      <w:r>
        <w:rPr>
          <w:rFonts w:hint="eastAsia" w:ascii="Arial" w:hAnsi="Arial" w:cs="宋体"/>
          <w:b/>
        </w:rPr>
        <w:t>十一</w:t>
      </w:r>
      <w:r>
        <w:rPr>
          <w:rFonts w:ascii="Arial" w:hAnsi="Arial" w:cs="宋体"/>
          <w:b/>
        </w:rPr>
        <w:t>、</w:t>
      </w:r>
      <w:r>
        <w:rPr>
          <w:rFonts w:hint="eastAsia" w:ascii="宋体" w:hAnsi="宋体" w:cs="Arial"/>
          <w:b/>
        </w:rPr>
        <w:t>基金份额参考净值</w:t>
      </w:r>
      <w:r>
        <w:rPr>
          <w:rFonts w:ascii="宋体" w:hAnsi="宋体" w:cs="Arial"/>
          <w:b/>
        </w:rPr>
        <w:t>决策和</w:t>
      </w:r>
      <w:r>
        <w:rPr>
          <w:rFonts w:hint="eastAsia" w:ascii="宋体" w:hAnsi="宋体" w:cs="Arial"/>
          <w:b/>
        </w:rPr>
        <w:t>基金份额参考净值</w:t>
      </w:r>
      <w:r>
        <w:rPr>
          <w:rFonts w:ascii="宋体" w:hAnsi="宋体" w:cs="Arial"/>
          <w:b/>
        </w:rPr>
        <w:t>计算错误的风险</w:t>
      </w:r>
      <w:bookmarkEnd w:id="106"/>
      <w:r>
        <w:rPr>
          <w:rFonts w:ascii="宋体" w:hAnsi="宋体" w:cs="Arial"/>
          <w:b/>
        </w:rPr>
        <w:t xml:space="preserve"> </w:t>
      </w:r>
    </w:p>
    <w:p w14:paraId="2B9427C2">
      <w:pPr>
        <w:adjustRightInd w:val="0"/>
        <w:snapToGrid w:val="0"/>
        <w:spacing w:line="360" w:lineRule="auto"/>
        <w:ind w:firstLine="426"/>
        <w:rPr>
          <w:rFonts w:ascii="宋体" w:hAnsi="宋体" w:cs="Arial"/>
        </w:rPr>
      </w:pPr>
      <w:r>
        <w:rPr>
          <w:rFonts w:hint="eastAsia" w:ascii="宋体" w:hAnsi="宋体" w:cs="Arial"/>
        </w:rPr>
        <w:t>基金管理人或基金管理人委托的机构在开市后根据基金管理人提供的申购赎回清单和组合证券内各只证券的实时成交数据及汇率数据计算并通过上海证券交易所发布的基金份额参考净值，供投资人交易、申购、赎回基金份额时参考</w:t>
      </w:r>
      <w:r>
        <w:rPr>
          <w:rFonts w:ascii="宋体" w:hAnsi="宋体" w:cs="Arial"/>
        </w:rPr>
        <w:t>。</w:t>
      </w:r>
      <w:r>
        <w:rPr>
          <w:rFonts w:hint="eastAsia" w:ascii="宋体" w:hAnsi="宋体" w:cs="Arial"/>
        </w:rPr>
        <w:t>基金份额参考净值</w:t>
      </w:r>
      <w:r>
        <w:rPr>
          <w:rFonts w:ascii="宋体" w:hAnsi="宋体" w:cs="Arial"/>
        </w:rPr>
        <w:t>与实时的基金份额净值可能存在差异，</w:t>
      </w:r>
      <w:r>
        <w:rPr>
          <w:rFonts w:hint="eastAsia" w:ascii="宋体" w:hAnsi="宋体" w:cs="Arial"/>
        </w:rPr>
        <w:t>基金份额参考净值</w:t>
      </w:r>
      <w:r>
        <w:rPr>
          <w:rFonts w:ascii="宋体" w:hAnsi="宋体" w:cs="Arial"/>
        </w:rPr>
        <w:t>计算可能出现错误，投资人若参考</w:t>
      </w:r>
      <w:r>
        <w:rPr>
          <w:rFonts w:hint="eastAsia" w:ascii="宋体" w:hAnsi="宋体" w:cs="Arial"/>
        </w:rPr>
        <w:t>基金份额参考净值</w:t>
      </w:r>
      <w:r>
        <w:rPr>
          <w:rFonts w:ascii="宋体" w:hAnsi="宋体" w:cs="Arial"/>
        </w:rPr>
        <w:t xml:space="preserve">进行投资决策可能导致损失，需投资人自行承担。 </w:t>
      </w:r>
    </w:p>
    <w:p w14:paraId="3BD00067">
      <w:pPr>
        <w:tabs>
          <w:tab w:val="left" w:pos="851"/>
          <w:tab w:val="left" w:pos="1134"/>
        </w:tabs>
        <w:adjustRightInd w:val="0"/>
        <w:snapToGrid w:val="0"/>
        <w:spacing w:line="360" w:lineRule="auto"/>
        <w:ind w:firstLine="426"/>
        <w:outlineLvl w:val="0"/>
        <w:rPr>
          <w:rFonts w:ascii="宋体" w:hAnsi="宋体" w:cs="Arial"/>
          <w:b/>
        </w:rPr>
      </w:pPr>
      <w:bookmarkStart w:id="107" w:name="_Toc293495059"/>
      <w:r>
        <w:rPr>
          <w:rFonts w:hint="eastAsia" w:ascii="Arial" w:hAnsi="Arial" w:cs="宋体"/>
          <w:b/>
        </w:rPr>
        <w:t>十二</w:t>
      </w:r>
      <w:r>
        <w:rPr>
          <w:rFonts w:ascii="Arial" w:hAnsi="Arial" w:cs="宋体"/>
          <w:b/>
        </w:rPr>
        <w:t>、</w:t>
      </w:r>
      <w:r>
        <w:rPr>
          <w:rFonts w:ascii="宋体" w:hAnsi="宋体" w:cs="Arial"/>
          <w:b/>
        </w:rPr>
        <w:t>退市风险</w:t>
      </w:r>
      <w:bookmarkEnd w:id="107"/>
      <w:r>
        <w:rPr>
          <w:rFonts w:ascii="宋体" w:hAnsi="宋体" w:cs="Arial"/>
          <w:b/>
        </w:rPr>
        <w:t xml:space="preserve"> </w:t>
      </w:r>
    </w:p>
    <w:p w14:paraId="310E461D">
      <w:pPr>
        <w:autoSpaceDE w:val="0"/>
        <w:autoSpaceDN w:val="0"/>
        <w:adjustRightInd w:val="0"/>
        <w:snapToGrid w:val="0"/>
        <w:spacing w:line="360" w:lineRule="auto"/>
        <w:ind w:firstLine="420" w:firstLineChars="200"/>
        <w:rPr>
          <w:rFonts w:ascii="宋体" w:hAnsi="宋体" w:cs="Arial"/>
          <w:kern w:val="0"/>
          <w:szCs w:val="21"/>
        </w:rPr>
      </w:pPr>
      <w:r>
        <w:rPr>
          <w:rFonts w:ascii="宋体" w:hAnsi="宋体" w:cs="Arial"/>
          <w:kern w:val="0"/>
          <w:szCs w:val="21"/>
        </w:rPr>
        <w:t xml:space="preserve">因本基金不再符合证券交易所上市条件被终止上市，或被基金份额持有人大会决议提前终止上市，导致基金份额不能继续进行二级市场交易的风险。 </w:t>
      </w:r>
    </w:p>
    <w:p w14:paraId="4E499B89">
      <w:pPr>
        <w:tabs>
          <w:tab w:val="left" w:pos="851"/>
          <w:tab w:val="left" w:pos="1134"/>
        </w:tabs>
        <w:adjustRightInd w:val="0"/>
        <w:snapToGrid w:val="0"/>
        <w:spacing w:line="360" w:lineRule="auto"/>
        <w:ind w:firstLine="426"/>
        <w:outlineLvl w:val="0"/>
        <w:rPr>
          <w:rFonts w:ascii="宋体" w:hAnsi="宋体" w:cs="Arial"/>
          <w:b/>
        </w:rPr>
      </w:pPr>
      <w:bookmarkStart w:id="108" w:name="_Toc293495060"/>
      <w:r>
        <w:rPr>
          <w:rFonts w:hint="eastAsia" w:ascii="Arial" w:hAnsi="Arial" w:cs="宋体"/>
          <w:b/>
        </w:rPr>
        <w:t>十三</w:t>
      </w:r>
      <w:r>
        <w:rPr>
          <w:rFonts w:ascii="Arial" w:hAnsi="Arial" w:cs="宋体"/>
          <w:b/>
        </w:rPr>
        <w:t>、</w:t>
      </w:r>
      <w:r>
        <w:rPr>
          <w:rFonts w:ascii="宋体" w:hAnsi="宋体" w:cs="Arial"/>
          <w:b/>
        </w:rPr>
        <w:t>投资人申购失败的风险</w:t>
      </w:r>
      <w:bookmarkEnd w:id="108"/>
      <w:r>
        <w:rPr>
          <w:rFonts w:ascii="宋体" w:hAnsi="宋体" w:cs="Arial"/>
          <w:b/>
        </w:rPr>
        <w:t xml:space="preserve"> </w:t>
      </w:r>
    </w:p>
    <w:p w14:paraId="128D5D04">
      <w:pPr>
        <w:autoSpaceDE w:val="0"/>
        <w:autoSpaceDN w:val="0"/>
        <w:adjustRightInd w:val="0"/>
        <w:snapToGrid w:val="0"/>
        <w:spacing w:line="360" w:lineRule="auto"/>
        <w:ind w:firstLine="420" w:firstLineChars="200"/>
        <w:rPr>
          <w:rFonts w:ascii="宋体" w:hAnsi="宋体" w:cs="Arial"/>
          <w:kern w:val="0"/>
          <w:szCs w:val="21"/>
        </w:rPr>
      </w:pPr>
      <w:r>
        <w:rPr>
          <w:rFonts w:ascii="宋体" w:hAnsi="宋体" w:cs="Arial"/>
          <w:kern w:val="0"/>
          <w:szCs w:val="21"/>
        </w:rPr>
        <w:t>本基金</w:t>
      </w:r>
      <w:r>
        <w:rPr>
          <w:rFonts w:hint="eastAsia" w:ascii="宋体" w:hAnsi="宋体" w:cs="Arial"/>
          <w:kern w:val="0"/>
          <w:szCs w:val="21"/>
        </w:rPr>
        <w:t>申购时，如果投资人未能提供符合要求的申购对价，申购申请可能失败。基金还可能在申购赎回清单中设定申购份额上限，如果投资人的申购申请接受后将使当日申购总份额超过申购份额上限，则投资人的申购申请可能失败。此外，如果申购赎回代理机构交收资金不足，登记机构将按照投资人申报时间先后顺序逐笔检查申购赎回代理机构的资金是否足额并相应确认申购份额，对于后申购的投资人，不论是否备足资金，都可能面临申购失败的风险。</w:t>
      </w:r>
    </w:p>
    <w:p w14:paraId="278524F0">
      <w:pPr>
        <w:tabs>
          <w:tab w:val="left" w:pos="851"/>
          <w:tab w:val="left" w:pos="1134"/>
        </w:tabs>
        <w:adjustRightInd w:val="0"/>
        <w:snapToGrid w:val="0"/>
        <w:spacing w:line="360" w:lineRule="auto"/>
        <w:ind w:firstLine="426"/>
        <w:outlineLvl w:val="0"/>
        <w:rPr>
          <w:rFonts w:ascii="宋体" w:hAnsi="宋体" w:cs="Arial"/>
          <w:b/>
        </w:rPr>
      </w:pPr>
      <w:bookmarkStart w:id="109" w:name="_Toc293495061"/>
      <w:r>
        <w:rPr>
          <w:rFonts w:ascii="Arial" w:hAnsi="Arial" w:cs="宋体"/>
          <w:b/>
        </w:rPr>
        <w:t>十</w:t>
      </w:r>
      <w:r>
        <w:rPr>
          <w:rFonts w:hint="eastAsia" w:ascii="Arial" w:hAnsi="Arial" w:cs="宋体"/>
          <w:b/>
        </w:rPr>
        <w:t>四</w:t>
      </w:r>
      <w:r>
        <w:rPr>
          <w:rFonts w:ascii="Arial" w:hAnsi="Arial" w:cs="宋体"/>
          <w:b/>
        </w:rPr>
        <w:t>、</w:t>
      </w:r>
      <w:r>
        <w:rPr>
          <w:rFonts w:ascii="宋体" w:hAnsi="宋体" w:cs="Arial"/>
          <w:b/>
        </w:rPr>
        <w:t>投资人赎回失败的风险</w:t>
      </w:r>
      <w:bookmarkEnd w:id="109"/>
      <w:r>
        <w:rPr>
          <w:rFonts w:ascii="宋体" w:hAnsi="宋体" w:cs="Arial"/>
          <w:b/>
        </w:rPr>
        <w:t xml:space="preserve"> </w:t>
      </w:r>
    </w:p>
    <w:p w14:paraId="12A39C69">
      <w:pPr>
        <w:autoSpaceDE w:val="0"/>
        <w:autoSpaceDN w:val="0"/>
        <w:adjustRightInd w:val="0"/>
        <w:snapToGrid w:val="0"/>
        <w:spacing w:line="360" w:lineRule="auto"/>
        <w:ind w:firstLine="420" w:firstLineChars="200"/>
        <w:rPr>
          <w:rFonts w:ascii="宋体" w:hAnsi="宋体" w:cs="Arial"/>
          <w:kern w:val="0"/>
          <w:szCs w:val="21"/>
        </w:rPr>
      </w:pPr>
      <w:r>
        <w:rPr>
          <w:rFonts w:hint="eastAsia" w:ascii="宋体" w:hAnsi="宋体" w:cs="Arial"/>
          <w:kern w:val="0"/>
          <w:szCs w:val="21"/>
        </w:rPr>
        <w:t>投资人在提出场内份额赎回申请时，如基金组合中不具备足额的符合条件的赎回对价，可能导致场内份额赎回失败的情形。</w:t>
      </w:r>
    </w:p>
    <w:p w14:paraId="21F1AB90">
      <w:pPr>
        <w:autoSpaceDE w:val="0"/>
        <w:autoSpaceDN w:val="0"/>
        <w:adjustRightInd w:val="0"/>
        <w:snapToGrid w:val="0"/>
        <w:spacing w:line="360" w:lineRule="auto"/>
        <w:ind w:firstLine="420" w:firstLineChars="200"/>
        <w:rPr>
          <w:rFonts w:ascii="宋体" w:hAnsi="宋体" w:cs="Arial"/>
          <w:kern w:val="0"/>
          <w:szCs w:val="21"/>
        </w:rPr>
      </w:pPr>
      <w:r>
        <w:rPr>
          <w:rFonts w:hint="eastAsia" w:ascii="宋体" w:hAnsi="宋体" w:cs="Arial"/>
          <w:kern w:val="0"/>
          <w:szCs w:val="21"/>
        </w:rPr>
        <w:t>基金还可能在申购赎回清单中设定赎回份额上限，如果投资人的赎回申请接受后将使当日赎回总份额超过赎回份额上限，则投资人的赎回申请可能失败。</w:t>
      </w:r>
    </w:p>
    <w:p w14:paraId="50989B8B">
      <w:pPr>
        <w:autoSpaceDE w:val="0"/>
        <w:autoSpaceDN w:val="0"/>
        <w:adjustRightInd w:val="0"/>
        <w:snapToGrid w:val="0"/>
        <w:spacing w:line="360" w:lineRule="auto"/>
        <w:ind w:firstLine="420" w:firstLineChars="200"/>
        <w:rPr>
          <w:rFonts w:ascii="宋体" w:hAnsi="宋体" w:cs="Arial"/>
          <w:kern w:val="0"/>
          <w:szCs w:val="21"/>
        </w:rPr>
      </w:pPr>
      <w:r>
        <w:rPr>
          <w:rFonts w:hint="eastAsia" w:ascii="宋体" w:hAnsi="宋体" w:cs="Arial"/>
          <w:kern w:val="0"/>
          <w:szCs w:val="21"/>
        </w:rPr>
        <w:t>基金管理人可能根据成份股市值规模变化等因素调整最小申购、赎回单位，由此可能导致投资人按原最小申购、赎回单位申购并持有的基金份额，可能无法按照新的最小申购、赎回单位全部赎回，而只能在二级市场卖出全部或部分基金份额。</w:t>
      </w:r>
    </w:p>
    <w:p w14:paraId="10CB5F53">
      <w:pPr>
        <w:autoSpaceDE w:val="0"/>
        <w:autoSpaceDN w:val="0"/>
        <w:adjustRightInd w:val="0"/>
        <w:snapToGrid w:val="0"/>
        <w:spacing w:line="360" w:lineRule="auto"/>
        <w:ind w:firstLine="420" w:firstLineChars="200"/>
        <w:rPr>
          <w:rFonts w:ascii="宋体" w:hAnsi="宋体" w:cs="Arial"/>
          <w:kern w:val="0"/>
          <w:szCs w:val="21"/>
        </w:rPr>
      </w:pPr>
      <w:r>
        <w:rPr>
          <w:rFonts w:hint="eastAsia" w:ascii="宋体" w:hAnsi="宋体" w:cs="Arial"/>
          <w:kern w:val="0"/>
          <w:szCs w:val="21"/>
        </w:rPr>
        <w:t>投资人在赎回时，因个别证券出现停牌等原因导致基金管理人无法在短期内卖出证券，从而导致赎回周期较长的风险。</w:t>
      </w:r>
    </w:p>
    <w:p w14:paraId="0F34CF96">
      <w:pPr>
        <w:autoSpaceDE w:val="0"/>
        <w:autoSpaceDN w:val="0"/>
        <w:adjustRightInd w:val="0"/>
        <w:snapToGrid w:val="0"/>
        <w:spacing w:line="360" w:lineRule="auto"/>
        <w:ind w:firstLine="420" w:firstLineChars="200"/>
        <w:rPr>
          <w:rFonts w:ascii="宋体" w:hAnsi="宋体" w:cs="Arial"/>
          <w:kern w:val="0"/>
          <w:szCs w:val="21"/>
        </w:rPr>
      </w:pPr>
      <w:r>
        <w:rPr>
          <w:rFonts w:hint="eastAsia" w:ascii="宋体" w:hAnsi="宋体" w:cs="Arial"/>
          <w:kern w:val="0"/>
          <w:szCs w:val="21"/>
        </w:rPr>
        <w:t>当发生不可抗力、证券交易所临时停市或其他异常情况时，本基金可能暂停办理赎回，投资人面临无法及时赎回的风险。</w:t>
      </w:r>
    </w:p>
    <w:p w14:paraId="5F91763E">
      <w:pPr>
        <w:autoSpaceDE w:val="0"/>
        <w:autoSpaceDN w:val="0"/>
        <w:adjustRightInd w:val="0"/>
        <w:snapToGrid w:val="0"/>
        <w:spacing w:line="360" w:lineRule="auto"/>
        <w:ind w:firstLine="422" w:firstLineChars="200"/>
        <w:outlineLvl w:val="9"/>
        <w:rPr>
          <w:rFonts w:hint="eastAsia" w:ascii="宋体" w:hAnsi="宋体" w:cs="Arial"/>
          <w:b/>
          <w:bCs/>
          <w:kern w:val="0"/>
          <w:szCs w:val="21"/>
        </w:rPr>
      </w:pPr>
      <w:r>
        <w:rPr>
          <w:rFonts w:hint="eastAsia" w:ascii="宋体" w:hAnsi="宋体" w:cs="Arial"/>
          <w:b/>
          <w:bCs/>
          <w:kern w:val="0"/>
          <w:szCs w:val="21"/>
        </w:rPr>
        <w:t>十五、可以现金替代方式的风险</w:t>
      </w:r>
    </w:p>
    <w:p w14:paraId="7C61A5D7">
      <w:pPr>
        <w:autoSpaceDE w:val="0"/>
        <w:autoSpaceDN w:val="0"/>
        <w:adjustRightInd w:val="0"/>
        <w:snapToGrid w:val="0"/>
        <w:spacing w:line="360" w:lineRule="auto"/>
        <w:ind w:firstLine="420" w:firstLineChars="200"/>
        <w:outlineLvl w:val="9"/>
        <w:rPr>
          <w:rFonts w:hint="eastAsia" w:ascii="宋体" w:hAnsi="宋体" w:cs="Arial"/>
          <w:b w:val="0"/>
          <w:kern w:val="0"/>
          <w:szCs w:val="21"/>
        </w:rPr>
      </w:pPr>
      <w:r>
        <w:rPr>
          <w:rFonts w:hint="eastAsia" w:ascii="宋体" w:hAnsi="宋体" w:cs="Arial"/>
          <w:b w:val="0"/>
          <w:kern w:val="0"/>
          <w:szCs w:val="21"/>
        </w:rPr>
        <w:t>本基金在申购赎回环节的“可以现金替代”方式，可能给申购和赎回投资者带来价格的不确定性，从而间接影响本基金二级市场价格的折溢价水平。</w:t>
      </w:r>
    </w:p>
    <w:p w14:paraId="0FDD378A">
      <w:pPr>
        <w:tabs>
          <w:tab w:val="left" w:pos="851"/>
          <w:tab w:val="left" w:pos="1134"/>
        </w:tabs>
        <w:adjustRightInd w:val="0"/>
        <w:snapToGrid w:val="0"/>
        <w:spacing w:line="360" w:lineRule="auto"/>
        <w:ind w:firstLine="420" w:firstLineChars="200"/>
        <w:outlineLvl w:val="0"/>
        <w:rPr>
          <w:rFonts w:hint="eastAsia" w:ascii="宋体" w:hAnsi="宋体" w:cs="Arial"/>
          <w:b/>
        </w:rPr>
      </w:pPr>
      <w:r>
        <w:rPr>
          <w:rFonts w:hint="eastAsia" w:ascii="宋体" w:hAnsi="宋体" w:cs="Arial"/>
          <w:b w:val="0"/>
          <w:kern w:val="0"/>
          <w:szCs w:val="21"/>
        </w:rPr>
        <w:t>基金管理人不对“时间优先、实时申报”原则的执行效率做出任何承诺和保证，现金替代退补款的计算以实际成交价格和基金招募说明书的约定为准。若因技术系统、通讯链路或其他原因导致基金管理人无法遵循“时间优先、实时申报”原则对“可以现金替代”的证券进行处理，投资者的利益可能受到影响。</w:t>
      </w:r>
      <w:bookmarkStart w:id="110" w:name="_Toc293495062"/>
    </w:p>
    <w:p w14:paraId="2844691F">
      <w:pPr>
        <w:tabs>
          <w:tab w:val="left" w:pos="851"/>
          <w:tab w:val="left" w:pos="1134"/>
        </w:tabs>
        <w:adjustRightInd w:val="0"/>
        <w:snapToGrid w:val="0"/>
        <w:spacing w:line="360" w:lineRule="auto"/>
        <w:ind w:firstLine="422" w:firstLineChars="200"/>
        <w:outlineLvl w:val="0"/>
        <w:rPr>
          <w:rFonts w:ascii="宋体" w:hAnsi="宋体" w:cs="Arial"/>
          <w:b/>
        </w:rPr>
      </w:pPr>
      <w:r>
        <w:rPr>
          <w:rFonts w:hint="eastAsia" w:ascii="宋体" w:hAnsi="宋体" w:cs="Arial"/>
          <w:b/>
        </w:rPr>
        <w:t>十六、</w:t>
      </w:r>
      <w:r>
        <w:rPr>
          <w:rFonts w:ascii="宋体" w:hAnsi="宋体" w:cs="Arial"/>
          <w:b/>
        </w:rPr>
        <w:t>基金</w:t>
      </w:r>
      <w:r>
        <w:rPr>
          <w:rFonts w:hint="eastAsia" w:ascii="宋体" w:hAnsi="宋体" w:cs="Arial"/>
          <w:b/>
        </w:rPr>
        <w:t>场内</w:t>
      </w:r>
      <w:r>
        <w:rPr>
          <w:rFonts w:ascii="宋体" w:hAnsi="宋体" w:cs="Arial"/>
          <w:b/>
        </w:rPr>
        <w:t>份额赎回对价的变现风险</w:t>
      </w:r>
      <w:bookmarkEnd w:id="110"/>
      <w:r>
        <w:rPr>
          <w:rFonts w:ascii="宋体" w:hAnsi="宋体" w:cs="Arial"/>
          <w:b/>
        </w:rPr>
        <w:t xml:space="preserve"> </w:t>
      </w:r>
    </w:p>
    <w:p w14:paraId="149C6AE2">
      <w:pPr>
        <w:autoSpaceDE w:val="0"/>
        <w:autoSpaceDN w:val="0"/>
        <w:adjustRightInd w:val="0"/>
        <w:snapToGrid w:val="0"/>
        <w:spacing w:line="360" w:lineRule="auto"/>
        <w:ind w:firstLine="420" w:firstLineChars="200"/>
        <w:rPr>
          <w:rFonts w:ascii="宋体" w:hAnsi="宋体" w:cs="Arial"/>
          <w:kern w:val="0"/>
          <w:szCs w:val="21"/>
        </w:rPr>
      </w:pPr>
      <w:r>
        <w:rPr>
          <w:rFonts w:hint="eastAsia" w:ascii="宋体" w:hAnsi="宋体" w:cs="Arial"/>
          <w:kern w:val="0"/>
          <w:szCs w:val="21"/>
        </w:rPr>
        <w:t>本基金赎回对价包括现金替代、现金差额等</w:t>
      </w:r>
      <w:r>
        <w:rPr>
          <w:rFonts w:ascii="宋体" w:hAnsi="宋体" w:cs="Arial"/>
          <w:kern w:val="0"/>
          <w:szCs w:val="21"/>
        </w:rPr>
        <w:t xml:space="preserve">，在组合证券变现过程中，由于市场变化、部分成份股流动性差等因素，导致投资人变现后的价值与赎回时赎回对价的价值有差异，存在变现风险。 </w:t>
      </w:r>
    </w:p>
    <w:p w14:paraId="34E8E564">
      <w:pPr>
        <w:tabs>
          <w:tab w:val="left" w:pos="851"/>
          <w:tab w:val="left" w:pos="1134"/>
        </w:tabs>
        <w:adjustRightInd w:val="0"/>
        <w:snapToGrid w:val="0"/>
        <w:spacing w:line="360" w:lineRule="auto"/>
        <w:ind w:firstLine="422" w:firstLineChars="200"/>
        <w:outlineLvl w:val="0"/>
        <w:rPr>
          <w:rFonts w:ascii="宋体" w:hAnsi="宋体" w:cs="Arial"/>
          <w:b/>
        </w:rPr>
      </w:pPr>
      <w:bookmarkStart w:id="111" w:name="_Toc293495063"/>
      <w:r>
        <w:rPr>
          <w:rFonts w:hint="eastAsia" w:ascii="宋体" w:hAnsi="宋体" w:cs="Arial"/>
          <w:b/>
        </w:rPr>
        <w:t>十七、</w:t>
      </w:r>
      <w:r>
        <w:rPr>
          <w:rFonts w:ascii="宋体" w:hAnsi="宋体" w:cs="Arial"/>
          <w:b/>
        </w:rPr>
        <w:t>第三方机构服务的风险</w:t>
      </w:r>
      <w:bookmarkEnd w:id="111"/>
      <w:r>
        <w:rPr>
          <w:rFonts w:ascii="宋体" w:hAnsi="宋体" w:cs="Arial"/>
          <w:b/>
        </w:rPr>
        <w:t xml:space="preserve"> </w:t>
      </w:r>
    </w:p>
    <w:p w14:paraId="4E0A6491">
      <w:pPr>
        <w:autoSpaceDE w:val="0"/>
        <w:autoSpaceDN w:val="0"/>
        <w:adjustRightInd w:val="0"/>
        <w:snapToGrid w:val="0"/>
        <w:spacing w:line="360" w:lineRule="auto"/>
        <w:ind w:firstLine="420" w:firstLineChars="200"/>
        <w:rPr>
          <w:rFonts w:ascii="宋体" w:hAnsi="宋体" w:cs="Arial"/>
          <w:kern w:val="0"/>
          <w:szCs w:val="21"/>
        </w:rPr>
      </w:pPr>
      <w:r>
        <w:rPr>
          <w:rFonts w:ascii="宋体" w:hAnsi="宋体" w:cs="Arial"/>
          <w:kern w:val="0"/>
          <w:szCs w:val="21"/>
        </w:rPr>
        <w:t xml:space="preserve">本基金的多项服务委托第三方机构办理，存在以下风险： </w:t>
      </w:r>
    </w:p>
    <w:p w14:paraId="236BFD3F">
      <w:pPr>
        <w:autoSpaceDE w:val="0"/>
        <w:autoSpaceDN w:val="0"/>
        <w:adjustRightInd w:val="0"/>
        <w:snapToGrid w:val="0"/>
        <w:spacing w:line="360" w:lineRule="auto"/>
        <w:ind w:firstLine="420" w:firstLineChars="200"/>
        <w:rPr>
          <w:rFonts w:ascii="宋体" w:hAnsi="宋体" w:cs="Arial"/>
          <w:kern w:val="0"/>
          <w:szCs w:val="21"/>
        </w:rPr>
      </w:pPr>
      <w:r>
        <w:rPr>
          <w:rFonts w:hint="eastAsia" w:ascii="宋体" w:hAnsi="宋体" w:cs="Arial"/>
          <w:kern w:val="0"/>
          <w:szCs w:val="21"/>
        </w:rPr>
        <w:t>1、</w:t>
      </w:r>
      <w:r>
        <w:rPr>
          <w:rFonts w:ascii="宋体" w:hAnsi="宋体" w:cs="Arial"/>
          <w:kern w:val="0"/>
          <w:szCs w:val="21"/>
        </w:rPr>
        <w:t xml:space="preserve">申购赎回代理券商因多种原因，导致代理申购、赎回业务受到限制、暂停或终止，由此影响对投资人申购赎回服务的风险。 </w:t>
      </w:r>
    </w:p>
    <w:p w14:paraId="37ED06BE">
      <w:pPr>
        <w:autoSpaceDE w:val="0"/>
        <w:autoSpaceDN w:val="0"/>
        <w:adjustRightInd w:val="0"/>
        <w:snapToGrid w:val="0"/>
        <w:spacing w:line="360" w:lineRule="auto"/>
        <w:ind w:firstLine="420" w:firstLineChars="200"/>
        <w:rPr>
          <w:rFonts w:ascii="宋体" w:hAnsi="宋体" w:cs="Arial"/>
          <w:kern w:val="0"/>
          <w:szCs w:val="21"/>
        </w:rPr>
      </w:pPr>
      <w:r>
        <w:rPr>
          <w:rFonts w:hint="eastAsia" w:ascii="宋体" w:hAnsi="宋体" w:cs="Arial"/>
          <w:kern w:val="0"/>
          <w:szCs w:val="21"/>
        </w:rPr>
        <w:t>2、</w:t>
      </w:r>
      <w:r>
        <w:rPr>
          <w:rFonts w:ascii="宋体" w:hAnsi="宋体" w:cs="Arial"/>
          <w:kern w:val="0"/>
          <w:szCs w:val="21"/>
        </w:rPr>
        <w:t>登记机构可能调整结算制度，如实施货银对付制度，对投资人基金份额及资金的结算方式发生变化，制度调整可能给投资人带来风险。同样的风险还可能来自于证券交易所及其他代理机构。</w:t>
      </w:r>
    </w:p>
    <w:p w14:paraId="2F8ED3A2">
      <w:pPr>
        <w:adjustRightInd w:val="0"/>
        <w:snapToGrid w:val="0"/>
        <w:spacing w:line="360" w:lineRule="auto"/>
        <w:ind w:firstLine="420" w:firstLineChars="200"/>
        <w:rPr>
          <w:rFonts w:ascii="宋体" w:hAnsi="宋体" w:cs="Arial"/>
        </w:rPr>
      </w:pPr>
      <w:r>
        <w:rPr>
          <w:rFonts w:hint="eastAsia" w:ascii="宋体" w:hAnsi="宋体" w:cs="Arial"/>
          <w:kern w:val="0"/>
          <w:szCs w:val="21"/>
        </w:rPr>
        <w:t>3、</w:t>
      </w:r>
      <w:r>
        <w:rPr>
          <w:rFonts w:ascii="宋体" w:hAnsi="宋体" w:cs="Arial"/>
          <w:kern w:val="0"/>
          <w:szCs w:val="21"/>
        </w:rPr>
        <w:t xml:space="preserve">证券交易所、登记机构、基金托管人及其他代理机构可能违约，导致基金或投资人利益受损的风险。 </w:t>
      </w:r>
    </w:p>
    <w:p w14:paraId="40BFC0AE">
      <w:pPr>
        <w:tabs>
          <w:tab w:val="left" w:pos="851"/>
          <w:tab w:val="left" w:pos="1134"/>
        </w:tabs>
        <w:adjustRightInd w:val="0"/>
        <w:snapToGrid w:val="0"/>
        <w:spacing w:line="360" w:lineRule="auto"/>
        <w:ind w:firstLine="422" w:firstLineChars="200"/>
        <w:outlineLvl w:val="0"/>
        <w:rPr>
          <w:rFonts w:ascii="宋体" w:hAnsi="宋体" w:cs="Arial"/>
          <w:b/>
        </w:rPr>
      </w:pPr>
      <w:bookmarkStart w:id="112" w:name="_Toc293495064"/>
      <w:r>
        <w:rPr>
          <w:rFonts w:hint="eastAsia" w:ascii="宋体" w:hAnsi="宋体" w:cs="Arial"/>
          <w:b/>
        </w:rPr>
        <w:t>十八、参与股指期货交易风险</w:t>
      </w:r>
    </w:p>
    <w:p w14:paraId="69E2C97E">
      <w:pPr>
        <w:adjustRightInd w:val="0"/>
        <w:snapToGrid w:val="0"/>
        <w:spacing w:line="360" w:lineRule="auto"/>
        <w:ind w:firstLine="420" w:firstLineChars="200"/>
        <w:rPr>
          <w:rFonts w:ascii="宋体" w:hAnsi="宋体" w:cs="Arial"/>
        </w:rPr>
      </w:pPr>
      <w:r>
        <w:rPr>
          <w:rFonts w:ascii="宋体" w:hAnsi="宋体" w:cs="Arial"/>
        </w:rPr>
        <w:t>1</w:t>
      </w:r>
      <w:r>
        <w:rPr>
          <w:rFonts w:hint="eastAsia" w:ascii="宋体" w:hAnsi="宋体" w:cs="Arial"/>
        </w:rPr>
        <w:t>、杠杆风险</w:t>
      </w:r>
    </w:p>
    <w:p w14:paraId="45FA8C6F">
      <w:pPr>
        <w:adjustRightInd w:val="0"/>
        <w:snapToGrid w:val="0"/>
        <w:spacing w:line="360" w:lineRule="auto"/>
        <w:ind w:firstLine="420" w:firstLineChars="200"/>
        <w:rPr>
          <w:rFonts w:ascii="宋体" w:hAnsi="宋体" w:cs="Arial"/>
        </w:rPr>
      </w:pPr>
      <w:r>
        <w:rPr>
          <w:rFonts w:hint="eastAsia" w:ascii="宋体" w:hAnsi="宋体" w:cs="Arial"/>
        </w:rPr>
        <w:t>参与股指期货交易具有高杠杆特性，因此会放大基础资产所产生的盈利或损失，加大本基金收益的波动性。</w:t>
      </w:r>
    </w:p>
    <w:p w14:paraId="110C3682">
      <w:pPr>
        <w:adjustRightInd w:val="0"/>
        <w:snapToGrid w:val="0"/>
        <w:spacing w:line="360" w:lineRule="auto"/>
        <w:ind w:firstLine="420" w:firstLineChars="200"/>
        <w:rPr>
          <w:rFonts w:ascii="宋体" w:hAnsi="宋体" w:cs="Arial"/>
        </w:rPr>
      </w:pPr>
      <w:r>
        <w:rPr>
          <w:rFonts w:ascii="宋体" w:hAnsi="宋体" w:cs="Arial"/>
        </w:rPr>
        <w:t>2</w:t>
      </w:r>
      <w:r>
        <w:rPr>
          <w:rFonts w:hint="eastAsia" w:ascii="宋体" w:hAnsi="宋体" w:cs="Arial"/>
        </w:rPr>
        <w:t>、基差风险</w:t>
      </w:r>
    </w:p>
    <w:p w14:paraId="16F84CBD">
      <w:pPr>
        <w:adjustRightInd w:val="0"/>
        <w:snapToGrid w:val="0"/>
        <w:spacing w:line="360" w:lineRule="auto"/>
        <w:ind w:firstLine="420" w:firstLineChars="200"/>
        <w:rPr>
          <w:rFonts w:ascii="宋体" w:hAnsi="宋体" w:cs="Arial"/>
        </w:rPr>
      </w:pPr>
      <w:r>
        <w:rPr>
          <w:rFonts w:hint="eastAsia" w:ascii="宋体" w:hAnsi="宋体" w:cs="Arial"/>
        </w:rPr>
        <w:t>基差是指股票指数现货价格与股指期货价格之间的差额。若本基金运作中出现基差波动不确定性加大、基差向不利方向变动等情况，则可能对本基金投资产生影响。</w:t>
      </w:r>
    </w:p>
    <w:p w14:paraId="57FD15CF">
      <w:pPr>
        <w:adjustRightInd w:val="0"/>
        <w:snapToGrid w:val="0"/>
        <w:spacing w:line="360" w:lineRule="auto"/>
        <w:ind w:firstLine="420" w:firstLineChars="200"/>
        <w:rPr>
          <w:rFonts w:ascii="宋体" w:hAnsi="宋体" w:cs="Arial"/>
        </w:rPr>
      </w:pPr>
      <w:r>
        <w:rPr>
          <w:rFonts w:ascii="宋体" w:hAnsi="宋体" w:cs="Arial"/>
        </w:rPr>
        <w:t>3</w:t>
      </w:r>
      <w:r>
        <w:rPr>
          <w:rFonts w:hint="eastAsia" w:ascii="宋体" w:hAnsi="宋体" w:cs="Arial"/>
        </w:rPr>
        <w:t>、合约展期风险</w:t>
      </w:r>
    </w:p>
    <w:p w14:paraId="1AD9D90A">
      <w:pPr>
        <w:adjustRightInd w:val="0"/>
        <w:snapToGrid w:val="0"/>
        <w:spacing w:line="360" w:lineRule="auto"/>
        <w:ind w:firstLine="420" w:firstLineChars="200"/>
        <w:rPr>
          <w:rFonts w:ascii="宋体" w:hAnsi="宋体" w:cs="Arial"/>
        </w:rPr>
      </w:pPr>
      <w:r>
        <w:rPr>
          <w:rFonts w:hint="eastAsia" w:ascii="宋体" w:hAnsi="宋体" w:cs="Arial"/>
        </w:rPr>
        <w:t>本基金所投资的期货合约主要包括股指期货当月和近月合约。当基金所持有的合约临近交割期限，即需要向较远月份的合约进行展期，展期过程中可能发生价差损失以及交易成本损失，将对投资收益产生影响。</w:t>
      </w:r>
    </w:p>
    <w:p w14:paraId="6D143807">
      <w:pPr>
        <w:adjustRightInd w:val="0"/>
        <w:snapToGrid w:val="0"/>
        <w:spacing w:line="360" w:lineRule="auto"/>
        <w:ind w:firstLine="420" w:firstLineChars="200"/>
        <w:rPr>
          <w:rFonts w:ascii="宋体" w:hAnsi="宋体" w:cs="Arial"/>
        </w:rPr>
      </w:pPr>
      <w:r>
        <w:rPr>
          <w:rFonts w:ascii="宋体" w:hAnsi="宋体" w:cs="Arial"/>
        </w:rPr>
        <w:t>4</w:t>
      </w:r>
      <w:r>
        <w:rPr>
          <w:rFonts w:hint="eastAsia" w:ascii="宋体" w:hAnsi="宋体" w:cs="Arial"/>
        </w:rPr>
        <w:t>、模型风险</w:t>
      </w:r>
    </w:p>
    <w:p w14:paraId="627EFFB2">
      <w:pPr>
        <w:adjustRightInd w:val="0"/>
        <w:snapToGrid w:val="0"/>
        <w:spacing w:line="360" w:lineRule="auto"/>
        <w:ind w:firstLine="420" w:firstLineChars="200"/>
        <w:rPr>
          <w:rFonts w:ascii="宋体" w:hAnsi="宋体" w:cs="Arial"/>
        </w:rPr>
      </w:pPr>
      <w:r>
        <w:rPr>
          <w:rFonts w:hint="eastAsia" w:ascii="宋体" w:hAnsi="宋体" w:cs="Arial"/>
        </w:rPr>
        <w:t>股指期货合约属于虚拟投资品种，投资过程中需要通过模型进行风险定价，当投资人员使用了错误模型或者选择了不当的参数，会导致对风险或交易价格的估计错误而造成损失，损害本基金的投资收益。</w:t>
      </w:r>
    </w:p>
    <w:p w14:paraId="562A94A8">
      <w:pPr>
        <w:adjustRightInd w:val="0"/>
        <w:snapToGrid w:val="0"/>
        <w:spacing w:line="360" w:lineRule="auto"/>
        <w:ind w:firstLine="422" w:firstLineChars="200"/>
        <w:rPr>
          <w:rFonts w:ascii="宋体" w:hAnsi="宋体" w:cs="Arial"/>
          <w:b/>
          <w:bCs/>
        </w:rPr>
      </w:pPr>
      <w:r>
        <w:rPr>
          <w:rFonts w:hint="eastAsia" w:ascii="宋体" w:hAnsi="宋体" w:cs="Arial"/>
          <w:b/>
          <w:bCs/>
        </w:rPr>
        <w:t>十九、参与国债期货交易风险</w:t>
      </w:r>
    </w:p>
    <w:p w14:paraId="223503ED">
      <w:pPr>
        <w:adjustRightInd w:val="0"/>
        <w:snapToGrid w:val="0"/>
        <w:spacing w:line="360" w:lineRule="auto"/>
        <w:ind w:firstLine="420" w:firstLineChars="200"/>
        <w:rPr>
          <w:rFonts w:ascii="宋体" w:hAnsi="宋体" w:cs="Arial"/>
        </w:rPr>
      </w:pPr>
      <w:r>
        <w:rPr>
          <w:rFonts w:hint="eastAsia" w:ascii="宋体" w:hAnsi="宋体" w:cs="Arial"/>
        </w:rPr>
        <w:t>本基金的一部分资产将可能参与国债期货交易，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w:t>
      </w:r>
    </w:p>
    <w:p w14:paraId="56EDB851">
      <w:pPr>
        <w:tabs>
          <w:tab w:val="left" w:pos="851"/>
          <w:tab w:val="left" w:pos="1134"/>
        </w:tabs>
        <w:adjustRightInd w:val="0"/>
        <w:snapToGrid w:val="0"/>
        <w:spacing w:line="360" w:lineRule="auto"/>
        <w:ind w:firstLine="422" w:firstLineChars="200"/>
        <w:outlineLvl w:val="0"/>
        <w:rPr>
          <w:rFonts w:ascii="宋体" w:hAnsi="宋体" w:cs="Arial"/>
          <w:b/>
        </w:rPr>
      </w:pPr>
      <w:r>
        <w:rPr>
          <w:rFonts w:hint="eastAsia" w:ascii="宋体" w:hAnsi="宋体" w:cs="Arial"/>
          <w:b/>
        </w:rPr>
        <w:t>二十、资产支持证券（ABS）的风险</w:t>
      </w:r>
    </w:p>
    <w:p w14:paraId="34D236CC">
      <w:pPr>
        <w:adjustRightInd w:val="0"/>
        <w:snapToGrid w:val="0"/>
        <w:spacing w:line="360" w:lineRule="auto"/>
        <w:ind w:firstLine="420" w:firstLineChars="200"/>
        <w:rPr>
          <w:rFonts w:ascii="宋体" w:hAnsi="宋体" w:cs="Arial"/>
        </w:rPr>
      </w:pPr>
      <w:r>
        <w:rPr>
          <w:rFonts w:hint="eastAsia" w:ascii="宋体" w:hAnsi="宋体" w:cs="Arial"/>
        </w:rPr>
        <w:t>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w:t>
      </w:r>
    </w:p>
    <w:p w14:paraId="2E14713E">
      <w:pPr>
        <w:adjustRightInd w:val="0"/>
        <w:snapToGrid w:val="0"/>
        <w:spacing w:line="360" w:lineRule="auto"/>
        <w:ind w:firstLine="422" w:firstLineChars="200"/>
        <w:rPr>
          <w:rFonts w:ascii="宋体" w:hAnsi="宋体" w:cs="Arial"/>
          <w:b/>
        </w:rPr>
      </w:pPr>
      <w:r>
        <w:rPr>
          <w:rFonts w:hint="eastAsia" w:ascii="宋体" w:hAnsi="宋体" w:cs="Arial"/>
          <w:b/>
        </w:rPr>
        <w:t>二十一、</w:t>
      </w:r>
      <w:bookmarkStart w:id="113" w:name="_Toc436220646"/>
      <w:r>
        <w:rPr>
          <w:rFonts w:hint="eastAsia" w:ascii="宋体" w:hAnsi="宋体"/>
          <w:b/>
        </w:rPr>
        <w:t>新股申购风险</w:t>
      </w:r>
      <w:bookmarkEnd w:id="113"/>
    </w:p>
    <w:p w14:paraId="165152F3">
      <w:pPr>
        <w:spacing w:line="360" w:lineRule="auto"/>
        <w:ind w:firstLine="420" w:firstLineChars="200"/>
        <w:rPr>
          <w:rFonts w:ascii="宋体" w:hAnsi="宋体"/>
        </w:rPr>
      </w:pPr>
      <w:r>
        <w:rPr>
          <w:rFonts w:hint="eastAsia" w:ascii="宋体" w:hAnsi="宋体"/>
        </w:rPr>
        <w:t>本基金可参与新股申购，新股发行政策、新股发行机制等影响新股发行的因素变动将会影响本基金的风险收益水平；新股配售比例、中签率的不确定性，或其他发售方式的不确定性以及上市后市场表现的不确定性使得本基金的投资收益不确定性有增加的风险。</w:t>
      </w:r>
    </w:p>
    <w:p w14:paraId="12008B6D">
      <w:pPr>
        <w:adjustRightInd w:val="0"/>
        <w:snapToGrid w:val="0"/>
        <w:spacing w:line="360" w:lineRule="auto"/>
        <w:ind w:firstLine="422" w:firstLineChars="200"/>
        <w:rPr>
          <w:rFonts w:ascii="宋体" w:hAnsi="宋体" w:cs="Arial"/>
          <w:b/>
        </w:rPr>
      </w:pPr>
      <w:r>
        <w:rPr>
          <w:rFonts w:hint="eastAsia" w:ascii="宋体" w:hAnsi="宋体" w:cs="Arial"/>
          <w:b/>
        </w:rPr>
        <w:t>二十二、股票期权风险</w:t>
      </w:r>
    </w:p>
    <w:p w14:paraId="6D8DAD5F">
      <w:pPr>
        <w:spacing w:line="360" w:lineRule="auto"/>
        <w:ind w:firstLine="420" w:firstLineChars="200"/>
        <w:rPr>
          <w:rFonts w:ascii="宋体" w:hAnsi="宋体"/>
        </w:rPr>
      </w:pPr>
      <w:r>
        <w:rPr>
          <w:rFonts w:hint="eastAsia" w:ascii="宋体" w:hAnsi="宋体"/>
        </w:rPr>
        <w:t>流动性风险：由于股票期权合约众多，交易较为分散，股票期权市场的流动性一般较期货市场要低，尤其是深度实值和虚值的股票期权，成交量稀少，持有这些股票期权的投资者容易遇到无法成交、平仓出局的局面。</w:t>
      </w:r>
    </w:p>
    <w:p w14:paraId="09673B1A">
      <w:pPr>
        <w:spacing w:line="360" w:lineRule="auto"/>
        <w:ind w:firstLine="420" w:firstLineChars="200"/>
        <w:rPr>
          <w:rFonts w:ascii="宋体" w:hAnsi="宋体"/>
        </w:rPr>
      </w:pPr>
      <w:r>
        <w:rPr>
          <w:rFonts w:hint="eastAsia" w:ascii="宋体" w:hAnsi="宋体"/>
        </w:rPr>
        <w:t>价格风险：股票期权买方的价格风险即为他所付出的权利金，风险具有确定性。股票期权卖方的价格风险不定，不过其所收取的权利金可以提供相应保护，当发生亏损时，可以抵消部分损失。</w:t>
      </w:r>
    </w:p>
    <w:p w14:paraId="63DF79C5">
      <w:pPr>
        <w:spacing w:line="360" w:lineRule="auto"/>
        <w:ind w:firstLine="420" w:firstLineChars="200"/>
        <w:rPr>
          <w:rFonts w:ascii="宋体" w:hAnsi="宋体"/>
        </w:rPr>
      </w:pPr>
      <w:r>
        <w:rPr>
          <w:rFonts w:hint="eastAsia" w:ascii="宋体" w:hAnsi="宋体"/>
        </w:rPr>
        <w:t>操作风险：操作风险是指由于管理不善或者制度执行出现问题等原因所导致的风险。股票期权作为一种衍生品，虽然可以用来管理风险，但若使用不当，也会产生巨额损失。</w:t>
      </w:r>
    </w:p>
    <w:p w14:paraId="1C19C4BF">
      <w:pPr>
        <w:spacing w:line="360" w:lineRule="auto"/>
        <w:ind w:firstLine="422" w:firstLineChars="200"/>
        <w:rPr>
          <w:rFonts w:ascii="宋体" w:hAnsi="宋体"/>
          <w:b/>
        </w:rPr>
      </w:pPr>
      <w:r>
        <w:rPr>
          <w:rFonts w:hint="eastAsia" w:ascii="宋体" w:hAnsi="宋体"/>
          <w:b/>
        </w:rPr>
        <w:t>二十三、融资融券交易及转融通证券出借业务的主要风险</w:t>
      </w:r>
    </w:p>
    <w:p w14:paraId="2CA33A55">
      <w:pPr>
        <w:spacing w:line="360" w:lineRule="auto"/>
        <w:ind w:firstLine="420" w:firstLineChars="200"/>
        <w:rPr>
          <w:rFonts w:ascii="宋体" w:hAnsi="宋体" w:cs="Arial"/>
        </w:rPr>
      </w:pPr>
      <w:r>
        <w:rPr>
          <w:rFonts w:hint="eastAsia" w:ascii="宋体" w:hAnsi="宋体" w:cs="Arial"/>
        </w:rPr>
        <w:t>1、流动性风险</w:t>
      </w:r>
    </w:p>
    <w:p w14:paraId="5F65D7E2">
      <w:pPr>
        <w:spacing w:line="360" w:lineRule="auto"/>
        <w:ind w:firstLine="420" w:firstLineChars="200"/>
        <w:rPr>
          <w:rFonts w:ascii="宋体" w:hAnsi="宋体" w:cs="Arial"/>
        </w:rPr>
      </w:pPr>
      <w:r>
        <w:rPr>
          <w:rFonts w:hint="eastAsia" w:ascii="宋体" w:hAnsi="宋体" w:cs="Arial"/>
        </w:rPr>
        <w:t>出借人在出借证券后，除与借入人协商一致可提前了结的情形外，其他情形无法在合约到期前提前收回出借证券。当委托人拟赎回安排与投资人策略安排之间存在期限偏离，或当市场变化导致投资人员策略显著调整与前期合约期限安排不匹配时，可能存在由于出借证券无法及时收回并变现而导致的流动性风险。</w:t>
      </w:r>
    </w:p>
    <w:p w14:paraId="1E1B1E43">
      <w:pPr>
        <w:spacing w:line="360" w:lineRule="auto"/>
        <w:ind w:firstLine="420" w:firstLineChars="200"/>
        <w:rPr>
          <w:rFonts w:ascii="宋体" w:hAnsi="宋体" w:cs="Arial"/>
        </w:rPr>
      </w:pPr>
      <w:r>
        <w:rPr>
          <w:rFonts w:hint="eastAsia" w:ascii="宋体" w:hAnsi="宋体" w:cs="Arial"/>
        </w:rPr>
        <w:t>2、交易对手违约风险</w:t>
      </w:r>
    </w:p>
    <w:p w14:paraId="0EE86920">
      <w:pPr>
        <w:spacing w:line="360" w:lineRule="auto"/>
        <w:ind w:firstLine="420" w:firstLineChars="200"/>
        <w:rPr>
          <w:rFonts w:ascii="宋体" w:hAnsi="宋体" w:cs="Arial"/>
        </w:rPr>
      </w:pPr>
      <w:r>
        <w:rPr>
          <w:rFonts w:hint="eastAsia" w:ascii="宋体" w:hAnsi="宋体" w:cs="Arial"/>
        </w:rPr>
        <w:t>存在由于交易对手违约而导致证券到期不能按时或足额归还、相应权益补偿和借券费用不能支付等交易对手违约风险。</w:t>
      </w:r>
    </w:p>
    <w:p w14:paraId="2ACA1BFD">
      <w:pPr>
        <w:spacing w:line="360" w:lineRule="auto"/>
        <w:ind w:firstLine="420" w:firstLineChars="200"/>
        <w:rPr>
          <w:rFonts w:ascii="宋体" w:hAnsi="宋体" w:cs="Arial"/>
        </w:rPr>
      </w:pPr>
      <w:r>
        <w:rPr>
          <w:rFonts w:hint="eastAsia" w:ascii="宋体" w:hAnsi="宋体" w:cs="Arial"/>
        </w:rPr>
        <w:t>3、市场风险</w:t>
      </w:r>
    </w:p>
    <w:p w14:paraId="3C047283">
      <w:pPr>
        <w:spacing w:line="360" w:lineRule="auto"/>
        <w:ind w:firstLine="420" w:firstLineChars="200"/>
        <w:rPr>
          <w:rFonts w:ascii="宋体" w:hAnsi="宋体" w:cs="Arial"/>
        </w:rPr>
      </w:pPr>
      <w:r>
        <w:rPr>
          <w:rFonts w:hint="eastAsia" w:ascii="宋体" w:hAnsi="宋体" w:cs="Arial"/>
        </w:rPr>
        <w:t>转融通出借收益按照证券当日收市后市值、融出日（或展期日）费率和实际出借天数计算，因此可能面临证券市值波动、费率变动而导致的市场风险。</w:t>
      </w:r>
    </w:p>
    <w:p w14:paraId="4C602446">
      <w:pPr>
        <w:spacing w:line="360" w:lineRule="auto"/>
        <w:ind w:firstLine="420" w:firstLineChars="200"/>
        <w:rPr>
          <w:rFonts w:ascii="宋体" w:hAnsi="宋体" w:cs="Arial"/>
        </w:rPr>
      </w:pPr>
      <w:r>
        <w:rPr>
          <w:rFonts w:hint="eastAsia" w:ascii="宋体" w:hAnsi="宋体" w:cs="Arial"/>
        </w:rPr>
        <w:t>4、提前或延迟了结风险</w:t>
      </w:r>
    </w:p>
    <w:p w14:paraId="2E811DBE">
      <w:pPr>
        <w:spacing w:line="360" w:lineRule="auto"/>
        <w:ind w:firstLine="420" w:firstLineChars="200"/>
        <w:rPr>
          <w:rFonts w:ascii="宋体" w:hAnsi="宋体" w:cs="Arial"/>
        </w:rPr>
      </w:pPr>
      <w:r>
        <w:rPr>
          <w:rFonts w:hint="eastAsia" w:ascii="宋体" w:hAnsi="宋体" w:cs="Arial"/>
        </w:rPr>
        <w:t>证券出借期间，如发生标的证券范围调整、标的证券暂停交易、标的证券对应的上市公司被以终止上市为目的进行收购、终止上市等情况，可能面临合约提前了结或延迟了结的风险。</w:t>
      </w:r>
    </w:p>
    <w:p w14:paraId="6BDC0767">
      <w:pPr>
        <w:spacing w:line="360" w:lineRule="auto"/>
        <w:ind w:firstLine="420" w:firstLineChars="200"/>
        <w:rPr>
          <w:rFonts w:ascii="宋体" w:hAnsi="宋体" w:cs="Arial"/>
        </w:rPr>
      </w:pPr>
      <w:r>
        <w:rPr>
          <w:rFonts w:hint="eastAsia" w:ascii="宋体" w:hAnsi="宋体" w:cs="Arial"/>
        </w:rPr>
        <w:t>5、跟踪误差风险</w:t>
      </w:r>
    </w:p>
    <w:p w14:paraId="48A1EC53">
      <w:pPr>
        <w:spacing w:line="360" w:lineRule="auto"/>
        <w:ind w:firstLine="420" w:firstLineChars="200"/>
        <w:rPr>
          <w:rFonts w:ascii="宋体" w:hAnsi="宋体" w:cs="Arial"/>
        </w:rPr>
      </w:pPr>
      <w:r>
        <w:rPr>
          <w:rFonts w:hint="eastAsia" w:ascii="宋体" w:hAnsi="宋体" w:cs="Arial"/>
        </w:rPr>
        <w:t>对于指数型组合，当组合发生大额赎回或市场大幅波动时，存在由于转融通出借证券无法提前了结并变现，单一股票占比被动上升而导致组合跟踪误差扩大的风险。</w:t>
      </w:r>
    </w:p>
    <w:p w14:paraId="416B8A41">
      <w:pPr>
        <w:spacing w:line="360" w:lineRule="auto"/>
        <w:ind w:firstLine="420" w:firstLineChars="200"/>
        <w:rPr>
          <w:rFonts w:ascii="宋体" w:hAnsi="宋体" w:cs="Arial"/>
        </w:rPr>
      </w:pPr>
      <w:r>
        <w:rPr>
          <w:rFonts w:hint="eastAsia" w:ascii="宋体" w:hAnsi="宋体" w:cs="Arial"/>
        </w:rPr>
        <w:t>6、杠杆效应放大风险</w:t>
      </w:r>
    </w:p>
    <w:p w14:paraId="756661AA">
      <w:pPr>
        <w:spacing w:line="360" w:lineRule="auto"/>
        <w:ind w:firstLine="420" w:firstLineChars="200"/>
        <w:rPr>
          <w:rFonts w:ascii="宋体" w:hAnsi="宋体" w:cs="Arial"/>
        </w:rPr>
      </w:pPr>
      <w:r>
        <w:rPr>
          <w:rFonts w:hint="eastAsia" w:ascii="宋体" w:hAnsi="宋体" w:cs="Arial"/>
        </w:rPr>
        <w:t>投资者通过融资融券及转融通证券出借业务可以扩大交易额度,利用较少资本来获取较大利润,这必然也放大了风险。投资者将股票作为担保品进行融资时,既需要承担原有的股票价格变化带来的风险,又得承担新投资股票带来的风险,还得支付相应的利息或费用,如判断失误或操作不当,会加大亏损。</w:t>
      </w:r>
    </w:p>
    <w:p w14:paraId="32C0F3E9">
      <w:pPr>
        <w:spacing w:line="360" w:lineRule="auto"/>
        <w:ind w:firstLine="420" w:firstLineChars="200"/>
        <w:rPr>
          <w:rFonts w:ascii="宋体" w:hAnsi="宋体" w:cs="Arial"/>
        </w:rPr>
      </w:pPr>
      <w:r>
        <w:rPr>
          <w:rFonts w:hint="eastAsia" w:ascii="宋体" w:hAnsi="宋体" w:cs="Arial"/>
        </w:rPr>
        <w:t>7、担保能力及限制交易风险</w:t>
      </w:r>
    </w:p>
    <w:p w14:paraId="6796E6AB">
      <w:pPr>
        <w:spacing w:line="360" w:lineRule="auto"/>
        <w:ind w:firstLine="420" w:firstLineChars="200"/>
        <w:rPr>
          <w:rFonts w:ascii="宋体" w:hAnsi="宋体" w:cs="Arial"/>
        </w:rPr>
      </w:pPr>
      <w:r>
        <w:rPr>
          <w:rFonts w:hint="eastAsia" w:ascii="宋体" w:hAnsi="宋体" w:cs="Arial"/>
        </w:rPr>
        <w:t>单只或全部证券被暂停融资或融券及转融通证券出借业务、投资者账户被暂停或取消融资或融券及转融通证券出借业务资格等,这些影响可能给投资者造成经济损失。此外,投资者也可能面临由于自身维持担保比例低于融资融券及转融通证券出借业务合同约定的担保要求,且未能及时补充担保物,导致信用账户交易受到限制,从而造成经济损失。</w:t>
      </w:r>
    </w:p>
    <w:p w14:paraId="1E302FEE">
      <w:pPr>
        <w:spacing w:line="360" w:lineRule="auto"/>
        <w:ind w:firstLine="420" w:firstLineChars="200"/>
        <w:rPr>
          <w:rFonts w:ascii="宋体" w:hAnsi="宋体" w:cs="Arial"/>
        </w:rPr>
      </w:pPr>
      <w:r>
        <w:rPr>
          <w:rFonts w:hint="eastAsia" w:ascii="宋体" w:hAnsi="宋体" w:cs="Arial"/>
        </w:rPr>
        <w:t>8、强制平仓风险</w:t>
      </w:r>
    </w:p>
    <w:p w14:paraId="75BC2E8E">
      <w:pPr>
        <w:spacing w:line="360" w:lineRule="auto"/>
        <w:ind w:firstLine="420" w:firstLineChars="200"/>
        <w:rPr>
          <w:rFonts w:ascii="宋体" w:hAnsi="宋体" w:cs="Arial"/>
        </w:rPr>
      </w:pPr>
      <w:r>
        <w:rPr>
          <w:rFonts w:hint="eastAsia" w:ascii="宋体" w:hAnsi="宋体" w:cs="Arial"/>
        </w:rPr>
        <w:t>投资者在从事融资融券交易及转融通证券出借业务期间,如果不能按照约定的期限清偿债务,或上市证券价格波动,导致日终清算后维持担保比例低于警戒线,且不能按照约定追加担保物时,将面临担保物被证券公司强制平仓的风险,由此可能给投资者造成经济损失。</w:t>
      </w:r>
    </w:p>
    <w:p w14:paraId="4546D40F">
      <w:pPr>
        <w:spacing w:line="360" w:lineRule="auto"/>
        <w:ind w:firstLine="420" w:firstLineChars="200"/>
        <w:rPr>
          <w:rFonts w:ascii="宋体" w:hAnsi="宋体" w:cs="Arial"/>
        </w:rPr>
      </w:pPr>
      <w:r>
        <w:rPr>
          <w:rFonts w:hint="eastAsia" w:ascii="宋体" w:hAnsi="宋体" w:cs="Arial"/>
        </w:rPr>
        <w:t>9、操作风险</w:t>
      </w:r>
    </w:p>
    <w:p w14:paraId="46FEE948">
      <w:pPr>
        <w:spacing w:line="360" w:lineRule="auto"/>
        <w:ind w:firstLine="420" w:firstLineChars="200"/>
        <w:rPr>
          <w:rFonts w:ascii="宋体" w:hAnsi="宋体" w:cs="Arial"/>
        </w:rPr>
      </w:pPr>
      <w:r>
        <w:rPr>
          <w:rFonts w:hint="eastAsia" w:ascii="宋体" w:hAnsi="宋体" w:cs="Arial"/>
        </w:rPr>
        <w:t>融资融券交易和转融通业务具体实施过程中，在投资决策、交易等环节，可能面临由于操作人员操作失误、系统不完善等原因引发的操作风险。</w:t>
      </w:r>
    </w:p>
    <w:p w14:paraId="522DB0D0">
      <w:pPr>
        <w:spacing w:line="360" w:lineRule="auto"/>
        <w:ind w:firstLine="420" w:firstLineChars="200"/>
        <w:rPr>
          <w:rFonts w:ascii="宋体" w:hAnsi="宋体" w:cs="Arial"/>
        </w:rPr>
      </w:pPr>
      <w:r>
        <w:rPr>
          <w:rFonts w:hint="eastAsia" w:ascii="宋体" w:hAnsi="宋体" w:cs="Arial"/>
        </w:rPr>
        <w:t>10、法律合规风险</w:t>
      </w:r>
    </w:p>
    <w:p w14:paraId="3CB1AA55">
      <w:pPr>
        <w:spacing w:line="360" w:lineRule="auto"/>
        <w:ind w:firstLine="420" w:firstLineChars="200"/>
        <w:rPr>
          <w:rFonts w:ascii="宋体" w:hAnsi="宋体" w:cs="Arial"/>
        </w:rPr>
      </w:pPr>
      <w:r>
        <w:rPr>
          <w:rFonts w:hint="eastAsia" w:ascii="宋体" w:hAnsi="宋体" w:cs="Arial"/>
        </w:rPr>
        <w:t>在融资融券交易和转融通证券出借过程中，存在由于标的证券价格波动导致组合合规指标超标且无法进行调整的风险，以及在业务开展过程中发生操纵价格、利益输送等法律合规风险。</w:t>
      </w:r>
    </w:p>
    <w:p w14:paraId="300C7799">
      <w:pPr>
        <w:spacing w:line="360" w:lineRule="auto"/>
        <w:ind w:firstLine="422" w:firstLineChars="200"/>
        <w:rPr>
          <w:rFonts w:ascii="宋体" w:hAnsi="宋体"/>
          <w:b/>
        </w:rPr>
      </w:pPr>
      <w:r>
        <w:rPr>
          <w:rFonts w:hint="eastAsia" w:ascii="宋体" w:hAnsi="宋体"/>
          <w:b/>
        </w:rPr>
        <w:t>二十四、港股通机制下，港股投资风险</w:t>
      </w:r>
    </w:p>
    <w:p w14:paraId="411224C6">
      <w:pPr>
        <w:spacing w:line="360" w:lineRule="auto"/>
        <w:ind w:firstLine="420" w:firstLineChars="200"/>
        <w:rPr>
          <w:rFonts w:ascii="宋体" w:hAnsi="宋体"/>
        </w:rPr>
      </w:pPr>
      <w:r>
        <w:rPr>
          <w:rFonts w:hint="eastAsia" w:ascii="宋体" w:hAnsi="宋体"/>
        </w:rPr>
        <w:t>本基金投资范围为包括内地与香港股票市场交易互联互通机制下允许投资的香港联合交易所上市的股票，本基金面临港股通机制下因投资环境、投资者结构、投资标的构成、市场制度以及交易规则等差异所带来的特有风险，包括但不限于：</w:t>
      </w:r>
    </w:p>
    <w:p w14:paraId="2713F1BB">
      <w:pPr>
        <w:spacing w:line="360" w:lineRule="auto"/>
        <w:ind w:firstLine="420" w:firstLineChars="200"/>
        <w:rPr>
          <w:rFonts w:ascii="宋体" w:hAnsi="宋体"/>
        </w:rPr>
      </w:pPr>
      <w:r>
        <w:rPr>
          <w:rFonts w:hint="eastAsia" w:ascii="宋体" w:hAnsi="宋体"/>
        </w:rPr>
        <w:t>1、市场联动的风险</w:t>
      </w:r>
    </w:p>
    <w:p w14:paraId="7FD28FD3">
      <w:pPr>
        <w:spacing w:line="360" w:lineRule="auto"/>
        <w:ind w:firstLine="420" w:firstLineChars="200"/>
        <w:rPr>
          <w:rFonts w:ascii="宋体" w:hAnsi="宋体"/>
        </w:rPr>
      </w:pPr>
      <w:r>
        <w:rPr>
          <w:rFonts w:hint="eastAsia" w:ascii="宋体" w:hAnsi="宋体"/>
        </w:rPr>
        <w:t>与内地A股市场相比，港股市场上外汇资金流动更为自由，海外资金的流动对港股价格的影响巨大，港股价格与海外资金流动表现出高度相关性，本基金在参与港股市场投资时受到全球宏观经济和货币政策变动等因素所导致的系统风险相对更大。同时，在特殊情况下，本基金将少量投资于港股通标的股票以进行替代复制。对于同时有A股、H股的指数成份公司，如果该公司A股长期停牌，组合无法买入该股票时，可以买入该公司H股进行替代。当同一公司A股和H股股价及走势出现大幅偏离时可能导致组合跟踪误差扩大。</w:t>
      </w:r>
    </w:p>
    <w:p w14:paraId="56F00C50">
      <w:pPr>
        <w:spacing w:line="360" w:lineRule="auto"/>
        <w:ind w:firstLine="420" w:firstLineChars="200"/>
        <w:rPr>
          <w:rFonts w:ascii="宋体" w:hAnsi="宋体"/>
        </w:rPr>
      </w:pPr>
      <w:r>
        <w:rPr>
          <w:rFonts w:hint="eastAsia" w:ascii="宋体" w:hAnsi="宋体"/>
        </w:rPr>
        <w:t>2、股价波动的风险</w:t>
      </w:r>
    </w:p>
    <w:p w14:paraId="0AA3DD03">
      <w:pPr>
        <w:spacing w:line="360" w:lineRule="auto"/>
        <w:ind w:firstLine="420" w:firstLineChars="200"/>
        <w:rPr>
          <w:rFonts w:ascii="宋体" w:hAnsi="宋体"/>
        </w:rPr>
      </w:pPr>
      <w:r>
        <w:rPr>
          <w:rFonts w:hint="eastAsia" w:ascii="宋体" w:hAnsi="宋体"/>
        </w:rPr>
        <w:t>港股市场实行T+0回转交易机制（即当日买入的股票，在交收前可以于当日卖出），同时对个股不设涨跌幅限制，加之香港市场结构性产品和衍生品种类相对丰富以及做空机制的存在；港股股价受到意外事件影响可能表现出比A股更为剧烈的股价波动，本基金持仓的波动风险可能相对较大。</w:t>
      </w:r>
    </w:p>
    <w:p w14:paraId="73C0BBBE">
      <w:pPr>
        <w:spacing w:line="360" w:lineRule="auto"/>
        <w:ind w:firstLine="420" w:firstLineChars="200"/>
        <w:rPr>
          <w:rFonts w:ascii="宋体" w:hAnsi="宋体"/>
        </w:rPr>
      </w:pPr>
      <w:r>
        <w:rPr>
          <w:rFonts w:hint="eastAsia" w:ascii="宋体" w:hAnsi="宋体"/>
        </w:rPr>
        <w:t>3、汇率风险</w:t>
      </w:r>
    </w:p>
    <w:p w14:paraId="3D1B756E">
      <w:pPr>
        <w:spacing w:line="360" w:lineRule="auto"/>
        <w:ind w:firstLine="420" w:firstLineChars="200"/>
        <w:rPr>
          <w:rFonts w:ascii="宋体" w:hAnsi="宋体"/>
        </w:rPr>
      </w:pPr>
      <w:r>
        <w:rPr>
          <w:rFonts w:hint="eastAsia" w:ascii="宋体" w:hAnsi="宋体"/>
        </w:rPr>
        <w:t>在现行港股通机制下，港股的买卖是以港币报价，以人民币进行支付，并且资金不留港（港股交易后结算的净资金余额头寸以换汇的方式兑换为人民币），故本基金每日的港股买卖结算将进行相应的港币兑人民币的换汇操作，本基金承担港元对人民币汇率波动的风险，以及因汇率大幅波动引起账户透支的风险。</w:t>
      </w:r>
    </w:p>
    <w:p w14:paraId="2ACC990F">
      <w:pPr>
        <w:spacing w:line="360" w:lineRule="auto"/>
        <w:ind w:firstLine="420" w:firstLineChars="200"/>
        <w:rPr>
          <w:rFonts w:ascii="宋体" w:hAnsi="宋体"/>
        </w:rPr>
      </w:pPr>
      <w:r>
        <w:rPr>
          <w:rFonts w:hint="eastAsia" w:ascii="宋体" w:hAnsi="宋体"/>
        </w:rPr>
        <w:t>另外本基金对港股买卖每日结算中所采用的报价汇率可能存在报价差异，本基金可能需额外承担买卖结算汇率报价点差所带来的损失；同时根据港股通的规则设定，本基金在每日买卖港股申请时将参考汇率买入/卖出价冻结相应的资金，该参考汇率买入价和卖出价设定上存在比例差异，以抵御该日汇率波动而带来的结算风险，本基金将因此而遭遇资金被额外占用进而降低基金投资效率的风险。</w:t>
      </w:r>
    </w:p>
    <w:p w14:paraId="7CC6FB7C">
      <w:pPr>
        <w:spacing w:line="360" w:lineRule="auto"/>
        <w:ind w:firstLine="420" w:firstLineChars="200"/>
        <w:rPr>
          <w:rFonts w:ascii="宋体" w:hAnsi="宋体"/>
        </w:rPr>
      </w:pPr>
      <w:r>
        <w:rPr>
          <w:rFonts w:hint="eastAsia" w:ascii="宋体" w:hAnsi="宋体"/>
        </w:rPr>
        <w:t>4、港股通额度限制</w:t>
      </w:r>
    </w:p>
    <w:p w14:paraId="25707E0C">
      <w:pPr>
        <w:spacing w:line="360" w:lineRule="auto"/>
        <w:ind w:firstLine="420" w:firstLineChars="200"/>
        <w:rPr>
          <w:rFonts w:ascii="宋体" w:hAnsi="宋体"/>
        </w:rPr>
      </w:pPr>
      <w:r>
        <w:rPr>
          <w:rFonts w:hint="eastAsia" w:ascii="宋体" w:hAnsi="宋体"/>
        </w:rPr>
        <w:t>现行的港股通规则，对港股通设有每日额度上限的限制；本基金可能因为港股通市场每日额度不足，而不能买入看好之投资标的进而错失投资机会的风险。</w:t>
      </w:r>
    </w:p>
    <w:p w14:paraId="5AB0FC14">
      <w:pPr>
        <w:spacing w:line="360" w:lineRule="auto"/>
        <w:ind w:firstLine="420" w:firstLineChars="200"/>
        <w:rPr>
          <w:rFonts w:ascii="宋体" w:hAnsi="宋体"/>
        </w:rPr>
      </w:pPr>
      <w:r>
        <w:rPr>
          <w:rFonts w:hint="eastAsia" w:ascii="宋体" w:hAnsi="宋体"/>
        </w:rPr>
        <w:t>5、港股通可投资标的范围调整带来的风险</w:t>
      </w:r>
    </w:p>
    <w:p w14:paraId="3BDF8B6F">
      <w:pPr>
        <w:spacing w:line="360" w:lineRule="auto"/>
        <w:ind w:firstLine="420" w:firstLineChars="200"/>
        <w:rPr>
          <w:rFonts w:ascii="宋体" w:hAnsi="宋体"/>
        </w:rPr>
      </w:pPr>
      <w:r>
        <w:rPr>
          <w:rFonts w:hint="eastAsia" w:ascii="宋体" w:hAnsi="宋体"/>
        </w:rPr>
        <w:t>现行的港股通规则，对港股通下可投资的港股范围进行了限制，并定期或不定期根据范围限制规则对具体的可投资标的进行调整，对于调出在投资范围的港股，只能卖出不能买入；本基金可能因为港股通可投资标的范围的调整而不能及时买入看好的投资标的，而错失投资机会的风险。</w:t>
      </w:r>
    </w:p>
    <w:p w14:paraId="35C52DDE">
      <w:pPr>
        <w:spacing w:line="360" w:lineRule="auto"/>
        <w:ind w:firstLine="420" w:firstLineChars="200"/>
        <w:rPr>
          <w:rFonts w:ascii="宋体" w:hAnsi="宋体"/>
        </w:rPr>
      </w:pPr>
      <w:r>
        <w:rPr>
          <w:rFonts w:hint="eastAsia" w:ascii="宋体" w:hAnsi="宋体"/>
        </w:rPr>
        <w:t>6、港股通交易日设定的风险</w:t>
      </w:r>
    </w:p>
    <w:p w14:paraId="3A6ECFF9">
      <w:pPr>
        <w:spacing w:line="360" w:lineRule="auto"/>
        <w:ind w:firstLine="420" w:firstLineChars="200"/>
        <w:rPr>
          <w:rFonts w:ascii="宋体" w:hAnsi="宋体"/>
        </w:rPr>
      </w:pPr>
      <w:r>
        <w:rPr>
          <w:rFonts w:hint="eastAsia" w:ascii="宋体" w:hAnsi="宋体"/>
        </w:rPr>
        <w:t>根据现行的港股通规则，只有沪/深港两地均为交易日且能够满足结算安排的交易日才为港股通交易日，存在港股通交易日不连贯的情形（如内地市场因放假等原因休市而香港市场照常交易但港股通不能如常进行交易），而导致基金所持的港股组合在后续港股通交易日开市交易中集中体现市场反应而造成其价格波动骤然增大，进而导致本基金所持港股组合在资产估值上出现波动增大的风险。</w:t>
      </w:r>
    </w:p>
    <w:p w14:paraId="40CDEF8A">
      <w:pPr>
        <w:spacing w:line="360" w:lineRule="auto"/>
        <w:ind w:firstLine="420" w:firstLineChars="200"/>
        <w:rPr>
          <w:rFonts w:ascii="宋体" w:hAnsi="宋体"/>
        </w:rPr>
      </w:pPr>
      <w:r>
        <w:rPr>
          <w:rFonts w:hint="eastAsia" w:ascii="宋体" w:hAnsi="宋体"/>
        </w:rPr>
        <w:t>7、交收制度带来的基金流动性风险</w:t>
      </w:r>
    </w:p>
    <w:p w14:paraId="64E41916">
      <w:pPr>
        <w:spacing w:line="360" w:lineRule="auto"/>
        <w:ind w:firstLine="420" w:firstLineChars="200"/>
        <w:rPr>
          <w:rFonts w:ascii="宋体" w:hAnsi="宋体"/>
        </w:rPr>
      </w:pPr>
      <w:r>
        <w:rPr>
          <w:rFonts w:hint="eastAsia" w:ascii="宋体" w:hAnsi="宋体"/>
        </w:rPr>
        <w:t>由于香港市场实行T+2日（T日买卖股票，资金和股票在T+2日才进行交收）的交收安排，本基金在T日（港股通交易日）卖出股票，T+2日（港股通交易日，即为卖出当日之后第二个港股通交易日）才能在香港市场完成清算交收，卖出的资金在T+3日才能回到人民币资金账户。因此交收制度的不同以及港股通交易日的设定原因，本基金可能面临卖出港股后资金不能及时到账，而造成支付赎回款日期比正常情况延后而给投资者带来流动性风险，同时也存在不能及时调整基金资产组合中A股和港股投资比例，造成比例超标的风险。</w:t>
      </w:r>
    </w:p>
    <w:p w14:paraId="3EF4AC98">
      <w:pPr>
        <w:spacing w:line="360" w:lineRule="auto"/>
        <w:ind w:firstLine="420" w:firstLineChars="200"/>
        <w:rPr>
          <w:rFonts w:ascii="宋体" w:hAnsi="宋体"/>
        </w:rPr>
      </w:pPr>
      <w:r>
        <w:rPr>
          <w:rFonts w:hint="eastAsia" w:ascii="宋体" w:hAnsi="宋体"/>
        </w:rPr>
        <w:t>8、港股通下对公司行为的处理规则带来的风险</w:t>
      </w:r>
    </w:p>
    <w:p w14:paraId="6C2CBEAC">
      <w:pPr>
        <w:spacing w:line="360" w:lineRule="auto"/>
        <w:ind w:firstLine="420" w:firstLineChars="200"/>
        <w:rPr>
          <w:rFonts w:ascii="宋体" w:hAnsi="宋体"/>
        </w:rPr>
      </w:pPr>
      <w:r>
        <w:rPr>
          <w:rFonts w:hint="eastAsia" w:ascii="宋体" w:hAnsi="宋体"/>
        </w:rPr>
        <w:t>根据现行的港股通规则，本基金因所持港股通股票权益分派、转换、上市公司被收购等情形或者异常情况，所取得的港股通股票以外的香港联交所上市证券，只能通过港股通卖出，但不得买入；因港股通股票权益分派或者转换等情形取得的香港联交所上市股票的认购权利在联交所上市的，可以通过港股通卖出，但不得行权；因港股通股票权益分派、转换或者上市公司被收购等所取得的非联交所上市证券，可以享有相关权益，但不得通过港股通买入或卖出。</w:t>
      </w:r>
    </w:p>
    <w:p w14:paraId="0E064088">
      <w:pPr>
        <w:spacing w:line="360" w:lineRule="auto"/>
        <w:ind w:firstLine="420" w:firstLineChars="200"/>
        <w:rPr>
          <w:rFonts w:ascii="宋体" w:hAnsi="宋体"/>
        </w:rPr>
      </w:pPr>
      <w:r>
        <w:rPr>
          <w:rFonts w:hint="eastAsia" w:ascii="宋体" w:hAnsi="宋体"/>
        </w:rPr>
        <w:t>本基金存在因上述规则，利益得不到最大化甚至受损的风险。</w:t>
      </w:r>
    </w:p>
    <w:p w14:paraId="7D1E4DD8">
      <w:pPr>
        <w:spacing w:line="360" w:lineRule="auto"/>
        <w:ind w:firstLine="420" w:firstLineChars="200"/>
        <w:rPr>
          <w:rFonts w:ascii="宋体" w:hAnsi="宋体"/>
        </w:rPr>
      </w:pPr>
      <w:r>
        <w:rPr>
          <w:rFonts w:hint="eastAsia" w:ascii="宋体" w:hAnsi="宋体"/>
        </w:rPr>
        <w:t>9、香港联合交易所停牌、退市等制度性差异带来的风险</w:t>
      </w:r>
    </w:p>
    <w:p w14:paraId="38244EEB">
      <w:pPr>
        <w:spacing w:line="360" w:lineRule="auto"/>
        <w:ind w:firstLine="420" w:firstLineChars="200"/>
        <w:rPr>
          <w:rFonts w:ascii="宋体" w:hAnsi="宋体"/>
        </w:rPr>
      </w:pPr>
      <w:r>
        <w:rPr>
          <w:rFonts w:hint="eastAsia" w:ascii="宋体" w:hAnsi="宋体"/>
        </w:rPr>
        <w:t>香港联交所规定，在交易所认为所要求的停牌合理而且必要时，上市公司方可采取停牌措施。此外，不同于内地A股市场的停牌制度，联交所对停牌的具体时长并没有量化规定，只是确定了“尽量缩短停牌时间”的原则；同时与A股市场对存在退市可能的上市公司根据其财务状况在证券简称前加入相应标记(例如，ST及*ST等标记)以警示投资者风险的做法不同，在香港联交所市场没有风险警示板,联交所采用非量化的退市标准且在上市公司退市过程中拥有相对较大的主导权，使得联交所上市公司的退市情形较A股市场相对复杂。</w:t>
      </w:r>
    </w:p>
    <w:p w14:paraId="42493CC7">
      <w:pPr>
        <w:spacing w:line="360" w:lineRule="auto"/>
        <w:ind w:firstLine="420" w:firstLineChars="200"/>
        <w:rPr>
          <w:rFonts w:ascii="宋体" w:hAnsi="宋体"/>
        </w:rPr>
      </w:pPr>
      <w:r>
        <w:rPr>
          <w:rFonts w:hint="eastAsia" w:ascii="宋体" w:hAnsi="宋体"/>
        </w:rPr>
        <w:t>因该等制度性差异，本基金可能存在因所持个股遭遇非预期性的停牌甚至退市而给基金带来损失的风险。</w:t>
      </w:r>
    </w:p>
    <w:p w14:paraId="570C7B38">
      <w:pPr>
        <w:spacing w:line="360" w:lineRule="auto"/>
        <w:ind w:firstLine="420" w:firstLineChars="200"/>
        <w:rPr>
          <w:rFonts w:ascii="宋体" w:hAnsi="宋体"/>
        </w:rPr>
      </w:pPr>
      <w:r>
        <w:rPr>
          <w:rFonts w:hint="eastAsia" w:ascii="宋体" w:hAnsi="宋体"/>
        </w:rPr>
        <w:t>10、港股通规则变动带来的风险</w:t>
      </w:r>
    </w:p>
    <w:p w14:paraId="6D818064">
      <w:pPr>
        <w:spacing w:line="360" w:lineRule="auto"/>
        <w:ind w:firstLine="420" w:firstLineChars="200"/>
        <w:rPr>
          <w:rFonts w:ascii="宋体" w:hAnsi="宋体"/>
        </w:rPr>
      </w:pPr>
      <w:r>
        <w:rPr>
          <w:rFonts w:hint="eastAsia" w:ascii="宋体" w:hAnsi="宋体"/>
        </w:rPr>
        <w:t>本基金是在港股通机制和规则下参与香港联交所证券的投资，受港股通规则的限制和影响；本基金存在因港股通规则变动而带来基金投资受阻或所持资产组合价值发生波动的风险。</w:t>
      </w:r>
    </w:p>
    <w:p w14:paraId="21DE3BC4">
      <w:pPr>
        <w:spacing w:line="360" w:lineRule="auto"/>
        <w:ind w:firstLine="420" w:firstLineChars="200"/>
        <w:rPr>
          <w:rFonts w:ascii="宋体" w:hAnsi="宋体"/>
        </w:rPr>
      </w:pPr>
      <w:r>
        <w:rPr>
          <w:rFonts w:hint="eastAsia" w:ascii="宋体" w:hAnsi="宋体"/>
        </w:rPr>
        <w:t>11、其他可能的风险</w:t>
      </w:r>
    </w:p>
    <w:p w14:paraId="26399760">
      <w:pPr>
        <w:spacing w:line="360" w:lineRule="auto"/>
        <w:ind w:firstLine="420" w:firstLineChars="200"/>
        <w:rPr>
          <w:rFonts w:ascii="宋体" w:hAnsi="宋体"/>
        </w:rPr>
      </w:pPr>
      <w:r>
        <w:rPr>
          <w:rFonts w:hint="eastAsia" w:ascii="宋体" w:hAnsi="宋体"/>
        </w:rPr>
        <w:t>除上述显著风险外，本基金参与港股通投资，还可能面临的其他风险，包括但不限于：</w:t>
      </w:r>
    </w:p>
    <w:p w14:paraId="27DF4C21">
      <w:pPr>
        <w:spacing w:line="360" w:lineRule="auto"/>
        <w:ind w:firstLine="420" w:firstLineChars="200"/>
        <w:rPr>
          <w:rFonts w:ascii="宋体" w:hAnsi="宋体"/>
        </w:rPr>
      </w:pPr>
      <w:r>
        <w:rPr>
          <w:rFonts w:hint="eastAsia" w:ascii="宋体" w:hAnsi="宋体"/>
        </w:rPr>
        <w:t>（1）除因股票交易而发生的佣金、交易征费、交易费、交易系统费、印花税、过户费等税费外，在不进行交易时也可能要继续缴纳证券组合费等项费用，本基金存在因费用估算不准而导致账户透支的风险；</w:t>
      </w:r>
    </w:p>
    <w:p w14:paraId="1FAEE3E7">
      <w:pPr>
        <w:spacing w:line="360" w:lineRule="auto"/>
        <w:ind w:firstLine="420" w:firstLineChars="200"/>
        <w:rPr>
          <w:rFonts w:ascii="宋体" w:hAnsi="宋体"/>
        </w:rPr>
      </w:pPr>
      <w:r>
        <w:rPr>
          <w:rFonts w:hint="eastAsia" w:ascii="宋体" w:hAnsi="宋体"/>
        </w:rPr>
        <w:t>（2）在香港市场，部分中小市值港股成交量则相对较少，流动较为缺乏，本基金投资此类股票可能因缺乏交易对手而面临个股流动性风险；</w:t>
      </w:r>
    </w:p>
    <w:p w14:paraId="16386F61">
      <w:pPr>
        <w:spacing w:line="360" w:lineRule="auto"/>
        <w:ind w:firstLine="420" w:firstLineChars="200"/>
        <w:rPr>
          <w:rFonts w:ascii="宋体" w:hAnsi="宋体"/>
        </w:rPr>
      </w:pPr>
      <w:r>
        <w:rPr>
          <w:rFonts w:hint="eastAsia" w:ascii="宋体" w:hAnsi="宋体"/>
        </w:rPr>
        <w:t>（3）在本基金参与港股通交易中若香港联交所与内地交易所的证券交易服务公司之间的报盘系统或者通信链路出现故障，可能导致15分钟以上不能申报和撤销申报的交易中断风险；</w:t>
      </w:r>
    </w:p>
    <w:p w14:paraId="677A0AB6">
      <w:pPr>
        <w:spacing w:line="360" w:lineRule="auto"/>
        <w:ind w:firstLine="420" w:firstLineChars="200"/>
        <w:rPr>
          <w:rFonts w:ascii="宋体" w:hAnsi="宋体"/>
        </w:rPr>
      </w:pPr>
      <w:r>
        <w:rPr>
          <w:rFonts w:hint="eastAsia" w:ascii="宋体" w:hAnsi="宋体"/>
        </w:rPr>
        <w:t>（4）存在港股通香港结算机构因极端情况下无法交付证券和资金的结算风险；另外港股通境内结算实施分级结算原则，本基金可能面临 以下风险：（一）因结算参与人未完成与中国结算的集中交收，导致本基金应收资金或证券被暂不交付或处置；（二）结算参与人对本基金出现交收违约导致本基金未能取得应收证券或资金；（三）结算参与人向中国结算发送的有关本基金的证券划付指令有误的导致本基金权益受损；（四）其他因结算参与人未遵守相关业务规则导致本基金利益受到损害的情况。</w:t>
      </w:r>
    </w:p>
    <w:p w14:paraId="3E15FD99">
      <w:pPr>
        <w:spacing w:line="360" w:lineRule="auto"/>
        <w:ind w:firstLine="420" w:firstLineChars="200"/>
        <w:rPr>
          <w:rFonts w:ascii="宋体" w:hAnsi="宋体"/>
        </w:rPr>
      </w:pPr>
      <w:r>
        <w:rPr>
          <w:rFonts w:hint="eastAsia" w:ascii="宋体" w:hAnsi="宋体"/>
        </w:rPr>
        <w:t>本基金可根据投资策略需要或不同配置地市场环境的变化，选择将部分基金资产投资于港股或选择不将基金资产投资于港股，基金资产并非必然投资港股。</w:t>
      </w:r>
    </w:p>
    <w:p w14:paraId="241EB272">
      <w:pPr>
        <w:spacing w:line="360" w:lineRule="auto"/>
        <w:ind w:firstLine="422" w:firstLineChars="200"/>
        <w:rPr>
          <w:rFonts w:ascii="宋体" w:hAnsi="宋体"/>
          <w:b/>
          <w:bCs/>
        </w:rPr>
      </w:pPr>
      <w:r>
        <w:rPr>
          <w:rFonts w:hint="eastAsia" w:ascii="宋体" w:hAnsi="宋体"/>
          <w:b/>
          <w:bCs/>
        </w:rPr>
        <w:t>二十五、投资于存托凭证的风险</w:t>
      </w:r>
    </w:p>
    <w:p w14:paraId="25A92CF6">
      <w:pPr>
        <w:spacing w:line="360" w:lineRule="auto"/>
        <w:ind w:firstLine="420" w:firstLineChars="200"/>
        <w:rPr>
          <w:rFonts w:ascii="宋体" w:hAnsi="宋体"/>
        </w:rPr>
      </w:pPr>
      <w:r>
        <w:rPr>
          <w:rFonts w:hint="eastAsia" w:ascii="宋体" w:hAnsi="宋体"/>
        </w:rPr>
        <w:t>本基金的投资范围包括存托凭证，本基金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3FECE690">
      <w:pPr>
        <w:adjustRightInd w:val="0"/>
        <w:snapToGrid w:val="0"/>
        <w:spacing w:line="360" w:lineRule="auto"/>
        <w:ind w:firstLine="422" w:firstLineChars="200"/>
        <w:outlineLvl w:val="0"/>
        <w:rPr>
          <w:rFonts w:ascii="宋体" w:hAnsi="宋体" w:cs="Arial"/>
          <w:b/>
        </w:rPr>
      </w:pPr>
      <w:r>
        <w:rPr>
          <w:rFonts w:hint="eastAsia" w:ascii="宋体" w:hAnsi="宋体"/>
          <w:b/>
        </w:rPr>
        <w:t>二十六、</w:t>
      </w:r>
      <w:r>
        <w:rPr>
          <w:rFonts w:ascii="宋体" w:hAnsi="宋体" w:cs="Arial"/>
          <w:b/>
        </w:rPr>
        <w:t>管理风险与操作风险</w:t>
      </w:r>
      <w:bookmarkEnd w:id="112"/>
      <w:r>
        <w:rPr>
          <w:rFonts w:ascii="宋体" w:hAnsi="宋体" w:cs="Arial"/>
          <w:b/>
        </w:rPr>
        <w:t xml:space="preserve"> </w:t>
      </w:r>
    </w:p>
    <w:p w14:paraId="04948E9C">
      <w:pPr>
        <w:autoSpaceDE w:val="0"/>
        <w:autoSpaceDN w:val="0"/>
        <w:adjustRightInd w:val="0"/>
        <w:snapToGrid w:val="0"/>
        <w:spacing w:line="360" w:lineRule="auto"/>
        <w:ind w:firstLine="420" w:firstLineChars="200"/>
        <w:rPr>
          <w:rFonts w:ascii="宋体" w:hAnsi="宋体" w:cs="Arial"/>
          <w:kern w:val="0"/>
          <w:szCs w:val="21"/>
        </w:rPr>
      </w:pPr>
      <w:r>
        <w:rPr>
          <w:rFonts w:ascii="宋体" w:hAnsi="宋体" w:cs="Arial"/>
          <w:kern w:val="0"/>
          <w:szCs w:val="21"/>
        </w:rPr>
        <w:t xml:space="preserve">基金管理人、基金托管人等相关当事人的业务发展状况、人员配备、管理水平与内部控制等对基金收益水平存在影响。因业务扩张过快、行业内过度竞争、对主要业务人员过度依赖等可能会产生影响投资人利益的风险。 </w:t>
      </w:r>
    </w:p>
    <w:p w14:paraId="59A793B5">
      <w:pPr>
        <w:autoSpaceDE w:val="0"/>
        <w:autoSpaceDN w:val="0"/>
        <w:adjustRightInd w:val="0"/>
        <w:snapToGrid w:val="0"/>
        <w:spacing w:line="360" w:lineRule="auto"/>
        <w:ind w:firstLine="420" w:firstLineChars="200"/>
        <w:rPr>
          <w:rFonts w:ascii="宋体" w:hAnsi="宋体" w:cs="Arial"/>
          <w:kern w:val="0"/>
          <w:szCs w:val="21"/>
        </w:rPr>
      </w:pPr>
      <w:r>
        <w:rPr>
          <w:rFonts w:ascii="宋体" w:hAnsi="宋体" w:cs="Arial"/>
          <w:kern w:val="0"/>
          <w:szCs w:val="21"/>
        </w:rPr>
        <w:t xml:space="preserve">相关当事人在业务各环节操作过程中，可能因内部控制存在缺陷或者人为因素造成操作失误或违反操作规程等引致风险，例如，申购、赎回清单编制错误、越权违规交易、欺诈行为及交易错误等风险。 </w:t>
      </w:r>
    </w:p>
    <w:p w14:paraId="4B9E32EF">
      <w:pPr>
        <w:adjustRightInd w:val="0"/>
        <w:snapToGrid w:val="0"/>
        <w:spacing w:line="360" w:lineRule="auto"/>
        <w:ind w:firstLine="422" w:firstLineChars="200"/>
        <w:outlineLvl w:val="0"/>
        <w:rPr>
          <w:rFonts w:ascii="宋体" w:hAnsi="宋体" w:cs="Arial"/>
          <w:b/>
        </w:rPr>
      </w:pPr>
      <w:bookmarkStart w:id="114" w:name="_Toc293495065"/>
      <w:r>
        <w:rPr>
          <w:rFonts w:hint="eastAsia" w:ascii="宋体" w:hAnsi="宋体" w:cs="Arial"/>
          <w:b/>
        </w:rPr>
        <w:t>二十七、</w:t>
      </w:r>
      <w:r>
        <w:rPr>
          <w:rFonts w:ascii="宋体" w:hAnsi="宋体" w:cs="Arial"/>
          <w:b/>
        </w:rPr>
        <w:t>技术风险</w:t>
      </w:r>
      <w:bookmarkEnd w:id="114"/>
    </w:p>
    <w:p w14:paraId="6569669F">
      <w:pPr>
        <w:autoSpaceDE w:val="0"/>
        <w:autoSpaceDN w:val="0"/>
        <w:adjustRightInd w:val="0"/>
        <w:snapToGrid w:val="0"/>
        <w:spacing w:line="360" w:lineRule="auto"/>
        <w:ind w:firstLine="420" w:firstLineChars="200"/>
        <w:rPr>
          <w:rFonts w:ascii="宋体" w:hAnsi="宋体" w:cs="Arial"/>
          <w:kern w:val="0"/>
          <w:szCs w:val="21"/>
        </w:rPr>
      </w:pPr>
      <w:r>
        <w:rPr>
          <w:rFonts w:ascii="宋体" w:hAnsi="宋体" w:cs="Arial"/>
          <w:kern w:val="0"/>
          <w:szCs w:val="21"/>
        </w:rPr>
        <w:t xml:space="preserve">在本基金的投资、交易、服务与后台运作等业务过程中，可能因为技术系统的故障或差错导致投资人的利益受到影响。这种技术风险可能来自基金管理人、基金托管人、证券交易所、登记机构及销售代理机构等。 </w:t>
      </w:r>
    </w:p>
    <w:p w14:paraId="6932CAD1">
      <w:pPr>
        <w:adjustRightInd w:val="0"/>
        <w:snapToGrid w:val="0"/>
        <w:spacing w:line="360" w:lineRule="auto"/>
        <w:ind w:firstLine="422" w:firstLineChars="200"/>
        <w:outlineLvl w:val="0"/>
        <w:rPr>
          <w:rFonts w:ascii="宋体" w:hAnsi="宋体" w:cs="Arial"/>
          <w:b/>
        </w:rPr>
      </w:pPr>
      <w:bookmarkStart w:id="115" w:name="_Toc293495066"/>
      <w:r>
        <w:rPr>
          <w:rFonts w:hint="eastAsia" w:ascii="宋体" w:hAnsi="宋体" w:cs="Arial"/>
          <w:b/>
        </w:rPr>
        <w:t>二十八、</w:t>
      </w:r>
      <w:r>
        <w:rPr>
          <w:rFonts w:ascii="宋体" w:hAnsi="宋体" w:cs="Arial"/>
          <w:b/>
        </w:rPr>
        <w:t>不可抗力</w:t>
      </w:r>
      <w:bookmarkEnd w:id="115"/>
      <w:r>
        <w:rPr>
          <w:rFonts w:ascii="宋体" w:hAnsi="宋体" w:cs="Arial"/>
          <w:b/>
        </w:rPr>
        <w:t xml:space="preserve"> </w:t>
      </w:r>
    </w:p>
    <w:p w14:paraId="37C4A3A0">
      <w:pPr>
        <w:adjustRightInd w:val="0"/>
        <w:snapToGrid w:val="0"/>
        <w:spacing w:line="360" w:lineRule="auto"/>
        <w:ind w:firstLine="420" w:firstLineChars="200"/>
        <w:rPr>
          <w:rFonts w:ascii="宋体" w:hAnsi="宋体" w:cs="Arial"/>
          <w:kern w:val="0"/>
          <w:szCs w:val="21"/>
        </w:rPr>
      </w:pPr>
      <w:r>
        <w:rPr>
          <w:rFonts w:ascii="宋体" w:hAnsi="宋体" w:cs="Arial"/>
          <w:kern w:val="0"/>
          <w:szCs w:val="21"/>
        </w:rPr>
        <w:t>战争、自然灾害等不可抗力可能导致基金资产有遭受损失的风险。基金管理人、基金托管人、证券交易所、登记机构和销售代理机构等可能因不可抗力无法正常工作，从而影响基金的各项业务按正常时限完成。</w:t>
      </w:r>
      <w:bookmarkStart w:id="116" w:name="_Toc520693803"/>
      <w:bookmarkStart w:id="117" w:name="_Toc520693901"/>
      <w:bookmarkStart w:id="118" w:name="_Toc524923235"/>
      <w:bookmarkStart w:id="119" w:name="_Toc454717524"/>
      <w:bookmarkStart w:id="120" w:name="_Toc214873606"/>
    </w:p>
    <w:p w14:paraId="3AE9455F">
      <w:pPr>
        <w:adjustRightInd w:val="0"/>
        <w:snapToGrid w:val="0"/>
        <w:spacing w:line="360" w:lineRule="auto"/>
        <w:ind w:firstLine="562" w:firstLineChars="200"/>
        <w:rPr>
          <w:rFonts w:ascii="宋体" w:hAnsi="宋体" w:cs="Arial"/>
          <w:b/>
          <w:bCs/>
          <w:sz w:val="28"/>
          <w:szCs w:val="28"/>
        </w:rPr>
        <w:sectPr>
          <w:footerReference r:id="rId44" w:type="first"/>
          <w:footerReference r:id="rId43" w:type="default"/>
          <w:pgSz w:w="11906" w:h="16838"/>
          <w:pgMar w:top="1440" w:right="1800" w:bottom="1440" w:left="1800" w:header="851" w:footer="992" w:gutter="0"/>
          <w:pgNumType w:start="1"/>
          <w:cols w:space="720" w:num="1"/>
          <w:docGrid w:linePitch="312" w:charSpace="0"/>
        </w:sectPr>
      </w:pPr>
    </w:p>
    <w:p w14:paraId="1554087A">
      <w:pPr>
        <w:pStyle w:val="2"/>
        <w:snapToGrid w:val="0"/>
        <w:spacing w:before="0" w:after="0" w:line="360" w:lineRule="auto"/>
        <w:ind w:firstLine="422" w:firstLineChars="150"/>
        <w:rPr>
          <w:rFonts w:hAnsi="宋体" w:eastAsia="宋体" w:cs="Arial"/>
          <w:b/>
          <w:bCs/>
          <w:sz w:val="28"/>
          <w:szCs w:val="28"/>
        </w:rPr>
      </w:pPr>
      <w:bookmarkStart w:id="121" w:name="_Toc2659"/>
      <w:r>
        <w:rPr>
          <w:rFonts w:hAnsi="宋体" w:eastAsia="宋体" w:cs="Arial"/>
          <w:b/>
          <w:bCs/>
          <w:sz w:val="28"/>
          <w:szCs w:val="28"/>
        </w:rPr>
        <w:t>第</w:t>
      </w:r>
      <w:r>
        <w:rPr>
          <w:rFonts w:hint="eastAsia" w:hAnsi="宋体" w:eastAsia="宋体" w:cs="Arial"/>
          <w:b/>
          <w:bCs/>
          <w:sz w:val="28"/>
          <w:szCs w:val="28"/>
        </w:rPr>
        <w:t>十九</w:t>
      </w:r>
      <w:r>
        <w:rPr>
          <w:rFonts w:hAnsi="宋体" w:eastAsia="宋体" w:cs="Arial"/>
          <w:b/>
          <w:bCs/>
          <w:sz w:val="28"/>
          <w:szCs w:val="28"/>
        </w:rPr>
        <w:t xml:space="preserve">部分  </w:t>
      </w:r>
      <w:bookmarkEnd w:id="116"/>
      <w:bookmarkEnd w:id="117"/>
      <w:bookmarkEnd w:id="118"/>
      <w:bookmarkEnd w:id="119"/>
      <w:r>
        <w:rPr>
          <w:rFonts w:hAnsi="宋体" w:eastAsia="宋体" w:cs="Arial"/>
          <w:b/>
          <w:bCs/>
          <w:sz w:val="28"/>
          <w:szCs w:val="28"/>
        </w:rPr>
        <w:t>基金合同的变更、终止与基金财产的清算</w:t>
      </w:r>
      <w:bookmarkEnd w:id="120"/>
      <w:bookmarkEnd w:id="121"/>
    </w:p>
    <w:p w14:paraId="44DAA638">
      <w:pPr>
        <w:spacing w:line="360" w:lineRule="auto"/>
        <w:rPr>
          <w:rFonts w:ascii="宋体" w:hAnsi="宋体"/>
        </w:rPr>
      </w:pPr>
    </w:p>
    <w:p w14:paraId="02F15772">
      <w:pPr>
        <w:spacing w:line="360" w:lineRule="auto"/>
        <w:ind w:firstLine="422" w:firstLineChars="200"/>
        <w:rPr>
          <w:rFonts w:ascii="宋体" w:hAnsi="宋体" w:cs="Arial"/>
          <w:b/>
          <w:szCs w:val="21"/>
        </w:rPr>
      </w:pPr>
      <w:bookmarkStart w:id="122" w:name="_Toc214873607"/>
      <w:r>
        <w:rPr>
          <w:rFonts w:ascii="宋体" w:hAnsi="宋体" w:cs="Arial"/>
          <w:b/>
          <w:szCs w:val="21"/>
        </w:rPr>
        <w:t>一、</w:t>
      </w:r>
      <w:r>
        <w:rPr>
          <w:rFonts w:hint="eastAsia" w:ascii="宋体" w:hAnsi="宋体" w:cs="Arial"/>
          <w:b/>
          <w:szCs w:val="21"/>
        </w:rPr>
        <w:t>《</w:t>
      </w:r>
      <w:r>
        <w:rPr>
          <w:rFonts w:ascii="宋体" w:hAnsi="宋体" w:cs="Arial"/>
          <w:b/>
          <w:szCs w:val="21"/>
        </w:rPr>
        <w:t>基金合同</w:t>
      </w:r>
      <w:r>
        <w:rPr>
          <w:rFonts w:hint="eastAsia" w:ascii="宋体" w:hAnsi="宋体" w:cs="Arial"/>
          <w:b/>
          <w:szCs w:val="21"/>
        </w:rPr>
        <w:t>》</w:t>
      </w:r>
      <w:r>
        <w:rPr>
          <w:rFonts w:ascii="宋体" w:hAnsi="宋体" w:cs="Arial"/>
          <w:b/>
          <w:szCs w:val="21"/>
        </w:rPr>
        <w:t>的变更</w:t>
      </w:r>
    </w:p>
    <w:p w14:paraId="17D6FCE8">
      <w:pPr>
        <w:spacing w:line="360" w:lineRule="auto"/>
        <w:ind w:firstLine="420" w:firstLineChars="200"/>
        <w:rPr>
          <w:rFonts w:ascii="宋体" w:hAnsi="宋体" w:cs="Arial"/>
          <w:bCs/>
          <w:szCs w:val="21"/>
        </w:rPr>
      </w:pPr>
      <w:r>
        <w:rPr>
          <w:rFonts w:ascii="宋体" w:hAnsi="宋体" w:cs="Arial"/>
          <w:bCs/>
          <w:szCs w:val="21"/>
        </w:rPr>
        <w:t>1、变更基金合同</w:t>
      </w:r>
      <w:r>
        <w:rPr>
          <w:rFonts w:hint="eastAsia" w:ascii="宋体" w:hAnsi="宋体" w:cs="Arial"/>
          <w:bCs/>
          <w:szCs w:val="21"/>
        </w:rPr>
        <w:t>涉及</w:t>
      </w:r>
      <w:r>
        <w:rPr>
          <w:rFonts w:ascii="宋体" w:hAnsi="宋体" w:cs="Arial"/>
          <w:bCs/>
          <w:szCs w:val="21"/>
        </w:rPr>
        <w:t>法律法规规定或</w:t>
      </w:r>
      <w:r>
        <w:rPr>
          <w:rFonts w:hint="eastAsia" w:ascii="宋体" w:hAnsi="宋体" w:cs="Arial"/>
          <w:bCs/>
          <w:szCs w:val="21"/>
        </w:rPr>
        <w:t>基金</w:t>
      </w:r>
      <w:r>
        <w:rPr>
          <w:rFonts w:ascii="宋体" w:hAnsi="宋体" w:cs="Arial"/>
          <w:bCs/>
          <w:szCs w:val="21"/>
        </w:rPr>
        <w:t>合同约定应经基金份额持有人大会决议通过的事项的，应召开基金份额持有人大会决议通过。对于</w:t>
      </w:r>
      <w:r>
        <w:rPr>
          <w:rFonts w:hint="eastAsia" w:ascii="宋体" w:hAnsi="宋体" w:cs="Arial"/>
          <w:bCs/>
          <w:szCs w:val="21"/>
        </w:rPr>
        <w:t>法律法规规定和基金合同约定</w:t>
      </w:r>
      <w:r>
        <w:rPr>
          <w:rFonts w:ascii="宋体" w:hAnsi="宋体" w:cs="Arial"/>
          <w:bCs/>
          <w:szCs w:val="21"/>
        </w:rPr>
        <w:t>可不经基金份额持有人大会决议通过的事项，由基金管理人和基金托管人同意</w:t>
      </w:r>
      <w:r>
        <w:rPr>
          <w:rFonts w:hint="eastAsia" w:ascii="宋体" w:hAnsi="宋体" w:cs="Arial"/>
          <w:bCs/>
          <w:szCs w:val="21"/>
        </w:rPr>
        <w:t>并履行适当程序</w:t>
      </w:r>
      <w:r>
        <w:rPr>
          <w:rFonts w:ascii="宋体" w:hAnsi="宋体" w:cs="Arial"/>
          <w:bCs/>
          <w:szCs w:val="21"/>
        </w:rPr>
        <w:t>后变更并公告。</w:t>
      </w:r>
    </w:p>
    <w:p w14:paraId="051A497B">
      <w:pPr>
        <w:spacing w:line="360" w:lineRule="auto"/>
        <w:ind w:firstLine="420" w:firstLineChars="200"/>
        <w:rPr>
          <w:rFonts w:ascii="宋体" w:hAnsi="宋体" w:cs="Arial"/>
          <w:szCs w:val="21"/>
        </w:rPr>
      </w:pPr>
      <w:r>
        <w:rPr>
          <w:rFonts w:ascii="宋体" w:hAnsi="宋体" w:cs="Arial"/>
          <w:bCs/>
          <w:szCs w:val="21"/>
        </w:rPr>
        <w:t>2、关于《基金合同》变更的基金份额持有人大会决议</w:t>
      </w:r>
      <w:r>
        <w:rPr>
          <w:rFonts w:hint="eastAsia" w:ascii="宋体" w:hAnsi="宋体" w:cs="Arial"/>
          <w:bCs/>
          <w:szCs w:val="21"/>
        </w:rPr>
        <w:t>自生效后方可执行，自决议生效后依照《信息披露办法》在规定媒介公告</w:t>
      </w:r>
      <w:r>
        <w:rPr>
          <w:rFonts w:ascii="宋体" w:hAnsi="宋体" w:cs="Arial"/>
          <w:bCs/>
          <w:szCs w:val="21"/>
        </w:rPr>
        <w:t>。</w:t>
      </w:r>
    </w:p>
    <w:p w14:paraId="1DE5C25B">
      <w:pPr>
        <w:spacing w:line="360" w:lineRule="auto"/>
        <w:ind w:firstLine="422" w:firstLineChars="200"/>
        <w:rPr>
          <w:rFonts w:ascii="宋体" w:hAnsi="宋体" w:cs="Arial"/>
          <w:b/>
          <w:szCs w:val="21"/>
        </w:rPr>
      </w:pPr>
      <w:r>
        <w:rPr>
          <w:rFonts w:ascii="宋体" w:hAnsi="宋体" w:cs="Arial"/>
          <w:b/>
          <w:szCs w:val="21"/>
        </w:rPr>
        <w:t>二、</w:t>
      </w:r>
      <w:r>
        <w:rPr>
          <w:rFonts w:hint="eastAsia" w:ascii="宋体" w:hAnsi="宋体" w:cs="Arial"/>
          <w:b/>
          <w:szCs w:val="21"/>
        </w:rPr>
        <w:t>《</w:t>
      </w:r>
      <w:r>
        <w:rPr>
          <w:rFonts w:ascii="宋体" w:hAnsi="宋体" w:cs="Arial"/>
          <w:b/>
          <w:szCs w:val="21"/>
        </w:rPr>
        <w:t>基金合同</w:t>
      </w:r>
      <w:r>
        <w:rPr>
          <w:rFonts w:hint="eastAsia" w:ascii="宋体" w:hAnsi="宋体" w:cs="Arial"/>
          <w:b/>
          <w:szCs w:val="21"/>
        </w:rPr>
        <w:t>》</w:t>
      </w:r>
      <w:r>
        <w:rPr>
          <w:rFonts w:ascii="宋体" w:hAnsi="宋体" w:cs="Arial"/>
          <w:b/>
          <w:szCs w:val="21"/>
        </w:rPr>
        <w:t>的终止</w:t>
      </w:r>
      <w:r>
        <w:rPr>
          <w:rFonts w:hint="eastAsia" w:ascii="宋体" w:hAnsi="宋体" w:cs="Arial"/>
          <w:b/>
          <w:szCs w:val="21"/>
        </w:rPr>
        <w:t>事由</w:t>
      </w:r>
    </w:p>
    <w:p w14:paraId="367C1D09">
      <w:pPr>
        <w:spacing w:line="360" w:lineRule="auto"/>
        <w:ind w:firstLine="420" w:firstLineChars="200"/>
        <w:rPr>
          <w:rFonts w:ascii="宋体" w:hAnsi="宋体" w:cs="Arial"/>
          <w:bCs/>
          <w:szCs w:val="21"/>
        </w:rPr>
      </w:pPr>
      <w:r>
        <w:rPr>
          <w:rFonts w:hint="eastAsia" w:ascii="宋体" w:hAnsi="宋体" w:cs="Arial"/>
          <w:bCs/>
          <w:szCs w:val="21"/>
        </w:rPr>
        <w:t>有下列情形之一的，经履行相关程序后，《基金合同》应当终止：</w:t>
      </w:r>
    </w:p>
    <w:p w14:paraId="06035162">
      <w:pPr>
        <w:spacing w:line="360" w:lineRule="auto"/>
        <w:ind w:firstLine="420" w:firstLineChars="200"/>
        <w:rPr>
          <w:rFonts w:ascii="宋体" w:hAnsi="宋体" w:cs="Arial"/>
          <w:bCs/>
          <w:szCs w:val="21"/>
        </w:rPr>
      </w:pPr>
      <w:r>
        <w:rPr>
          <w:rFonts w:hint="eastAsia" w:ascii="宋体" w:hAnsi="宋体" w:cs="Arial"/>
          <w:bCs/>
          <w:szCs w:val="21"/>
        </w:rPr>
        <w:t>1、基金份额持有人大会决定终止的；</w:t>
      </w:r>
    </w:p>
    <w:p w14:paraId="002E24F1">
      <w:pPr>
        <w:spacing w:line="360" w:lineRule="auto"/>
        <w:ind w:firstLine="420" w:firstLineChars="200"/>
        <w:rPr>
          <w:rFonts w:ascii="宋体" w:hAnsi="宋体" w:cs="Arial"/>
          <w:bCs/>
          <w:szCs w:val="21"/>
        </w:rPr>
      </w:pPr>
      <w:r>
        <w:rPr>
          <w:rFonts w:hint="eastAsia" w:ascii="宋体" w:hAnsi="宋体" w:cs="Arial"/>
          <w:bCs/>
          <w:szCs w:val="21"/>
        </w:rPr>
        <w:t>2、基金管理人、基金托管人职责终止，在6个月内没有新基金管理人、新基金托管人承接的；</w:t>
      </w:r>
    </w:p>
    <w:p w14:paraId="3E0F5EA3">
      <w:pPr>
        <w:spacing w:line="360" w:lineRule="auto"/>
        <w:ind w:firstLine="420" w:firstLineChars="200"/>
        <w:rPr>
          <w:rFonts w:ascii="宋体" w:hAnsi="宋体" w:cs="Arial"/>
          <w:bCs/>
          <w:szCs w:val="21"/>
        </w:rPr>
      </w:pPr>
      <w:r>
        <w:rPr>
          <w:rFonts w:hint="eastAsia" w:ascii="宋体" w:hAnsi="宋体" w:cs="Arial"/>
          <w:bCs/>
          <w:szCs w:val="21"/>
        </w:rPr>
        <w:t>3、《基金合同》约定的其他情形；</w:t>
      </w:r>
    </w:p>
    <w:p w14:paraId="0FA841C0">
      <w:pPr>
        <w:spacing w:line="360" w:lineRule="auto"/>
        <w:ind w:firstLine="420" w:firstLineChars="200"/>
        <w:rPr>
          <w:rFonts w:ascii="宋体" w:hAnsi="宋体" w:cs="Arial"/>
          <w:bCs/>
          <w:szCs w:val="21"/>
        </w:rPr>
      </w:pPr>
      <w:r>
        <w:rPr>
          <w:rFonts w:hint="eastAsia" w:ascii="宋体" w:hAnsi="宋体" w:cs="Arial"/>
          <w:bCs/>
          <w:szCs w:val="21"/>
        </w:rPr>
        <w:t>4、相关法律法规和中国证监会规定的其他情况。</w:t>
      </w:r>
    </w:p>
    <w:p w14:paraId="2DB6F81E">
      <w:pPr>
        <w:spacing w:line="360" w:lineRule="auto"/>
        <w:ind w:firstLine="422" w:firstLineChars="200"/>
        <w:rPr>
          <w:rFonts w:ascii="宋体" w:hAnsi="宋体" w:cs="Arial"/>
          <w:b/>
          <w:szCs w:val="21"/>
        </w:rPr>
      </w:pPr>
      <w:r>
        <w:rPr>
          <w:rFonts w:ascii="宋体" w:hAnsi="宋体" w:cs="Arial"/>
          <w:b/>
          <w:szCs w:val="21"/>
        </w:rPr>
        <w:t>三、基金财产的清算</w:t>
      </w:r>
    </w:p>
    <w:p w14:paraId="6B988CFB">
      <w:pPr>
        <w:adjustRightInd w:val="0"/>
        <w:snapToGrid w:val="0"/>
        <w:spacing w:line="360" w:lineRule="auto"/>
        <w:ind w:firstLine="420" w:firstLineChars="200"/>
        <w:rPr>
          <w:rFonts w:ascii="宋体" w:hAnsi="宋体" w:cs="Arial"/>
          <w:bCs/>
          <w:szCs w:val="21"/>
        </w:rPr>
      </w:pPr>
      <w:r>
        <w:rPr>
          <w:rFonts w:ascii="宋体" w:hAnsi="宋体" w:cs="Arial"/>
          <w:bCs/>
          <w:szCs w:val="21"/>
        </w:rPr>
        <w:t>1、基金财产清算小组：自出现《基金合同》终止事由之日起30个工作日内成立</w:t>
      </w:r>
      <w:r>
        <w:rPr>
          <w:rFonts w:hint="eastAsia" w:ascii="宋体" w:hAnsi="宋体" w:cs="Arial"/>
          <w:bCs/>
          <w:szCs w:val="21"/>
        </w:rPr>
        <w:t>基金财产</w:t>
      </w:r>
      <w:r>
        <w:rPr>
          <w:rFonts w:ascii="宋体" w:hAnsi="宋体" w:cs="Arial"/>
          <w:bCs/>
          <w:szCs w:val="21"/>
        </w:rPr>
        <w:t>清算小组，基金管理人组织基金财产清算小组并在中国证监会的监督下进行基金清算。</w:t>
      </w:r>
    </w:p>
    <w:p w14:paraId="32E9CB7B">
      <w:pPr>
        <w:adjustRightInd w:val="0"/>
        <w:snapToGrid w:val="0"/>
        <w:spacing w:line="360" w:lineRule="auto"/>
        <w:ind w:firstLine="420" w:firstLineChars="200"/>
        <w:rPr>
          <w:rFonts w:ascii="宋体" w:hAnsi="宋体" w:cs="Arial"/>
          <w:bCs/>
          <w:szCs w:val="21"/>
        </w:rPr>
      </w:pPr>
      <w:r>
        <w:rPr>
          <w:rFonts w:ascii="宋体" w:hAnsi="宋体" w:cs="Arial"/>
          <w:bCs/>
          <w:szCs w:val="21"/>
        </w:rPr>
        <w:t>2、基金财产清算小组组成：基金财产清算小组成员由基金管理人、基金托管人、</w:t>
      </w:r>
      <w:r>
        <w:rPr>
          <w:rFonts w:hint="eastAsia" w:asciiTheme="minorEastAsia" w:hAnsiTheme="minorEastAsia"/>
        </w:rPr>
        <w:t>具有从事证券相关业务资格</w:t>
      </w:r>
      <w:r>
        <w:rPr>
          <w:rFonts w:ascii="宋体" w:hAnsi="宋体" w:cs="Arial"/>
          <w:bCs/>
          <w:szCs w:val="21"/>
        </w:rPr>
        <w:t>的注册会计师、律师以及中国证监会指定的人员组成。基金财产清算小组可以聘用必要的工作人员。</w:t>
      </w:r>
    </w:p>
    <w:p w14:paraId="4B8C1C72">
      <w:pPr>
        <w:adjustRightInd w:val="0"/>
        <w:snapToGrid w:val="0"/>
        <w:spacing w:line="360" w:lineRule="auto"/>
        <w:ind w:firstLine="420" w:firstLineChars="200"/>
        <w:rPr>
          <w:rFonts w:ascii="宋体" w:hAnsi="宋体" w:cs="Arial"/>
          <w:bCs/>
          <w:szCs w:val="21"/>
        </w:rPr>
      </w:pPr>
      <w:r>
        <w:rPr>
          <w:rFonts w:ascii="宋体" w:hAnsi="宋体" w:cs="Arial"/>
          <w:bCs/>
          <w:szCs w:val="21"/>
        </w:rPr>
        <w:t>3、基金财产清算小组职责：基金财产清算小组负责基金财产的保管、清理、估价、变现和分配。基金财产清算小组可以依法进行必要的民事活动。</w:t>
      </w:r>
    </w:p>
    <w:p w14:paraId="633522E1">
      <w:pPr>
        <w:adjustRightInd w:val="0"/>
        <w:snapToGrid w:val="0"/>
        <w:spacing w:line="360" w:lineRule="auto"/>
        <w:ind w:firstLine="420" w:firstLineChars="200"/>
        <w:rPr>
          <w:rFonts w:ascii="宋体" w:hAnsi="宋体" w:cs="Arial"/>
          <w:bCs/>
          <w:szCs w:val="21"/>
        </w:rPr>
      </w:pPr>
      <w:r>
        <w:rPr>
          <w:rFonts w:ascii="宋体" w:hAnsi="宋体" w:cs="Arial"/>
          <w:bCs/>
          <w:szCs w:val="21"/>
        </w:rPr>
        <w:t>4、基金财产清算程序：</w:t>
      </w:r>
    </w:p>
    <w:p w14:paraId="4F291EE0">
      <w:pPr>
        <w:adjustRightInd w:val="0"/>
        <w:snapToGrid w:val="0"/>
        <w:spacing w:line="360" w:lineRule="auto"/>
        <w:ind w:firstLine="420" w:firstLineChars="200"/>
        <w:rPr>
          <w:rFonts w:ascii="宋体" w:hAnsi="宋体" w:cs="Arial"/>
          <w:bCs/>
          <w:szCs w:val="21"/>
        </w:rPr>
      </w:pPr>
      <w:r>
        <w:rPr>
          <w:rFonts w:ascii="宋体" w:hAnsi="宋体" w:cs="Arial"/>
          <w:bCs/>
          <w:szCs w:val="21"/>
        </w:rPr>
        <w:t>（1）《基金合同》终止情形出现时，由基金财产清算小组统一接管基金；</w:t>
      </w:r>
    </w:p>
    <w:p w14:paraId="4B15797A">
      <w:pPr>
        <w:adjustRightInd w:val="0"/>
        <w:snapToGrid w:val="0"/>
        <w:spacing w:line="360" w:lineRule="auto"/>
        <w:ind w:firstLine="420" w:firstLineChars="200"/>
        <w:rPr>
          <w:rFonts w:ascii="宋体" w:hAnsi="宋体" w:cs="Arial"/>
          <w:bCs/>
          <w:szCs w:val="21"/>
        </w:rPr>
      </w:pPr>
      <w:r>
        <w:rPr>
          <w:rFonts w:ascii="宋体" w:hAnsi="宋体" w:cs="Arial"/>
          <w:bCs/>
          <w:szCs w:val="21"/>
        </w:rPr>
        <w:t>（2）对基金财产和债权债务进行清理和确认；</w:t>
      </w:r>
    </w:p>
    <w:p w14:paraId="25474EAF">
      <w:pPr>
        <w:adjustRightInd w:val="0"/>
        <w:snapToGrid w:val="0"/>
        <w:spacing w:line="360" w:lineRule="auto"/>
        <w:ind w:firstLine="420" w:firstLineChars="200"/>
        <w:rPr>
          <w:rFonts w:ascii="宋体" w:hAnsi="宋体" w:cs="Arial"/>
          <w:bCs/>
          <w:szCs w:val="21"/>
        </w:rPr>
      </w:pPr>
      <w:r>
        <w:rPr>
          <w:rFonts w:ascii="宋体" w:hAnsi="宋体" w:cs="Arial"/>
          <w:bCs/>
          <w:szCs w:val="21"/>
        </w:rPr>
        <w:t>（3）对基金财产进行估值和变现；</w:t>
      </w:r>
    </w:p>
    <w:p w14:paraId="44653459">
      <w:pPr>
        <w:adjustRightInd w:val="0"/>
        <w:snapToGrid w:val="0"/>
        <w:spacing w:line="360" w:lineRule="auto"/>
        <w:ind w:firstLine="420" w:firstLineChars="200"/>
        <w:rPr>
          <w:rFonts w:ascii="宋体" w:hAnsi="宋体" w:cs="Arial"/>
          <w:bCs/>
          <w:szCs w:val="21"/>
        </w:rPr>
      </w:pPr>
      <w:r>
        <w:rPr>
          <w:rFonts w:ascii="宋体" w:hAnsi="宋体" w:cs="Arial"/>
          <w:bCs/>
          <w:szCs w:val="21"/>
        </w:rPr>
        <w:t>（4）制作清算报告；</w:t>
      </w:r>
    </w:p>
    <w:p w14:paraId="4BEE0229">
      <w:pPr>
        <w:adjustRightInd w:val="0"/>
        <w:snapToGrid w:val="0"/>
        <w:spacing w:line="360" w:lineRule="auto"/>
        <w:ind w:firstLine="420" w:firstLineChars="200"/>
        <w:rPr>
          <w:rFonts w:ascii="宋体" w:hAnsi="宋体" w:cs="Arial"/>
          <w:bCs/>
          <w:szCs w:val="21"/>
        </w:rPr>
      </w:pPr>
      <w:r>
        <w:rPr>
          <w:rFonts w:ascii="宋体" w:hAnsi="宋体" w:cs="Arial"/>
          <w:bCs/>
          <w:szCs w:val="21"/>
        </w:rPr>
        <w:t>（5）聘请</w:t>
      </w:r>
      <w:r>
        <w:rPr>
          <w:rFonts w:hint="eastAsia" w:ascii="宋体" w:hAnsi="宋体" w:cs="Arial"/>
          <w:bCs/>
          <w:szCs w:val="21"/>
        </w:rPr>
        <w:t>符合《证券法》规定的</w:t>
      </w:r>
      <w:r>
        <w:rPr>
          <w:rFonts w:ascii="宋体" w:hAnsi="宋体" w:cs="Arial"/>
          <w:bCs/>
          <w:szCs w:val="21"/>
        </w:rPr>
        <w:t>会计师事务所对清算报告进行外部审计，聘请律师事务所对清算报告出具法律意见书；</w:t>
      </w:r>
    </w:p>
    <w:p w14:paraId="14B9BDD4">
      <w:pPr>
        <w:adjustRightInd w:val="0"/>
        <w:snapToGrid w:val="0"/>
        <w:spacing w:line="360" w:lineRule="auto"/>
        <w:ind w:firstLine="420" w:firstLineChars="200"/>
        <w:rPr>
          <w:rFonts w:ascii="宋体" w:hAnsi="宋体" w:cs="Arial"/>
          <w:bCs/>
          <w:szCs w:val="21"/>
        </w:rPr>
      </w:pPr>
      <w:r>
        <w:rPr>
          <w:rFonts w:ascii="宋体" w:hAnsi="宋体" w:cs="Arial"/>
          <w:bCs/>
          <w:szCs w:val="21"/>
        </w:rPr>
        <w:t>（6）将清算报告报中国证监会备案并公告</w:t>
      </w:r>
      <w:r>
        <w:rPr>
          <w:rFonts w:hint="eastAsia" w:ascii="宋体" w:hAnsi="宋体" w:cs="Arial"/>
          <w:bCs/>
          <w:szCs w:val="21"/>
        </w:rPr>
        <w:t>；</w:t>
      </w:r>
    </w:p>
    <w:p w14:paraId="633AB1E3">
      <w:pPr>
        <w:adjustRightInd w:val="0"/>
        <w:snapToGrid w:val="0"/>
        <w:spacing w:line="360" w:lineRule="auto"/>
        <w:ind w:firstLine="420" w:firstLineChars="200"/>
        <w:rPr>
          <w:rFonts w:ascii="宋体" w:hAnsi="宋体" w:cs="Arial"/>
          <w:bCs/>
          <w:szCs w:val="21"/>
        </w:rPr>
      </w:pPr>
      <w:r>
        <w:rPr>
          <w:rFonts w:ascii="宋体" w:hAnsi="宋体" w:cs="Arial"/>
          <w:bCs/>
          <w:szCs w:val="21"/>
        </w:rPr>
        <w:t>（7）对基金</w:t>
      </w:r>
      <w:r>
        <w:rPr>
          <w:rFonts w:hint="eastAsia" w:ascii="宋体" w:hAnsi="宋体" w:cs="Arial"/>
          <w:bCs/>
          <w:szCs w:val="21"/>
        </w:rPr>
        <w:t>剩余</w:t>
      </w:r>
      <w:r>
        <w:rPr>
          <w:rFonts w:ascii="宋体" w:hAnsi="宋体" w:cs="Arial"/>
          <w:bCs/>
          <w:szCs w:val="21"/>
        </w:rPr>
        <w:t>财产进行分配</w:t>
      </w:r>
      <w:r>
        <w:rPr>
          <w:rFonts w:hint="eastAsia" w:ascii="宋体" w:hAnsi="宋体" w:cs="Arial"/>
          <w:bCs/>
          <w:szCs w:val="21"/>
        </w:rPr>
        <w:t>。</w:t>
      </w:r>
    </w:p>
    <w:p w14:paraId="2FDAE687">
      <w:pPr>
        <w:adjustRightInd w:val="0"/>
        <w:snapToGrid w:val="0"/>
        <w:spacing w:line="360" w:lineRule="auto"/>
        <w:ind w:firstLine="420" w:firstLineChars="200"/>
        <w:rPr>
          <w:rFonts w:ascii="宋体" w:hAnsi="宋体" w:cs="Arial"/>
          <w:bCs/>
          <w:szCs w:val="21"/>
        </w:rPr>
      </w:pPr>
      <w:r>
        <w:rPr>
          <w:rFonts w:ascii="宋体" w:hAnsi="宋体" w:cs="Arial"/>
          <w:bCs/>
          <w:szCs w:val="21"/>
        </w:rPr>
        <w:t>5、基金财产清算的期限为</w:t>
      </w:r>
      <w:r>
        <w:rPr>
          <w:rFonts w:hint="eastAsia" w:ascii="宋体" w:hAnsi="宋体" w:cs="Arial"/>
          <w:bCs/>
          <w:szCs w:val="21"/>
        </w:rPr>
        <w:t>6</w:t>
      </w:r>
      <w:r>
        <w:rPr>
          <w:rFonts w:ascii="宋体" w:hAnsi="宋体" w:cs="Arial"/>
          <w:bCs/>
          <w:szCs w:val="21"/>
        </w:rPr>
        <w:t>个月</w:t>
      </w:r>
      <w:r>
        <w:rPr>
          <w:rFonts w:hint="eastAsia" w:ascii="宋体" w:hAnsi="宋体" w:cs="Arial"/>
          <w:bCs/>
          <w:szCs w:val="21"/>
        </w:rPr>
        <w:t>，但因本基金所持证券的流动性受到限制而不能及时变现的，清算期限可相应顺延</w:t>
      </w:r>
      <w:r>
        <w:rPr>
          <w:rFonts w:ascii="宋体" w:hAnsi="宋体" w:cs="Arial"/>
          <w:bCs/>
          <w:szCs w:val="21"/>
        </w:rPr>
        <w:t>。</w:t>
      </w:r>
    </w:p>
    <w:p w14:paraId="5E69BAA5">
      <w:pPr>
        <w:adjustRightInd w:val="0"/>
        <w:snapToGrid w:val="0"/>
        <w:spacing w:line="360" w:lineRule="auto"/>
        <w:ind w:firstLine="422" w:firstLineChars="200"/>
        <w:rPr>
          <w:rFonts w:ascii="宋体" w:hAnsi="宋体" w:cs="Arial"/>
          <w:b/>
          <w:bCs/>
          <w:kern w:val="0"/>
          <w:szCs w:val="21"/>
        </w:rPr>
      </w:pPr>
      <w:r>
        <w:rPr>
          <w:rFonts w:ascii="宋体" w:hAnsi="宋体" w:cs="Arial"/>
          <w:b/>
          <w:bCs/>
          <w:kern w:val="0"/>
          <w:szCs w:val="21"/>
        </w:rPr>
        <w:t>四、清算费用</w:t>
      </w:r>
    </w:p>
    <w:p w14:paraId="2E04B576">
      <w:pPr>
        <w:adjustRightInd w:val="0"/>
        <w:snapToGrid w:val="0"/>
        <w:spacing w:line="360" w:lineRule="auto"/>
        <w:ind w:firstLine="420" w:firstLineChars="200"/>
        <w:rPr>
          <w:rFonts w:ascii="宋体" w:hAnsi="宋体" w:cs="Arial"/>
          <w:bCs/>
          <w:kern w:val="0"/>
          <w:szCs w:val="21"/>
        </w:rPr>
      </w:pPr>
      <w:r>
        <w:rPr>
          <w:rFonts w:ascii="宋体" w:hAnsi="宋体" w:cs="Arial"/>
          <w:bCs/>
          <w:kern w:val="0"/>
          <w:szCs w:val="21"/>
        </w:rPr>
        <w:t>清算费用是指基金财产清算小组在进行基金</w:t>
      </w:r>
      <w:r>
        <w:rPr>
          <w:rFonts w:hint="eastAsia" w:ascii="宋体" w:hAnsi="宋体" w:cs="Arial"/>
          <w:bCs/>
          <w:kern w:val="0"/>
          <w:szCs w:val="21"/>
        </w:rPr>
        <w:t>财产</w:t>
      </w:r>
      <w:r>
        <w:rPr>
          <w:rFonts w:ascii="宋体" w:hAnsi="宋体" w:cs="Arial"/>
          <w:bCs/>
          <w:kern w:val="0"/>
          <w:szCs w:val="21"/>
        </w:rPr>
        <w:t>清算过程中发生的所有合理费用，清算费用由基金财产清算小组优先从基金</w:t>
      </w:r>
      <w:r>
        <w:rPr>
          <w:rFonts w:hint="eastAsia" w:ascii="宋体" w:hAnsi="宋体" w:cs="Arial"/>
          <w:bCs/>
          <w:kern w:val="0"/>
          <w:szCs w:val="21"/>
        </w:rPr>
        <w:t>剩余</w:t>
      </w:r>
      <w:r>
        <w:rPr>
          <w:rFonts w:ascii="宋体" w:hAnsi="宋体" w:cs="Arial"/>
          <w:bCs/>
          <w:kern w:val="0"/>
          <w:szCs w:val="21"/>
        </w:rPr>
        <w:t>财产中支付。</w:t>
      </w:r>
    </w:p>
    <w:p w14:paraId="7EA66174">
      <w:pPr>
        <w:adjustRightInd w:val="0"/>
        <w:snapToGrid w:val="0"/>
        <w:spacing w:line="360" w:lineRule="auto"/>
        <w:ind w:firstLine="422" w:firstLineChars="200"/>
        <w:rPr>
          <w:rFonts w:ascii="宋体" w:hAnsi="宋体" w:cs="Arial"/>
          <w:b/>
          <w:bCs/>
          <w:kern w:val="0"/>
          <w:szCs w:val="21"/>
        </w:rPr>
      </w:pPr>
      <w:r>
        <w:rPr>
          <w:rFonts w:ascii="宋体" w:hAnsi="宋体" w:cs="Arial"/>
          <w:b/>
          <w:bCs/>
          <w:kern w:val="0"/>
          <w:szCs w:val="21"/>
        </w:rPr>
        <w:t>五、基金财产清算剩余资产的分配</w:t>
      </w:r>
    </w:p>
    <w:p w14:paraId="11F51CE6">
      <w:pPr>
        <w:adjustRightInd w:val="0"/>
        <w:snapToGrid w:val="0"/>
        <w:spacing w:line="360" w:lineRule="auto"/>
        <w:ind w:firstLine="420" w:firstLineChars="200"/>
        <w:rPr>
          <w:rFonts w:ascii="宋体" w:hAnsi="宋体" w:cs="Arial"/>
          <w:bCs/>
          <w:kern w:val="0"/>
          <w:szCs w:val="21"/>
        </w:rPr>
      </w:pPr>
      <w:r>
        <w:rPr>
          <w:rFonts w:ascii="宋体" w:hAnsi="宋体" w:cs="Arial"/>
          <w:bCs/>
          <w:kern w:val="0"/>
          <w:szCs w:val="21"/>
        </w:rPr>
        <w:t>依据基金财产清算的分配方案，将基金财产清算后的全部剩余资产扣除基金财产清算费用、交纳所欠税款并清偿基金债务后，按基金份额持有人持有的基金份额比例进行分配。</w:t>
      </w:r>
    </w:p>
    <w:p w14:paraId="3E369EC9">
      <w:pPr>
        <w:adjustRightInd w:val="0"/>
        <w:snapToGrid w:val="0"/>
        <w:spacing w:line="360" w:lineRule="auto"/>
        <w:ind w:firstLine="422" w:firstLineChars="200"/>
        <w:rPr>
          <w:rFonts w:ascii="宋体" w:hAnsi="宋体" w:cs="Arial"/>
          <w:b/>
          <w:bCs/>
          <w:kern w:val="0"/>
          <w:szCs w:val="21"/>
        </w:rPr>
      </w:pPr>
      <w:r>
        <w:rPr>
          <w:rFonts w:ascii="宋体" w:hAnsi="宋体" w:cs="Arial"/>
          <w:b/>
          <w:bCs/>
          <w:kern w:val="0"/>
          <w:szCs w:val="21"/>
        </w:rPr>
        <w:t>六、基金财产清算的公告</w:t>
      </w:r>
    </w:p>
    <w:p w14:paraId="0CB1392E">
      <w:pPr>
        <w:adjustRightInd w:val="0"/>
        <w:snapToGrid w:val="0"/>
        <w:spacing w:line="360" w:lineRule="auto"/>
        <w:ind w:firstLine="420" w:firstLineChars="200"/>
        <w:rPr>
          <w:rFonts w:ascii="宋体" w:hAnsi="宋体" w:cs="Arial"/>
          <w:bCs/>
          <w:kern w:val="0"/>
          <w:szCs w:val="21"/>
        </w:rPr>
      </w:pPr>
      <w:r>
        <w:rPr>
          <w:rFonts w:ascii="宋体" w:hAnsi="宋体" w:cs="Arial"/>
          <w:bCs/>
          <w:kern w:val="0"/>
          <w:szCs w:val="21"/>
        </w:rPr>
        <w:t>清算过程中的有关重大事项须及时公告；基金财产清算报告经</w:t>
      </w:r>
      <w:r>
        <w:rPr>
          <w:rFonts w:hint="eastAsia" w:ascii="宋体" w:hAnsi="宋体" w:cs="Arial"/>
          <w:bCs/>
          <w:kern w:val="0"/>
          <w:szCs w:val="21"/>
        </w:rPr>
        <w:t>符合《证券法》规定的</w:t>
      </w:r>
      <w:r>
        <w:rPr>
          <w:rFonts w:ascii="宋体" w:hAnsi="宋体" w:cs="Arial"/>
          <w:bCs/>
          <w:kern w:val="0"/>
          <w:szCs w:val="21"/>
        </w:rPr>
        <w:t>会计师事务所审计并由律师事务所出具法律意见书后报中国证监会备案并公告。基金财产清算公告于基金财产清算报告报中国证监会备案后</w:t>
      </w:r>
      <w:r>
        <w:rPr>
          <w:rFonts w:hint="eastAsia" w:ascii="宋体" w:hAnsi="宋体" w:cs="Arial"/>
          <w:bCs/>
          <w:kern w:val="0"/>
          <w:szCs w:val="21"/>
        </w:rPr>
        <w:t>5</w:t>
      </w:r>
      <w:r>
        <w:rPr>
          <w:rFonts w:ascii="宋体" w:hAnsi="宋体" w:cs="Arial"/>
          <w:bCs/>
          <w:kern w:val="0"/>
          <w:szCs w:val="21"/>
        </w:rPr>
        <w:t>个工作日内由基金财产清算小组进行公告</w:t>
      </w:r>
      <w:r>
        <w:rPr>
          <w:rFonts w:hint="eastAsia" w:ascii="宋体" w:hAnsi="宋体" w:cs="Arial"/>
          <w:bCs/>
          <w:kern w:val="0"/>
          <w:szCs w:val="21"/>
        </w:rPr>
        <w:t>，基金财产清算小组应当将清算报告登载在规定网站上，并将清算报告提示性公告登载在规定报刊上</w:t>
      </w:r>
      <w:r>
        <w:rPr>
          <w:rFonts w:ascii="宋体" w:hAnsi="宋体" w:cs="Arial"/>
          <w:bCs/>
          <w:kern w:val="0"/>
          <w:szCs w:val="21"/>
        </w:rPr>
        <w:t>。</w:t>
      </w:r>
    </w:p>
    <w:p w14:paraId="71A1487E">
      <w:pPr>
        <w:adjustRightInd w:val="0"/>
        <w:snapToGrid w:val="0"/>
        <w:spacing w:line="360" w:lineRule="auto"/>
        <w:ind w:firstLine="422" w:firstLineChars="200"/>
        <w:rPr>
          <w:rFonts w:ascii="宋体" w:hAnsi="宋体" w:cs="Arial"/>
          <w:b/>
          <w:bCs/>
          <w:kern w:val="0"/>
          <w:szCs w:val="21"/>
        </w:rPr>
      </w:pPr>
      <w:r>
        <w:rPr>
          <w:rFonts w:ascii="宋体" w:hAnsi="宋体" w:cs="Arial"/>
          <w:b/>
          <w:bCs/>
          <w:kern w:val="0"/>
          <w:szCs w:val="21"/>
        </w:rPr>
        <w:t>七、基金财产清算账册及文件的保存</w:t>
      </w:r>
    </w:p>
    <w:p w14:paraId="6B9FF5DE">
      <w:pPr>
        <w:adjustRightInd w:val="0"/>
        <w:snapToGrid w:val="0"/>
        <w:spacing w:line="360" w:lineRule="auto"/>
        <w:ind w:firstLine="420" w:firstLineChars="200"/>
        <w:rPr>
          <w:rFonts w:ascii="宋体" w:hAnsi="宋体" w:cs="Arial"/>
          <w:b/>
          <w:bCs/>
          <w:sz w:val="28"/>
          <w:szCs w:val="28"/>
        </w:rPr>
        <w:sectPr>
          <w:footerReference r:id="rId46" w:type="first"/>
          <w:footerReference r:id="rId45" w:type="default"/>
          <w:pgSz w:w="11906" w:h="16838"/>
          <w:pgMar w:top="1440" w:right="1800" w:bottom="1440" w:left="1800" w:header="851" w:footer="992" w:gutter="0"/>
          <w:pgNumType w:start="1"/>
          <w:cols w:space="720" w:num="1"/>
          <w:docGrid w:linePitch="312" w:charSpace="0"/>
        </w:sectPr>
      </w:pPr>
      <w:r>
        <w:rPr>
          <w:rFonts w:ascii="宋体" w:hAnsi="宋体" w:cs="Arial"/>
          <w:bCs/>
          <w:kern w:val="0"/>
          <w:szCs w:val="21"/>
        </w:rPr>
        <w:t>基金财产清算账册及有关文件由基金托管人保存</w:t>
      </w:r>
      <w:r>
        <w:rPr>
          <w:rFonts w:hint="eastAsia" w:ascii="宋体" w:hAnsi="宋体" w:cs="Arial"/>
          <w:bCs/>
          <w:kern w:val="0"/>
          <w:szCs w:val="21"/>
        </w:rPr>
        <w:t>，</w:t>
      </w:r>
      <w:r>
        <w:rPr>
          <w:rFonts w:hint="eastAsia" w:asciiTheme="minorEastAsia" w:hAnsiTheme="minorEastAsia"/>
        </w:rPr>
        <w:t>保存期限不低于法定最低期限</w:t>
      </w:r>
      <w:r>
        <w:rPr>
          <w:rFonts w:ascii="宋体" w:hAnsi="宋体" w:cs="Arial"/>
          <w:bCs/>
          <w:kern w:val="0"/>
          <w:szCs w:val="21"/>
        </w:rPr>
        <w:t>。</w:t>
      </w:r>
    </w:p>
    <w:p w14:paraId="05DFB6EB">
      <w:pPr>
        <w:pStyle w:val="2"/>
        <w:snapToGrid w:val="0"/>
        <w:spacing w:before="0" w:after="0" w:line="360" w:lineRule="auto"/>
        <w:ind w:firstLine="422" w:firstLineChars="150"/>
        <w:rPr>
          <w:rFonts w:hAnsi="宋体" w:eastAsia="宋体" w:cs="Arial"/>
          <w:b/>
          <w:bCs/>
          <w:sz w:val="28"/>
          <w:szCs w:val="28"/>
        </w:rPr>
      </w:pPr>
      <w:bookmarkStart w:id="123" w:name="_Toc7102"/>
      <w:r>
        <w:rPr>
          <w:rFonts w:hAnsi="宋体" w:eastAsia="宋体" w:cs="Arial"/>
          <w:b/>
          <w:bCs/>
          <w:sz w:val="28"/>
          <w:szCs w:val="28"/>
        </w:rPr>
        <w:t>第</w:t>
      </w:r>
      <w:r>
        <w:rPr>
          <w:rFonts w:hint="eastAsia" w:hAnsi="宋体" w:eastAsia="宋体" w:cs="Arial"/>
          <w:b/>
          <w:bCs/>
          <w:sz w:val="28"/>
          <w:szCs w:val="28"/>
        </w:rPr>
        <w:t>二十</w:t>
      </w:r>
      <w:r>
        <w:rPr>
          <w:rFonts w:hAnsi="宋体" w:eastAsia="宋体" w:cs="Arial"/>
          <w:b/>
          <w:bCs/>
          <w:sz w:val="28"/>
          <w:szCs w:val="28"/>
        </w:rPr>
        <w:t>部分  基金合同的内容摘要</w:t>
      </w:r>
      <w:bookmarkEnd w:id="122"/>
      <w:bookmarkEnd w:id="123"/>
    </w:p>
    <w:p w14:paraId="201AA2F9">
      <w:pPr>
        <w:adjustRightInd w:val="0"/>
        <w:snapToGrid w:val="0"/>
        <w:spacing w:line="360" w:lineRule="auto"/>
        <w:ind w:firstLine="422" w:firstLineChars="200"/>
        <w:rPr>
          <w:rFonts w:ascii="宋体" w:hAnsi="宋体" w:cs="Arial"/>
          <w:b/>
          <w:bCs/>
          <w:kern w:val="0"/>
          <w:szCs w:val="21"/>
        </w:rPr>
      </w:pPr>
      <w:r>
        <w:rPr>
          <w:rFonts w:hint="eastAsia" w:ascii="宋体" w:hAnsi="宋体" w:cs="Arial"/>
          <w:b/>
          <w:bCs/>
          <w:kern w:val="0"/>
          <w:szCs w:val="21"/>
        </w:rPr>
        <w:t>一、基金份额持有人、基金管理人和基金托管人的权利、义务</w:t>
      </w:r>
    </w:p>
    <w:p w14:paraId="49A7FED2">
      <w:pPr>
        <w:adjustRightInd w:val="0"/>
        <w:snapToGrid w:val="0"/>
        <w:spacing w:line="360" w:lineRule="auto"/>
        <w:ind w:firstLine="420" w:firstLineChars="200"/>
        <w:rPr>
          <w:rFonts w:ascii="宋体" w:hAnsi="宋体" w:cs="Arial"/>
          <w:bCs/>
          <w:kern w:val="0"/>
          <w:szCs w:val="21"/>
        </w:rPr>
      </w:pPr>
      <w:r>
        <w:rPr>
          <w:rFonts w:hint="eastAsia" w:ascii="宋体" w:hAnsi="宋体" w:cs="Arial"/>
          <w:bCs/>
          <w:kern w:val="0"/>
          <w:szCs w:val="21"/>
        </w:rPr>
        <w:t>（一）基金份额持有人的权利与义务</w:t>
      </w:r>
    </w:p>
    <w:p w14:paraId="1E4E7EB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基金投资者持有本基金</w:t>
      </w:r>
      <w:bookmarkStart w:id="124" w:name="_Hlt88899909"/>
      <w:bookmarkEnd w:id="124"/>
      <w:r>
        <w:rPr>
          <w:rFonts w:hint="eastAsia" w:asciiTheme="minorEastAsia" w:hAnsiTheme="minorEastAsia"/>
          <w:color w:val="0D0D0D" w:themeColor="text1" w:themeTint="F2"/>
          <w14:textFill>
            <w14:solidFill>
              <w14:schemeClr w14:val="tx1">
                <w14:lumMod w14:val="95000"/>
                <w14:lumOff w14:val="5000"/>
              </w14:schemeClr>
            </w14:solidFill>
          </w14:textFill>
        </w:rPr>
        <w:t>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0E75D8E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每份基金份额具有同等的合法权益。</w:t>
      </w:r>
    </w:p>
    <w:p w14:paraId="043A9E8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、根据《基金法》、《运作办法》及其他有关规定，基金份额持有人的权利包括但不限于：</w:t>
      </w:r>
    </w:p>
    <w:p w14:paraId="20C386C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）分享基金财产收益；</w:t>
      </w:r>
    </w:p>
    <w:p w14:paraId="674B80D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）参与分配清算后的剩余基金财产；</w:t>
      </w:r>
      <w:bookmarkStart w:id="125" w:name="_Hlt88825574"/>
      <w:bookmarkEnd w:id="125"/>
    </w:p>
    <w:p w14:paraId="38A4FD4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）依法转让或者申请赎回其持有的基金份额；</w:t>
      </w:r>
    </w:p>
    <w:p w14:paraId="390B911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）按照规定要求召开基金份额持有人大会或者召集基金份额持有人大会；</w:t>
      </w:r>
    </w:p>
    <w:p w14:paraId="04F083F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）出席或者委派代表出席基金份额持有人大会，对基金份额持有人大会审议事项行使表决权；</w:t>
      </w:r>
    </w:p>
    <w:p w14:paraId="79B272B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）查阅或者复制公开披露的基金信息资料；</w:t>
      </w:r>
    </w:p>
    <w:p w14:paraId="1E8BDD5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）监督基金管理人的投资运作；</w:t>
      </w:r>
    </w:p>
    <w:p w14:paraId="287730A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）对基金管理人、基金托管人、基金服务机构损害其合法权益的行为依法提起诉讼或仲裁；</w:t>
      </w:r>
    </w:p>
    <w:p w14:paraId="1D7730A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9</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）法律法规及中国证监会规定的和《基金合同》约定的其他权利。</w:t>
      </w:r>
    </w:p>
    <w:p w14:paraId="4B0B006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、根据《基金法》、《运作办法》及其他有关规定，基金份额持有人的义务包括但不限于：</w:t>
      </w:r>
    </w:p>
    <w:p w14:paraId="2A8FDF6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）认真阅读并遵守《基金合同》</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招募说明书及基金产品资料概要等信息披露文件</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6C54F12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）了解所投资基金产品，了解自身风险承受能力，自主判断基金的投资价值，自主做出投资决策，自行承担投资风险；</w:t>
      </w:r>
    </w:p>
    <w:p w14:paraId="65BB9CF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）关注基金信息披露，及时行使权利和履行义务；</w:t>
      </w:r>
    </w:p>
    <w:p w14:paraId="271E6EF4">
      <w:pPr>
        <w:adjustRightInd w:val="0"/>
        <w:snapToGrid w:val="0"/>
        <w:spacing w:line="360" w:lineRule="auto"/>
        <w:ind w:firstLine="420" w:firstLineChars="200"/>
        <w:rPr>
          <w:rFonts w:asciiTheme="minorEastAsia" w:hAnsiTheme="minorEastAsia"/>
        </w:rPr>
      </w:pPr>
      <w:r>
        <w:rPr>
          <w:rFonts w:hint="eastAsia" w:asciiTheme="minorEastAsia" w:hAnsiTheme="minorEastAsia"/>
        </w:rPr>
        <w:t>（4）交纳基金认购</w:t>
      </w:r>
      <w:r>
        <w:rPr>
          <w:rFonts w:hint="eastAsia" w:asciiTheme="minorEastAsia" w:hAnsiTheme="minorEastAsia" w:eastAsiaTheme="minorEastAsia"/>
        </w:rPr>
        <w:t>款项</w:t>
      </w:r>
      <w:r>
        <w:rPr>
          <w:rFonts w:hint="eastAsia" w:asciiTheme="minorEastAsia" w:hAnsiTheme="minorEastAsia"/>
        </w:rPr>
        <w:t>、申购</w:t>
      </w:r>
      <w:r>
        <w:rPr>
          <w:rFonts w:hint="eastAsia" w:asciiTheme="minorEastAsia" w:hAnsiTheme="minorEastAsia" w:eastAsiaTheme="minorEastAsia"/>
        </w:rPr>
        <w:t>对价</w:t>
      </w:r>
      <w:r>
        <w:rPr>
          <w:rFonts w:hint="eastAsia" w:asciiTheme="minorEastAsia" w:hAnsiTheme="minorEastAsia"/>
        </w:rPr>
        <w:t>及法律法规和《基金合同》所规定的费用；</w:t>
      </w:r>
    </w:p>
    <w:p w14:paraId="59ED369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）在其持有的基金份额范围内，承担基金亏损或者《基金合同》终止的有限责任；</w:t>
      </w:r>
    </w:p>
    <w:p w14:paraId="075673B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）不从事任何有损基金及其他《基金合同》当事人合法权益的活动；</w:t>
      </w:r>
    </w:p>
    <w:p w14:paraId="2C1091F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）执行生效的基金份额持有人大会的</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决议</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7C6DC6F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）返还在基金交易过程中因任何原因获得的不当得利；</w:t>
      </w:r>
    </w:p>
    <w:p w14:paraId="0E20896D">
      <w:pPr>
        <w:adjustRightInd w:val="0"/>
        <w:snapToGrid w:val="0"/>
        <w:spacing w:line="360" w:lineRule="auto"/>
        <w:ind w:firstLine="420" w:firstLineChars="200"/>
        <w:rPr>
          <w:rFonts w:ascii="宋体" w:hAnsi="宋体" w:cs="Arial"/>
          <w:bCs/>
          <w:kern w:val="0"/>
          <w:szCs w:val="21"/>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9</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）法律法规及中国证监会规定的和《基金合同》约定的其他义务。</w:t>
      </w:r>
    </w:p>
    <w:p w14:paraId="0DDB3FC1">
      <w:pPr>
        <w:adjustRightInd w:val="0"/>
        <w:snapToGrid w:val="0"/>
        <w:spacing w:line="360" w:lineRule="auto"/>
        <w:ind w:firstLine="420" w:firstLineChars="200"/>
        <w:rPr>
          <w:rFonts w:ascii="宋体" w:hAnsi="宋体" w:cs="Arial"/>
          <w:bCs/>
          <w:kern w:val="0"/>
          <w:szCs w:val="21"/>
        </w:rPr>
      </w:pPr>
      <w:r>
        <w:rPr>
          <w:rFonts w:hint="eastAsia" w:ascii="宋体" w:hAnsi="宋体" w:cs="Arial"/>
          <w:bCs/>
          <w:kern w:val="0"/>
          <w:szCs w:val="21"/>
        </w:rPr>
        <w:t>（二）基金管理人的权利与义务</w:t>
      </w:r>
    </w:p>
    <w:p w14:paraId="1932EFD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、根据《基金法》、《运作办法》及其他有关规定，基金管理人的权利包括但不限于：</w:t>
      </w:r>
    </w:p>
    <w:p w14:paraId="29118A1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）依法募集资金；</w:t>
      </w:r>
    </w:p>
    <w:p w14:paraId="3A371A8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）自《基金合同》生效之日起，根据法律法规和《基金合同》独立运用并管理基金财产；</w:t>
      </w:r>
    </w:p>
    <w:p w14:paraId="086B248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）依照《基金合同》收取基金管理费以及法律法规规定或中国证监会批准的其他费用；</w:t>
      </w:r>
    </w:p>
    <w:p w14:paraId="50DF2F4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）销售基金份额；</w:t>
      </w:r>
    </w:p>
    <w:p w14:paraId="1BDA7F9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w:t>
      </w:r>
      <w:bookmarkStart w:id="126" w:name="_Hlt88896155"/>
      <w:r>
        <w:rPr>
          <w:rFonts w:hint="eastAsia" w:asciiTheme="minorEastAsia" w:hAnsiTheme="minorEastAsia"/>
          <w:color w:val="0D0D0D" w:themeColor="text1" w:themeTint="F2"/>
          <w14:textFill>
            <w14:solidFill>
              <w14:schemeClr w14:val="tx1">
                <w14:lumMod w14:val="95000"/>
                <w14:lumOff w14:val="5000"/>
              </w14:schemeClr>
            </w14:solidFill>
          </w14:textFill>
        </w:rPr>
        <w:t>按照规定召集</w:t>
      </w:r>
      <w:bookmarkEnd w:id="126"/>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w:t>
      </w:r>
    </w:p>
    <w:p w14:paraId="7993D26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）依据《基金合同》及有关法律规定监督基金托管人，如认为基金托管人违反了《基金合同》及国家有关法律规定，应呈报中国证监会和其他监管部门，并采取必要措施保护基金投资者的利益；</w:t>
      </w:r>
    </w:p>
    <w:p w14:paraId="745C217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）在基金托管人更换时，提名新的基金托管人；</w:t>
      </w:r>
    </w:p>
    <w:p w14:paraId="2E85E86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）选择、更换基金销售机构，对基金销售机构的相关行为进行监督和处理；</w:t>
      </w:r>
      <w:r>
        <w:rPr>
          <w:rFonts w:asciiTheme="minorEastAsia" w:hAnsiTheme="minorEastAsia"/>
          <w:color w:val="0D0D0D" w:themeColor="text1" w:themeTint="F2"/>
          <w14:textFill>
            <w14:solidFill>
              <w14:schemeClr w14:val="tx1">
                <w14:lumMod w14:val="95000"/>
                <w14:lumOff w14:val="5000"/>
              </w14:schemeClr>
            </w14:solidFill>
          </w14:textFill>
        </w:rPr>
        <w:t xml:space="preserve"> </w:t>
      </w:r>
    </w:p>
    <w:p w14:paraId="5713C90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9</w:t>
      </w:r>
      <w:r>
        <w:rPr>
          <w:rFonts w:hint="eastAsia" w:asciiTheme="minorEastAsia" w:hAnsiTheme="minorEastAsia"/>
          <w:color w:val="0D0D0D" w:themeColor="text1" w:themeTint="F2"/>
          <w14:textFill>
            <w14:solidFill>
              <w14:schemeClr w14:val="tx1">
                <w14:lumMod w14:val="95000"/>
                <w14:lumOff w14:val="5000"/>
              </w14:schemeClr>
            </w14:solidFill>
          </w14:textFill>
        </w:rPr>
        <w:t>）担任或委托其他符合条件的机构担任基金登记机构办理基金登记业务并获得《基金合同》规定的费用；</w:t>
      </w:r>
      <w:r>
        <w:rPr>
          <w:rFonts w:asciiTheme="minorEastAsia" w:hAnsiTheme="minorEastAsia"/>
          <w:color w:val="0D0D0D" w:themeColor="text1" w:themeTint="F2"/>
          <w14:textFill>
            <w14:solidFill>
              <w14:schemeClr w14:val="tx1">
                <w14:lumMod w14:val="95000"/>
                <w14:lumOff w14:val="5000"/>
              </w14:schemeClr>
            </w14:solidFill>
          </w14:textFill>
        </w:rPr>
        <w:t xml:space="preserve"> </w:t>
      </w:r>
    </w:p>
    <w:p w14:paraId="6834C10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）依据《基金合同》及有关法律规定决定基金收益的分配方案；</w:t>
      </w:r>
      <w:r>
        <w:rPr>
          <w:rFonts w:asciiTheme="minorEastAsia" w:hAnsiTheme="minorEastAsia"/>
          <w:color w:val="0D0D0D" w:themeColor="text1" w:themeTint="F2"/>
          <w14:textFill>
            <w14:solidFill>
              <w14:schemeClr w14:val="tx1">
                <w14:lumMod w14:val="95000"/>
                <w14:lumOff w14:val="5000"/>
              </w14:schemeClr>
            </w14:solidFill>
          </w14:textFill>
        </w:rPr>
        <w:tab/>
      </w:r>
    </w:p>
    <w:p w14:paraId="2C0A7BC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11</w:t>
      </w:r>
      <w:r>
        <w:rPr>
          <w:rFonts w:hint="eastAsia" w:asciiTheme="minorEastAsia" w:hAnsiTheme="minorEastAsia"/>
          <w:color w:val="0D0D0D" w:themeColor="text1" w:themeTint="F2"/>
          <w14:textFill>
            <w14:solidFill>
              <w14:schemeClr w14:val="tx1">
                <w14:lumMod w14:val="95000"/>
                <w14:lumOff w14:val="5000"/>
              </w14:schemeClr>
            </w14:solidFill>
          </w14:textFill>
        </w:rPr>
        <w:t>）在《基金合同》约定的范围内，拒绝或暂停受理申购与赎回申请；</w:t>
      </w:r>
      <w:r>
        <w:rPr>
          <w:rFonts w:asciiTheme="minorEastAsia" w:hAnsiTheme="minorEastAsia"/>
          <w:color w:val="0D0D0D" w:themeColor="text1" w:themeTint="F2"/>
          <w14:textFill>
            <w14:solidFill>
              <w14:schemeClr w14:val="tx1">
                <w14:lumMod w14:val="95000"/>
                <w14:lumOff w14:val="5000"/>
              </w14:schemeClr>
            </w14:solidFill>
          </w14:textFill>
        </w:rPr>
        <w:t xml:space="preserve"> </w:t>
      </w:r>
    </w:p>
    <w:p w14:paraId="5D7C2D8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12</w:t>
      </w:r>
      <w:r>
        <w:rPr>
          <w:rFonts w:hint="eastAsia" w:asciiTheme="minorEastAsia" w:hAnsiTheme="minorEastAsia"/>
          <w:color w:val="0D0D0D" w:themeColor="text1" w:themeTint="F2"/>
          <w14:textFill>
            <w14:solidFill>
              <w14:schemeClr w14:val="tx1">
                <w14:lumMod w14:val="95000"/>
                <w14:lumOff w14:val="5000"/>
              </w14:schemeClr>
            </w14:solidFill>
          </w14:textFill>
        </w:rPr>
        <w:t>）依照法律法规为基金的利益对被投资公司行使股东权利，为基金的利益行使因基金财产投资于证券所产生的权利；</w:t>
      </w:r>
    </w:p>
    <w:p w14:paraId="07931EE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13</w:t>
      </w:r>
      <w:r>
        <w:rPr>
          <w:rFonts w:hint="eastAsia" w:asciiTheme="minorEastAsia" w:hAnsiTheme="minorEastAsia"/>
          <w:color w:val="0D0D0D" w:themeColor="text1" w:themeTint="F2"/>
          <w14:textFill>
            <w14:solidFill>
              <w14:schemeClr w14:val="tx1">
                <w14:lumMod w14:val="95000"/>
                <w14:lumOff w14:val="5000"/>
              </w14:schemeClr>
            </w14:solidFill>
          </w14:textFill>
        </w:rPr>
        <w:t>）在法律法规允许的前提下，为基金的利益依法为基金进行融资</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和转融通证券出借业务；</w:t>
      </w:r>
    </w:p>
    <w:p w14:paraId="46E4F63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）以基金管理人的名义，代表基金份额持有人的利益行使诉讼权利或者实施其他法律行为；</w:t>
      </w:r>
      <w:r>
        <w:rPr>
          <w:rFonts w:asciiTheme="minorEastAsia" w:hAnsiTheme="minorEastAsia"/>
          <w:color w:val="0D0D0D" w:themeColor="text1" w:themeTint="F2"/>
          <w14:textFill>
            <w14:solidFill>
              <w14:schemeClr w14:val="tx1">
                <w14:lumMod w14:val="95000"/>
                <w14:lumOff w14:val="5000"/>
              </w14:schemeClr>
            </w14:solidFill>
          </w14:textFill>
        </w:rPr>
        <w:tab/>
      </w:r>
    </w:p>
    <w:p w14:paraId="310EC0A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15</w:t>
      </w:r>
      <w:r>
        <w:rPr>
          <w:rFonts w:hint="eastAsia" w:asciiTheme="minorEastAsia" w:hAnsiTheme="minorEastAsia"/>
          <w:color w:val="0D0D0D" w:themeColor="text1" w:themeTint="F2"/>
          <w14:textFill>
            <w14:solidFill>
              <w14:schemeClr w14:val="tx1">
                <w14:lumMod w14:val="95000"/>
                <w14:lumOff w14:val="5000"/>
              </w14:schemeClr>
            </w14:solidFill>
          </w14:textFill>
        </w:rPr>
        <w:t>）选择、更换律师事务所、会计师事务所、</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证券、期货经纪商</w:t>
      </w:r>
      <w:r>
        <w:rPr>
          <w:rFonts w:hint="eastAsia" w:asciiTheme="minorEastAsia" w:hAnsiTheme="minorEastAsia"/>
          <w:color w:val="0D0D0D" w:themeColor="text1" w:themeTint="F2"/>
          <w14:textFill>
            <w14:solidFill>
              <w14:schemeClr w14:val="tx1">
                <w14:lumMod w14:val="95000"/>
                <w14:lumOff w14:val="5000"/>
              </w14:schemeClr>
            </w14:solidFill>
          </w14:textFill>
        </w:rPr>
        <w:t>或其他为基金提供服务的外部机构；</w:t>
      </w:r>
      <w:r>
        <w:rPr>
          <w:rFonts w:asciiTheme="minorEastAsia" w:hAnsiTheme="minorEastAsia"/>
          <w:color w:val="0D0D0D" w:themeColor="text1" w:themeTint="F2"/>
          <w14:textFill>
            <w14:solidFill>
              <w14:schemeClr w14:val="tx1">
                <w14:lumMod w14:val="95000"/>
                <w14:lumOff w14:val="5000"/>
              </w14:schemeClr>
            </w14:solidFill>
          </w14:textFill>
        </w:rPr>
        <w:tab/>
      </w:r>
    </w:p>
    <w:p w14:paraId="65B345D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16</w:t>
      </w:r>
      <w:r>
        <w:rPr>
          <w:rFonts w:hint="eastAsia" w:asciiTheme="minorEastAsia" w:hAnsiTheme="minorEastAsia"/>
          <w:color w:val="0D0D0D" w:themeColor="text1" w:themeTint="F2"/>
          <w14:textFill>
            <w14:solidFill>
              <w14:schemeClr w14:val="tx1">
                <w14:lumMod w14:val="95000"/>
                <w14:lumOff w14:val="5000"/>
              </w14:schemeClr>
            </w14:solidFill>
          </w14:textFill>
        </w:rPr>
        <w:t>）在符合有关法律、法规</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、相关证券交易所及登记机构相关业务规则的规定及基金合同</w:t>
      </w:r>
      <w:r>
        <w:rPr>
          <w:rFonts w:hint="eastAsia" w:asciiTheme="minorEastAsia" w:hAnsiTheme="minorEastAsia"/>
          <w:color w:val="0D0D0D" w:themeColor="text1" w:themeTint="F2"/>
          <w14:textFill>
            <w14:solidFill>
              <w14:schemeClr w14:val="tx1">
                <w14:lumMod w14:val="95000"/>
                <w14:lumOff w14:val="5000"/>
              </w14:schemeClr>
            </w14:solidFill>
          </w14:textFill>
        </w:rPr>
        <w:t>的前提下，制订和调整有关基金认购、申购、赎回</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等</w:t>
      </w:r>
      <w:r>
        <w:rPr>
          <w:rFonts w:hint="eastAsia" w:asciiTheme="minorEastAsia" w:hAnsiTheme="minorEastAsia"/>
          <w:color w:val="0D0D0D" w:themeColor="text1" w:themeTint="F2"/>
          <w14:textFill>
            <w14:solidFill>
              <w14:schemeClr w14:val="tx1">
                <w14:lumMod w14:val="95000"/>
                <w14:lumOff w14:val="5000"/>
              </w14:schemeClr>
            </w14:solidFill>
          </w14:textFill>
        </w:rPr>
        <w:t>业务规则；</w:t>
      </w:r>
    </w:p>
    <w:p w14:paraId="1AB359B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（17）</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法律法规及中国证监会规定的和《基金合同》约定的其他权利。</w:t>
      </w:r>
    </w:p>
    <w:p w14:paraId="694C0E4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、根据《基金法》、《运作办法》及其他有关规定，基金管理人的义务包括但不限于：</w:t>
      </w:r>
    </w:p>
    <w:p w14:paraId="406FE98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）依法募集资金，办理或者委托经中国证监会认定的其他机构代为办理基金份额的发售、申购、赎回和登记事宜；</w:t>
      </w:r>
    </w:p>
    <w:p w14:paraId="64343D9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）办理基金备案手续；</w:t>
      </w:r>
    </w:p>
    <w:p w14:paraId="0E72B5A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）自《基金合同》生效之日起</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以诚实信用、谨慎勤勉的原则管理和运用基金财产；</w:t>
      </w:r>
    </w:p>
    <w:p w14:paraId="05FA2E4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）配备足够的具有专业资格的人员进行基金投资分析、决策，以专业化的经营方式管理和运作基金财产；</w:t>
      </w:r>
    </w:p>
    <w:p w14:paraId="50180E9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）建立健全内部风险控制、监察与稽核、财务管理及人事管理等制度，保证所管理的基金财产和基金管理人的财产相互独立</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对所管理的不同基金分别管理，分别记账，进行证券投资；</w:t>
      </w:r>
    </w:p>
    <w:p w14:paraId="2C19597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）除依据《基金法》、《基金合同》及其他有关规定外</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不得利用基金财产为自己及任何第三人谋取利益，不得委托第三人运作基金财产；</w:t>
      </w:r>
    </w:p>
    <w:p w14:paraId="32D7364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）依法接受基金托管人的监督；</w:t>
      </w:r>
    </w:p>
    <w:p w14:paraId="0C523FB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）采取适当合理的措施使计算基金份额认购</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价格</w:t>
      </w:r>
      <w:r>
        <w:rPr>
          <w:rFonts w:hint="eastAsia" w:asciiTheme="minorEastAsia" w:hAnsiTheme="minorEastAsia"/>
          <w:color w:val="0D0D0D" w:themeColor="text1" w:themeTint="F2"/>
          <w14:textFill>
            <w14:solidFill>
              <w14:schemeClr w14:val="tx1">
                <w14:lumMod w14:val="95000"/>
                <w14:lumOff w14:val="5000"/>
              </w14:schemeClr>
            </w14:solidFill>
          </w14:textFill>
        </w:rPr>
        <w:t>、申购</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对价</w:t>
      </w:r>
      <w:r>
        <w:rPr>
          <w:rFonts w:hint="eastAsia" w:asciiTheme="minorEastAsia" w:hAnsiTheme="minorEastAsia"/>
          <w:color w:val="0D0D0D" w:themeColor="text1" w:themeTint="F2"/>
          <w14:textFill>
            <w14:solidFill>
              <w14:schemeClr w14:val="tx1">
                <w14:lumMod w14:val="95000"/>
                <w14:lumOff w14:val="5000"/>
              </w14:schemeClr>
            </w14:solidFill>
          </w14:textFill>
        </w:rPr>
        <w:t>、赎回</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对价</w:t>
      </w:r>
      <w:r>
        <w:rPr>
          <w:rFonts w:hint="eastAsia" w:asciiTheme="minorEastAsia" w:hAnsiTheme="minorEastAsia"/>
          <w:color w:val="0D0D0D" w:themeColor="text1" w:themeTint="F2"/>
          <w14:textFill>
            <w14:solidFill>
              <w14:schemeClr w14:val="tx1">
                <w14:lumMod w14:val="95000"/>
                <w14:lumOff w14:val="5000"/>
              </w14:schemeClr>
            </w14:solidFill>
          </w14:textFill>
        </w:rPr>
        <w:t>的方法符合《基金合同》等法律文件的规定，按有关规定计算并公告基金净值信息，确定基金份额申购、赎回</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对价，编制申购赎回清单</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7B57F28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9</w:t>
      </w:r>
      <w:r>
        <w:rPr>
          <w:rFonts w:hint="eastAsia" w:asciiTheme="minorEastAsia" w:hAnsiTheme="minorEastAsia"/>
          <w:color w:val="0D0D0D" w:themeColor="text1" w:themeTint="F2"/>
          <w14:textFill>
            <w14:solidFill>
              <w14:schemeClr w14:val="tx1">
                <w14:lumMod w14:val="95000"/>
                <w14:lumOff w14:val="5000"/>
              </w14:schemeClr>
            </w14:solidFill>
          </w14:textFill>
        </w:rPr>
        <w:t>）进行基金会计核算并编制基金财务会计报告；</w:t>
      </w:r>
    </w:p>
    <w:p w14:paraId="0D5308C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）编制季度报告、中期报告和年度报告；</w:t>
      </w:r>
    </w:p>
    <w:p w14:paraId="46A11CA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11</w:t>
      </w:r>
      <w:r>
        <w:rPr>
          <w:rFonts w:hint="eastAsia" w:asciiTheme="minorEastAsia" w:hAnsiTheme="minorEastAsia"/>
          <w:color w:val="0D0D0D" w:themeColor="text1" w:themeTint="F2"/>
          <w14:textFill>
            <w14:solidFill>
              <w14:schemeClr w14:val="tx1">
                <w14:lumMod w14:val="95000"/>
                <w14:lumOff w14:val="5000"/>
              </w14:schemeClr>
            </w14:solidFill>
          </w14:textFill>
        </w:rPr>
        <w:t>）严格按照《基金法》、《基金合同》及其他有关规定，履行信息披露及报告义务；</w:t>
      </w:r>
    </w:p>
    <w:p w14:paraId="3E81BE7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12</w:t>
      </w:r>
      <w:r>
        <w:rPr>
          <w:rFonts w:hint="eastAsia" w:asciiTheme="minorEastAsia" w:hAnsiTheme="minorEastAsia"/>
          <w:color w:val="0D0D0D" w:themeColor="text1" w:themeTint="F2"/>
          <w14:textFill>
            <w14:solidFill>
              <w14:schemeClr w14:val="tx1">
                <w14:lumMod w14:val="95000"/>
                <w14:lumOff w14:val="5000"/>
              </w14:schemeClr>
            </w14:solidFill>
          </w14:textFill>
        </w:rPr>
        <w:t>）保守基金商业秘密，不泄露基金投资计划、投资意向等。除《基金法》、《基金合同》及其他有关规定另有规定外，在基金信息公开披露前应予保密，不向他人泄露，向审计、法律等外部专业顾问提供的情况除外；</w:t>
      </w:r>
    </w:p>
    <w:p w14:paraId="1DF508F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13</w:t>
      </w:r>
      <w:r>
        <w:rPr>
          <w:rFonts w:hint="eastAsia" w:asciiTheme="minorEastAsia" w:hAnsiTheme="minorEastAsia"/>
          <w:color w:val="0D0D0D" w:themeColor="text1" w:themeTint="F2"/>
          <w14:textFill>
            <w14:solidFill>
              <w14:schemeClr w14:val="tx1">
                <w14:lumMod w14:val="95000"/>
                <w14:lumOff w14:val="5000"/>
              </w14:schemeClr>
            </w14:solidFill>
          </w14:textFill>
        </w:rPr>
        <w:t>）按《基金合同》的约定确定基金收益分配方案，及时向基金份额持有人分配基金收益；</w:t>
      </w:r>
    </w:p>
    <w:p w14:paraId="02E9938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14</w:t>
      </w:r>
      <w:r>
        <w:rPr>
          <w:rFonts w:hint="eastAsia" w:asciiTheme="minorEastAsia" w:hAnsiTheme="minorEastAsia"/>
          <w:color w:val="0D0D0D" w:themeColor="text1" w:themeTint="F2"/>
          <w14:textFill>
            <w14:solidFill>
              <w14:schemeClr w14:val="tx1">
                <w14:lumMod w14:val="95000"/>
                <w14:lumOff w14:val="5000"/>
              </w14:schemeClr>
            </w14:solidFill>
          </w14:textFill>
        </w:rPr>
        <w:t>）按规定受理申购与赎回申请，及时、足额支付赎回</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对价</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3B94780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15</w:t>
      </w:r>
      <w:r>
        <w:rPr>
          <w:rFonts w:hint="eastAsia" w:asciiTheme="minorEastAsia" w:hAnsiTheme="minorEastAsia"/>
          <w:color w:val="0D0D0D" w:themeColor="text1" w:themeTint="F2"/>
          <w14:textFill>
            <w14:solidFill>
              <w14:schemeClr w14:val="tx1">
                <w14:lumMod w14:val="95000"/>
                <w14:lumOff w14:val="5000"/>
              </w14:schemeClr>
            </w14:solidFill>
          </w14:textFill>
        </w:rPr>
        <w:t>）依据《基金法》、《基金合同》及其他有关规定召集基金份额持有人大会或配合基金托管人、基金份额持有人依法召集基金份额持有人大会；</w:t>
      </w:r>
    </w:p>
    <w:p w14:paraId="0E63D71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16</w:t>
      </w:r>
      <w:r>
        <w:rPr>
          <w:rFonts w:hint="eastAsia" w:asciiTheme="minorEastAsia" w:hAnsiTheme="minorEastAsia"/>
          <w:color w:val="0D0D0D" w:themeColor="text1" w:themeTint="F2"/>
          <w14:textFill>
            <w14:solidFill>
              <w14:schemeClr w14:val="tx1">
                <w14:lumMod w14:val="95000"/>
                <w14:lumOff w14:val="5000"/>
              </w14:schemeClr>
            </w14:solidFill>
          </w14:textFill>
        </w:rPr>
        <w:t>）按规定保存基金财产管理业务活动的会计账册、报表、记录和其他相关资料，保存期限不低于法律法规规定；</w:t>
      </w:r>
    </w:p>
    <w:p w14:paraId="4B4F9A1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17</w:t>
      </w:r>
      <w:r>
        <w:rPr>
          <w:rFonts w:hint="eastAsia" w:asciiTheme="minorEastAsia" w:hAnsiTheme="minorEastAsia"/>
          <w:color w:val="0D0D0D" w:themeColor="text1" w:themeTint="F2"/>
          <w14:textFill>
            <w14:solidFill>
              <w14:schemeClr w14:val="tx1">
                <w14:lumMod w14:val="95000"/>
                <w14:lumOff w14:val="5000"/>
              </w14:schemeClr>
            </w14:solidFill>
          </w14:textFill>
        </w:rPr>
        <w:t>）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547D439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18</w:t>
      </w:r>
      <w:r>
        <w:rPr>
          <w:rFonts w:hint="eastAsia" w:asciiTheme="minorEastAsia" w:hAnsiTheme="minorEastAsia"/>
          <w:color w:val="0D0D0D" w:themeColor="text1" w:themeTint="F2"/>
          <w14:textFill>
            <w14:solidFill>
              <w14:schemeClr w14:val="tx1">
                <w14:lumMod w14:val="95000"/>
                <w14:lumOff w14:val="5000"/>
              </w14:schemeClr>
            </w14:solidFill>
          </w14:textFill>
        </w:rPr>
        <w:t>）组织并参加基金财产清算小组</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参与基金财产的保管、清理、估价、变现和分配；</w:t>
      </w:r>
    </w:p>
    <w:p w14:paraId="3D38941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19</w:t>
      </w:r>
      <w:r>
        <w:rPr>
          <w:rFonts w:hint="eastAsia" w:asciiTheme="minorEastAsia" w:hAnsiTheme="minorEastAsia"/>
          <w:color w:val="0D0D0D" w:themeColor="text1" w:themeTint="F2"/>
          <w14:textFill>
            <w14:solidFill>
              <w14:schemeClr w14:val="tx1">
                <w14:lumMod w14:val="95000"/>
                <w14:lumOff w14:val="5000"/>
              </w14:schemeClr>
            </w14:solidFill>
          </w14:textFill>
        </w:rPr>
        <w:t>）面临解散、依法被撤销或者被依法宣告破产时，及时报告中国证监会并通知基金托管人；</w:t>
      </w:r>
    </w:p>
    <w:p w14:paraId="3569BB2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20</w:t>
      </w:r>
      <w:r>
        <w:rPr>
          <w:rFonts w:hint="eastAsia" w:asciiTheme="minorEastAsia" w:hAnsiTheme="minorEastAsia"/>
          <w:color w:val="0D0D0D" w:themeColor="text1" w:themeTint="F2"/>
          <w14:textFill>
            <w14:solidFill>
              <w14:schemeClr w14:val="tx1">
                <w14:lumMod w14:val="95000"/>
                <w14:lumOff w14:val="5000"/>
              </w14:schemeClr>
            </w14:solidFill>
          </w14:textFill>
        </w:rPr>
        <w:t>）因违反《基金合同》导致基金财产的损失或损害基金份额持有人合法权益时，应当承担赔偿责任，其赔偿责任不因其退任而免除；</w:t>
      </w:r>
    </w:p>
    <w:p w14:paraId="27905AA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21</w:t>
      </w:r>
      <w:r>
        <w:rPr>
          <w:rFonts w:hint="eastAsia" w:asciiTheme="minorEastAsia" w:hAnsiTheme="minorEastAsia"/>
          <w:color w:val="0D0D0D" w:themeColor="text1" w:themeTint="F2"/>
          <w14:textFill>
            <w14:solidFill>
              <w14:schemeClr w14:val="tx1">
                <w14:lumMod w14:val="95000"/>
                <w14:lumOff w14:val="5000"/>
              </w14:schemeClr>
            </w14:solidFill>
          </w14:textFill>
        </w:rPr>
        <w:t>）监督基金托管人按法律法规和《基金合同》规定履行自己的义务，基金托管人违反《基金合同》造成基金财产损失时，基金管理人应为基金份额持有人利益向基金托管人追偿；</w:t>
      </w:r>
    </w:p>
    <w:p w14:paraId="730F827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22</w:t>
      </w:r>
      <w:r>
        <w:rPr>
          <w:rFonts w:hint="eastAsia" w:asciiTheme="minorEastAsia" w:hAnsiTheme="minorEastAsia"/>
          <w:color w:val="0D0D0D" w:themeColor="text1" w:themeTint="F2"/>
          <w14:textFill>
            <w14:solidFill>
              <w14:schemeClr w14:val="tx1">
                <w14:lumMod w14:val="95000"/>
                <w14:lumOff w14:val="5000"/>
              </w14:schemeClr>
            </w14:solidFill>
          </w14:textFill>
        </w:rPr>
        <w:t>）当基金管理人将其义务委托第三方处理时，应当对第三方处理有关基金事务的行为承担责任；</w:t>
      </w:r>
    </w:p>
    <w:p w14:paraId="2C0C10D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23</w:t>
      </w:r>
      <w:r>
        <w:rPr>
          <w:rFonts w:hint="eastAsia" w:asciiTheme="minorEastAsia" w:hAnsiTheme="minorEastAsia"/>
          <w:color w:val="0D0D0D" w:themeColor="text1" w:themeTint="F2"/>
          <w14:textFill>
            <w14:solidFill>
              <w14:schemeClr w14:val="tx1">
                <w14:lumMod w14:val="95000"/>
                <w14:lumOff w14:val="5000"/>
              </w14:schemeClr>
            </w14:solidFill>
          </w14:textFill>
        </w:rPr>
        <w:t>）以基金管理人名义，代表基金份额持有人利益行使诉讼权利或实施其他法律行为；</w:t>
      </w:r>
    </w:p>
    <w:p w14:paraId="008241CD">
      <w:pPr>
        <w:snapToGrid w:val="0"/>
        <w:spacing w:line="360" w:lineRule="auto"/>
        <w:ind w:firstLine="420" w:firstLineChars="200"/>
        <w:rPr>
          <w:rFonts w:asciiTheme="minorEastAsia" w:hAnsiTheme="minorEastAsia"/>
        </w:rPr>
      </w:pPr>
      <w:r>
        <w:rPr>
          <w:rFonts w:hint="eastAsia" w:asciiTheme="minorEastAsia" w:hAnsiTheme="minorEastAsia"/>
        </w:rPr>
        <w:t>（24）基金在募集期间未能达到基金</w:t>
      </w:r>
      <w:bookmarkStart w:id="127" w:name="_Hlt88823209"/>
      <w:bookmarkEnd w:id="127"/>
      <w:r>
        <w:rPr>
          <w:rFonts w:hint="eastAsia" w:asciiTheme="minorEastAsia" w:hAnsiTheme="minorEastAsia"/>
        </w:rPr>
        <w:t>的备案条件，《基金合同》不能生效，基金管理人承担全部募集费用，将已募集资金并加计银行同期</w:t>
      </w:r>
      <w:r>
        <w:rPr>
          <w:rFonts w:hint="eastAsia" w:asciiTheme="minorEastAsia" w:hAnsiTheme="minorEastAsia" w:eastAsiaTheme="minorEastAsia"/>
          <w:szCs w:val="21"/>
        </w:rPr>
        <w:t>活期存款</w:t>
      </w:r>
      <w:r>
        <w:rPr>
          <w:rFonts w:hint="eastAsia" w:asciiTheme="minorEastAsia" w:hAnsiTheme="minorEastAsia"/>
        </w:rPr>
        <w:t>利息在基金募集期结束后</w:t>
      </w:r>
      <w:r>
        <w:rPr>
          <w:rFonts w:asciiTheme="minorEastAsia" w:hAnsiTheme="minorEastAsia"/>
        </w:rPr>
        <w:t>30</w:t>
      </w:r>
      <w:r>
        <w:rPr>
          <w:rFonts w:hint="eastAsia" w:asciiTheme="minorEastAsia" w:hAnsiTheme="minorEastAsia"/>
        </w:rPr>
        <w:t>日内退还基金认购人；</w:t>
      </w:r>
    </w:p>
    <w:p w14:paraId="3DC01DD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25</w:t>
      </w:r>
      <w:r>
        <w:rPr>
          <w:rFonts w:hint="eastAsia" w:asciiTheme="minorEastAsia" w:hAnsiTheme="minorEastAsia"/>
          <w:color w:val="0D0D0D" w:themeColor="text1" w:themeTint="F2"/>
          <w14:textFill>
            <w14:solidFill>
              <w14:schemeClr w14:val="tx1">
                <w14:lumMod w14:val="95000"/>
                <w14:lumOff w14:val="5000"/>
              </w14:schemeClr>
            </w14:solidFill>
          </w14:textFill>
        </w:rPr>
        <w:t>）执行生效的基金份额持有人大会的决议；</w:t>
      </w:r>
    </w:p>
    <w:p w14:paraId="3E6BFCD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26</w:t>
      </w:r>
      <w:r>
        <w:rPr>
          <w:rFonts w:hint="eastAsia" w:asciiTheme="minorEastAsia" w:hAnsiTheme="minorEastAsia"/>
          <w:color w:val="0D0D0D" w:themeColor="text1" w:themeTint="F2"/>
          <w14:textFill>
            <w14:solidFill>
              <w14:schemeClr w14:val="tx1">
                <w14:lumMod w14:val="95000"/>
                <w14:lumOff w14:val="5000"/>
              </w14:schemeClr>
            </w14:solidFill>
          </w14:textFill>
        </w:rPr>
        <w:t>）建立并保存基金份额持有人名册；</w:t>
      </w:r>
    </w:p>
    <w:p w14:paraId="0A0A24CD">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27</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）法律法规及中国证监会规定的和《基金合同》约定的其他义务。</w:t>
      </w:r>
    </w:p>
    <w:p w14:paraId="3B4C0606">
      <w:pPr>
        <w:adjustRightInd w:val="0"/>
        <w:snapToGrid w:val="0"/>
        <w:spacing w:line="360" w:lineRule="auto"/>
        <w:ind w:firstLine="420" w:firstLineChars="200"/>
        <w:rPr>
          <w:rFonts w:ascii="宋体" w:hAnsi="宋体" w:cs="Arial"/>
          <w:bCs/>
          <w:kern w:val="0"/>
          <w:szCs w:val="21"/>
        </w:rPr>
      </w:pPr>
      <w:r>
        <w:rPr>
          <w:rFonts w:hint="eastAsia" w:ascii="宋体" w:hAnsi="宋体" w:cs="Arial"/>
          <w:bCs/>
          <w:kern w:val="0"/>
          <w:szCs w:val="21"/>
        </w:rPr>
        <w:t>（三）</w:t>
      </w:r>
      <w:r>
        <w:rPr>
          <w:rFonts w:hint="eastAsia" w:ascii="宋体" w:hAnsi="宋体" w:cs="Arial"/>
          <w:bCs/>
          <w:kern w:val="0"/>
          <w:szCs w:val="21"/>
        </w:rPr>
        <w:tab/>
      </w:r>
      <w:r>
        <w:rPr>
          <w:rFonts w:hint="eastAsia" w:ascii="宋体" w:hAnsi="宋体" w:cs="Arial"/>
          <w:bCs/>
          <w:kern w:val="0"/>
          <w:szCs w:val="21"/>
        </w:rPr>
        <w:t>基金托管人的权利与义务</w:t>
      </w:r>
    </w:p>
    <w:p w14:paraId="25739C4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、根据《基金法》、《运作办法》及其他有关规定，基金托管人的权利包括但不限于：</w:t>
      </w:r>
    </w:p>
    <w:p w14:paraId="4DA585B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）自《基金合同》生效之日起，依法律法规和《基金合同》的规定安全保管基金财产；</w:t>
      </w:r>
    </w:p>
    <w:p w14:paraId="75832A5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）依《基金合同》约定获得基金托管费以及法律法规规定或监管部门批准的其他费用；</w:t>
      </w:r>
    </w:p>
    <w:p w14:paraId="74709A9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604F0F3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）根据相关市场规则，为基金开设</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资金账户、</w:t>
      </w:r>
      <w:r>
        <w:rPr>
          <w:rFonts w:hint="eastAsia" w:asciiTheme="minorEastAsia" w:hAnsiTheme="minorEastAsia"/>
          <w:color w:val="0D0D0D" w:themeColor="text1" w:themeTint="F2"/>
          <w14:textFill>
            <w14:solidFill>
              <w14:schemeClr w14:val="tx1">
                <w14:lumMod w14:val="95000"/>
                <w14:lumOff w14:val="5000"/>
              </w14:schemeClr>
            </w14:solidFill>
          </w14:textFill>
        </w:rPr>
        <w:t>证券账户等投资所需账户</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为基金办理证券交易资金清算</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w:t>
      </w:r>
    </w:p>
    <w:p w14:paraId="4E7ACDC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）提议召开或召集基金份额持有人大会；</w:t>
      </w:r>
    </w:p>
    <w:p w14:paraId="2B8CCEC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）在基金管理人更换时，提名新的基金管理人；</w:t>
      </w:r>
    </w:p>
    <w:p w14:paraId="0317583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）法律法规及中国证监会规定的和《基金合同》约定的其他权利。</w:t>
      </w:r>
    </w:p>
    <w:p w14:paraId="31A9F92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、根据《基金法》、《运作办法》及其他有关规定，基金托管人的义务包括但不限于：</w:t>
      </w:r>
    </w:p>
    <w:p w14:paraId="28EF349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）以诚实信用、勤勉尽责的原则持有并安全保管基金财产；</w:t>
      </w:r>
    </w:p>
    <w:p w14:paraId="208B63A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）设立专门的基金托管部门，具有符合要求的营业场所，配备足够的、合格的熟悉基金托管业务的专职人员，负责基金财产托管事宜；</w:t>
      </w:r>
    </w:p>
    <w:p w14:paraId="3D0E1ED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0657784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）除依据《基金法》、《基金合同》及其他有关规定外，不得利用基金财产为自己及任何第三人谋取利益，不得委托第三人托管基金财产；</w:t>
      </w:r>
    </w:p>
    <w:p w14:paraId="366C68F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）保管由基金管理人代表基金签订的与基金有关的重大合同及有关凭证；</w:t>
      </w:r>
    </w:p>
    <w:p w14:paraId="0C79143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）按规定开设基金财产的资金账户和证券账户等投资所需账户</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按照《基金合同》的约定，根据基金管理人的投资指令，及时办理清算、交割事宜；</w:t>
      </w:r>
    </w:p>
    <w:p w14:paraId="234E395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）保守基金商业秘密，除《基金法》、《基金合同》及其他有关规定另有规定外，在基金信息公开披露前予以保密，不得向他人泄露，向审计、法律等外部专业顾问提供的情况除外；</w:t>
      </w:r>
    </w:p>
    <w:p w14:paraId="6170789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）复核、审查基金管理人计算的基金资产净值、基金份额净值、基金份额申购、赎回</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对价</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2E12AB5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9</w:t>
      </w:r>
      <w:r>
        <w:rPr>
          <w:rFonts w:hint="eastAsia" w:asciiTheme="minorEastAsia" w:hAnsiTheme="minorEastAsia"/>
          <w:color w:val="0D0D0D" w:themeColor="text1" w:themeTint="F2"/>
          <w14:textFill>
            <w14:solidFill>
              <w14:schemeClr w14:val="tx1">
                <w14:lumMod w14:val="95000"/>
                <w14:lumOff w14:val="5000"/>
              </w14:schemeClr>
            </w14:solidFill>
          </w14:textFill>
        </w:rPr>
        <w:t>）办理与基金托管业务活动有关的信息披露事项；</w:t>
      </w:r>
    </w:p>
    <w:p w14:paraId="12899CC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0D98A35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11</w:t>
      </w:r>
      <w:r>
        <w:rPr>
          <w:rFonts w:hint="eastAsia" w:asciiTheme="minorEastAsia" w:hAnsiTheme="minorEastAsia"/>
          <w:color w:val="0D0D0D" w:themeColor="text1" w:themeTint="F2"/>
          <w14:textFill>
            <w14:solidFill>
              <w14:schemeClr w14:val="tx1">
                <w14:lumMod w14:val="95000"/>
                <w14:lumOff w14:val="5000"/>
              </w14:schemeClr>
            </w14:solidFill>
          </w14:textFill>
        </w:rPr>
        <w:t>）保存基金托管业务活动的记录、账册、报表和其他相关资料20年以上，法律法规或监管规则另有规定的从其规定；</w:t>
      </w:r>
    </w:p>
    <w:p w14:paraId="51820B2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12</w:t>
      </w:r>
      <w:r>
        <w:rPr>
          <w:rFonts w:hint="eastAsia" w:asciiTheme="minorEastAsia" w:hAnsiTheme="minorEastAsia"/>
          <w:color w:val="0D0D0D" w:themeColor="text1" w:themeTint="F2"/>
          <w14:textFill>
            <w14:solidFill>
              <w14:schemeClr w14:val="tx1">
                <w14:lumMod w14:val="95000"/>
                <w14:lumOff w14:val="5000"/>
              </w14:schemeClr>
            </w14:solidFill>
          </w14:textFill>
        </w:rPr>
        <w:t>）从基金管理人或其委托的登记机构处接收并保存基金份额持有人名册；</w:t>
      </w:r>
    </w:p>
    <w:p w14:paraId="0B35626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13</w:t>
      </w:r>
      <w:r>
        <w:rPr>
          <w:rFonts w:hint="eastAsia" w:asciiTheme="minorEastAsia" w:hAnsiTheme="minorEastAsia"/>
          <w:color w:val="0D0D0D" w:themeColor="text1" w:themeTint="F2"/>
          <w14:textFill>
            <w14:solidFill>
              <w14:schemeClr w14:val="tx1">
                <w14:lumMod w14:val="95000"/>
                <w14:lumOff w14:val="5000"/>
              </w14:schemeClr>
            </w14:solidFill>
          </w14:textFill>
        </w:rPr>
        <w:t>）按规定制作相关账册并与基金管理人核对；</w:t>
      </w:r>
    </w:p>
    <w:p w14:paraId="66E38A3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14</w:t>
      </w:r>
      <w:r>
        <w:rPr>
          <w:rFonts w:hint="eastAsia" w:asciiTheme="minorEastAsia" w:hAnsiTheme="minorEastAsia"/>
          <w:color w:val="0D0D0D" w:themeColor="text1" w:themeTint="F2"/>
          <w14:textFill>
            <w14:solidFill>
              <w14:schemeClr w14:val="tx1">
                <w14:lumMod w14:val="95000"/>
                <w14:lumOff w14:val="5000"/>
              </w14:schemeClr>
            </w14:solidFill>
          </w14:textFill>
        </w:rPr>
        <w:t>）依据基金管理人的指令或有关规定向基金份额持有人支付基金收益和赎回</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对价的现金部分</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0D37EC1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15</w:t>
      </w:r>
      <w:r>
        <w:rPr>
          <w:rFonts w:hint="eastAsia" w:asciiTheme="minorEastAsia" w:hAnsiTheme="minorEastAsia"/>
          <w:color w:val="0D0D0D" w:themeColor="text1" w:themeTint="F2"/>
          <w14:textFill>
            <w14:solidFill>
              <w14:schemeClr w14:val="tx1">
                <w14:lumMod w14:val="95000"/>
                <w14:lumOff w14:val="5000"/>
              </w14:schemeClr>
            </w14:solidFill>
          </w14:textFill>
        </w:rPr>
        <w:t>）依据《基金法》、《基金合同》及其他有关规定，召集基金份额持有人大会或配合基金</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管理人、</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w:t>
      </w:r>
      <w:r>
        <w:rPr>
          <w:rFonts w:hint="eastAsia" w:asciiTheme="minorEastAsia" w:hAnsiTheme="minorEastAsia"/>
          <w:color w:val="0D0D0D" w:themeColor="text1" w:themeTint="F2"/>
          <w14:textFill>
            <w14:solidFill>
              <w14:schemeClr w14:val="tx1">
                <w14:lumMod w14:val="95000"/>
                <w14:lumOff w14:val="5000"/>
              </w14:schemeClr>
            </w14:solidFill>
          </w14:textFill>
        </w:rPr>
        <w:t>份额持有人依法召集基金份额持有人大会；</w:t>
      </w:r>
    </w:p>
    <w:p w14:paraId="6C24C98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16</w:t>
      </w:r>
      <w:r>
        <w:rPr>
          <w:rFonts w:hint="eastAsia" w:asciiTheme="minorEastAsia" w:hAnsiTheme="minorEastAsia"/>
          <w:color w:val="0D0D0D" w:themeColor="text1" w:themeTint="F2"/>
          <w14:textFill>
            <w14:solidFill>
              <w14:schemeClr w14:val="tx1">
                <w14:lumMod w14:val="95000"/>
                <w14:lumOff w14:val="5000"/>
              </w14:schemeClr>
            </w14:solidFill>
          </w14:textFill>
        </w:rPr>
        <w:t>）按照法律法规和《基金合同》和托管协议的规定监督基金管理人的投资运作；</w:t>
      </w:r>
    </w:p>
    <w:p w14:paraId="71DED0A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17</w:t>
      </w:r>
      <w:r>
        <w:rPr>
          <w:rFonts w:hint="eastAsia" w:asciiTheme="minorEastAsia" w:hAnsiTheme="minorEastAsia"/>
          <w:color w:val="0D0D0D" w:themeColor="text1" w:themeTint="F2"/>
          <w14:textFill>
            <w14:solidFill>
              <w14:schemeClr w14:val="tx1">
                <w14:lumMod w14:val="95000"/>
                <w14:lumOff w14:val="5000"/>
              </w14:schemeClr>
            </w14:solidFill>
          </w14:textFill>
        </w:rPr>
        <w:t>）参加基金财产清算小组，参与基金财产的保管、清理、估价、变现和分配；</w:t>
      </w:r>
    </w:p>
    <w:p w14:paraId="1702DC7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18</w:t>
      </w:r>
      <w:r>
        <w:rPr>
          <w:rFonts w:hint="eastAsia" w:asciiTheme="minorEastAsia" w:hAnsiTheme="minorEastAsia"/>
          <w:color w:val="0D0D0D" w:themeColor="text1" w:themeTint="F2"/>
          <w14:textFill>
            <w14:solidFill>
              <w14:schemeClr w14:val="tx1">
                <w14:lumMod w14:val="95000"/>
                <w14:lumOff w14:val="5000"/>
              </w14:schemeClr>
            </w14:solidFill>
          </w14:textFill>
        </w:rPr>
        <w:t>）面临解散、依法被撤销或者被依法宣告破产时，及时报告中国证监会和银行业监督管理机构，并通知基金</w:t>
      </w:r>
      <w:r>
        <w:rPr>
          <w:rFonts w:hint="eastAsia" w:asciiTheme="minorEastAsia" w:hAnsiTheme="minorEastAsia"/>
          <w:color w:val="0D0D0D" w:themeColor="text1" w:themeTint="F2"/>
          <w:lang w:val="en-US" w:eastAsia="zh-CN"/>
          <w14:textFill>
            <w14:solidFill>
              <w14:schemeClr w14:val="tx1">
                <w14:lumMod w14:val="95000"/>
                <w14:lumOff w14:val="5000"/>
              </w14:schemeClr>
            </w14:solidFill>
          </w14:textFill>
        </w:rPr>
        <w:t>管理人</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30821DC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19</w:t>
      </w:r>
      <w:r>
        <w:rPr>
          <w:rFonts w:hint="eastAsia" w:asciiTheme="minorEastAsia" w:hAnsiTheme="minorEastAsia"/>
          <w:color w:val="0D0D0D" w:themeColor="text1" w:themeTint="F2"/>
          <w14:textFill>
            <w14:solidFill>
              <w14:schemeClr w14:val="tx1">
                <w14:lumMod w14:val="95000"/>
                <w14:lumOff w14:val="5000"/>
              </w14:schemeClr>
            </w14:solidFill>
          </w14:textFill>
        </w:rPr>
        <w:t>）因违反《基金合同》导致基金财产损失时，应承担赔偿责任，其赔偿责任不因其退任而免除；</w:t>
      </w:r>
    </w:p>
    <w:p w14:paraId="3304204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20</w:t>
      </w:r>
      <w:r>
        <w:rPr>
          <w:rFonts w:hint="eastAsia" w:asciiTheme="minorEastAsia" w:hAnsiTheme="minorEastAsia"/>
          <w:color w:val="0D0D0D" w:themeColor="text1" w:themeTint="F2"/>
          <w14:textFill>
            <w14:solidFill>
              <w14:schemeClr w14:val="tx1">
                <w14:lumMod w14:val="95000"/>
                <w14:lumOff w14:val="5000"/>
              </w14:schemeClr>
            </w14:solidFill>
          </w14:textFill>
        </w:rPr>
        <w:t>）按规定监督基金管理人按法律法规和《基金合同》规定履行自己的义务，基金管理人因违反《基金合同》造成基金财产损失时，应为基金份额持有人利益向基金管理人追偿</w:t>
      </w:r>
      <w:bookmarkStart w:id="128" w:name="_Hlt88825668"/>
      <w:bookmarkEnd w:id="128"/>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4BADA19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21</w:t>
      </w:r>
      <w:r>
        <w:rPr>
          <w:rFonts w:hint="eastAsia" w:asciiTheme="minorEastAsia" w:hAnsiTheme="minorEastAsia"/>
          <w:color w:val="0D0D0D" w:themeColor="text1" w:themeTint="F2"/>
          <w14:textFill>
            <w14:solidFill>
              <w14:schemeClr w14:val="tx1">
                <w14:lumMod w14:val="95000"/>
                <w14:lumOff w14:val="5000"/>
              </w14:schemeClr>
            </w14:solidFill>
          </w14:textFill>
        </w:rPr>
        <w:t>）执行生效的基金份额持有人大会的</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决议</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7EC41173">
      <w:pPr>
        <w:adjustRightInd w:val="0"/>
        <w:snapToGrid w:val="0"/>
        <w:spacing w:line="360" w:lineRule="auto"/>
        <w:ind w:firstLine="420" w:firstLineChars="200"/>
        <w:rPr>
          <w:rFonts w:ascii="宋体" w:hAnsi="宋体" w:cs="Arial"/>
          <w:bCs/>
          <w:kern w:val="0"/>
          <w:szCs w:val="21"/>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22</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）法律法规及中国证监会规定的和《基金合同》约定的其他义务。</w:t>
      </w:r>
    </w:p>
    <w:p w14:paraId="10C30875">
      <w:pPr>
        <w:adjustRightInd w:val="0"/>
        <w:snapToGrid w:val="0"/>
        <w:spacing w:line="360" w:lineRule="auto"/>
        <w:ind w:firstLine="422" w:firstLineChars="200"/>
        <w:rPr>
          <w:rFonts w:ascii="宋体" w:hAnsi="宋体" w:cs="Arial"/>
          <w:b/>
          <w:bCs/>
          <w:kern w:val="0"/>
          <w:szCs w:val="21"/>
        </w:rPr>
      </w:pPr>
      <w:r>
        <w:rPr>
          <w:rFonts w:hint="eastAsia" w:ascii="宋体" w:hAnsi="宋体" w:cs="Arial"/>
          <w:b/>
          <w:bCs/>
          <w:kern w:val="0"/>
          <w:szCs w:val="21"/>
        </w:rPr>
        <w:t>二、基金份额持有人大会召集、议事及表决的程序和规则</w:t>
      </w:r>
    </w:p>
    <w:p w14:paraId="5C7A151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基金份额持有人大会由基金份额持有人组成，基金份额持有人的合法授权代表有权代表基金份额持有人出席会议并表决。基金份额持有人持有的每一基金份额拥有平等的投票权。</w:t>
      </w:r>
    </w:p>
    <w:p w14:paraId="597F9CB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bookmarkStart w:id="129" w:name="_Toc57530243"/>
      <w:bookmarkStart w:id="130" w:name="_Toc15641220"/>
      <w:bookmarkStart w:id="131" w:name="_Toc79392584"/>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若以本基金为目标E</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TF</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且基金管理人和基金托管人与本基金基金管理人和基金托管人一致的联接基金的基金合同生效，鉴于本基金和联接基金的相关性，联接基金的基金份额持有人可以凭所持有的联接基金的基金份额直接出席本基金的基金份额持有人大会或者委派代表出席本基金的基金份额持有人大会并参与表决。在计算参会份额和票数时，联接基金基金份额持有人持有的享有表决权的参会份额数和表决票数为：在本基金基金份额持有人大会的权益登记日，联接基金持有本基金份额的总数乘以该持有人所持有的联接基金份额占联接基金总份额的比例，计算结果按照四舍五入的方法，保留到整数位。联接基金折算为本基金后的每一参会份额和本基金的每一参会份额拥有平等的投票权。</w:t>
      </w:r>
    </w:p>
    <w:p w14:paraId="48F05EFB">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联接基金的基金管理人不应以联接基金的名义代表联接基金的全体基金份额持有人以本基金的基金份额持有人的身份行使表决权，但可接受联接基金的特定基金份额持有人的委托以联接基金的基金份额持有人代理人的身份出席本基金的基金份额持有人大会并参与表决。</w:t>
      </w:r>
    </w:p>
    <w:p w14:paraId="0A18E018">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联接基金的基金管理人代表联接基金的基金份额持有人提议召开或召集本基金份额持有人大会的，须先遵照联接基金基金合同的约定召开联接基金的基金份额持有人大会，联接基金的基金份额持有人大会决定提议召开或召集本基金份额持有人大会的，由联接基金的基金管理人代表联接基金的基金份额持有人提议召开或召集本基金份额持有人大会。</w:t>
      </w:r>
    </w:p>
    <w:p w14:paraId="25DA4921">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本基金份额持有人大会不设日常机构。</w:t>
      </w:r>
    </w:p>
    <w:p w14:paraId="26942D1C">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法律法规或监管机构对基金份额持有人大会另有规定的，从其规定。</w:t>
      </w:r>
    </w:p>
    <w:p w14:paraId="1F92CB6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（一）召开事由</w:t>
      </w:r>
      <w:bookmarkEnd w:id="129"/>
      <w:bookmarkEnd w:id="130"/>
      <w:bookmarkEnd w:id="131"/>
    </w:p>
    <w:p w14:paraId="20744F0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除法律法规、中国证监会和基金合同另有规定外，</w:t>
      </w:r>
      <w:r>
        <w:rPr>
          <w:rFonts w:hint="eastAsia" w:asciiTheme="minorEastAsia" w:hAnsiTheme="minorEastAsia"/>
          <w:color w:val="0D0D0D" w:themeColor="text1" w:themeTint="F2"/>
          <w14:textFill>
            <w14:solidFill>
              <w14:schemeClr w14:val="tx1">
                <w14:lumMod w14:val="95000"/>
                <w14:lumOff w14:val="5000"/>
              </w14:schemeClr>
            </w14:solidFill>
          </w14:textFill>
        </w:rPr>
        <w:t>当出现或需要决定下列事由之一的，应当召开基金份额持有人大会：</w:t>
      </w:r>
    </w:p>
    <w:p w14:paraId="3F2D4F9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）终止《基金合同》；</w:t>
      </w:r>
    </w:p>
    <w:p w14:paraId="19A8DC5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）更换基金管理人；</w:t>
      </w:r>
    </w:p>
    <w:p w14:paraId="3063A06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）更换基金托管人；</w:t>
      </w:r>
    </w:p>
    <w:p w14:paraId="5C71441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）转换基金运作方式；</w:t>
      </w:r>
    </w:p>
    <w:p w14:paraId="6B768B1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调整</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基金管理人、基金托管人的报酬标准；</w:t>
      </w:r>
    </w:p>
    <w:p w14:paraId="3B8E427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）变更基金类别；</w:t>
      </w:r>
    </w:p>
    <w:p w14:paraId="507F211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）本基金与其他基金的合并；</w:t>
      </w:r>
    </w:p>
    <w:p w14:paraId="5BCC3AB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）变更基金投资目标、范围或策略；</w:t>
      </w:r>
    </w:p>
    <w:p w14:paraId="0DA5B91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9</w:t>
      </w:r>
      <w:r>
        <w:rPr>
          <w:rFonts w:hint="eastAsia" w:asciiTheme="minorEastAsia" w:hAnsiTheme="minorEastAsia"/>
          <w:color w:val="0D0D0D" w:themeColor="text1" w:themeTint="F2"/>
          <w14:textFill>
            <w14:solidFill>
              <w14:schemeClr w14:val="tx1">
                <w14:lumMod w14:val="95000"/>
                <w14:lumOff w14:val="5000"/>
              </w14:schemeClr>
            </w14:solidFill>
          </w14:textFill>
        </w:rPr>
        <w:t>）变更基金份额持有人大会程序；</w:t>
      </w:r>
    </w:p>
    <w:p w14:paraId="35E29D3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）基金管理人或基金托管人要求召开基金份额持有人大会；</w:t>
      </w:r>
    </w:p>
    <w:p w14:paraId="3FB3C7E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11</w:t>
      </w:r>
      <w:r>
        <w:rPr>
          <w:rFonts w:hint="eastAsia" w:asciiTheme="minorEastAsia" w:hAnsiTheme="minorEastAsia"/>
          <w:color w:val="0D0D0D" w:themeColor="text1" w:themeTint="F2"/>
          <w14:textFill>
            <w14:solidFill>
              <w14:schemeClr w14:val="tx1">
                <w14:lumMod w14:val="95000"/>
                <w14:lumOff w14:val="5000"/>
              </w14:schemeClr>
            </w14:solidFill>
          </w14:textFill>
        </w:rPr>
        <w:t>）单独或合计持有本基金总份额</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以上（含</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）基金份额的基金份额持有人（以基金管理人收到提议当日的基金份额计算，下同）就同一事项书面要求召开基金份额持有人大会；</w:t>
      </w:r>
    </w:p>
    <w:p w14:paraId="2A19270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12</w:t>
      </w:r>
      <w:r>
        <w:rPr>
          <w:rFonts w:hint="eastAsia" w:asciiTheme="minorEastAsia" w:hAnsiTheme="minorEastAsia"/>
          <w:color w:val="0D0D0D" w:themeColor="text1" w:themeTint="F2"/>
          <w14:textFill>
            <w14:solidFill>
              <w14:schemeClr w14:val="tx1">
                <w14:lumMod w14:val="95000"/>
                <w14:lumOff w14:val="5000"/>
              </w14:schemeClr>
            </w14:solidFill>
          </w14:textFill>
        </w:rPr>
        <w:t>）对基金</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合同</w:t>
      </w:r>
      <w:r>
        <w:rPr>
          <w:rFonts w:hint="eastAsia" w:asciiTheme="minorEastAsia" w:hAnsiTheme="minorEastAsia"/>
          <w:color w:val="0D0D0D" w:themeColor="text1" w:themeTint="F2"/>
          <w14:textFill>
            <w14:solidFill>
              <w14:schemeClr w14:val="tx1">
                <w14:lumMod w14:val="95000"/>
                <w14:lumOff w14:val="5000"/>
              </w14:schemeClr>
            </w14:solidFill>
          </w14:textFill>
        </w:rPr>
        <w:t>当事人权利和义务产生重大影响的其他事项；</w:t>
      </w:r>
    </w:p>
    <w:p w14:paraId="77191D24">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（13）终止基金上市，但因基金不再具备上市条件而被上海证券交易所终止上市的除外；</w:t>
      </w:r>
    </w:p>
    <w:p w14:paraId="3FDED5A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（14</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）法律法规、《基金合同》或中国证监会规定的其他应当召开基金份额持有人大会的事项。</w:t>
      </w:r>
    </w:p>
    <w:p w14:paraId="2544E19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、在法律法规规定和《基金合同》约定的范围内且对基金份额持有人利益无实质性不利影响的前提下，以下情况可由基金管理人和基金托管人协商后修改，不需召开基金份额持有人大会：</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 xml:space="preserve"> </w:t>
      </w:r>
    </w:p>
    <w:p w14:paraId="52E61E4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）法律法规要求增加的基金费用的收取；</w:t>
      </w:r>
    </w:p>
    <w:p w14:paraId="208D32A4">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调整本基金的申购费率、变更收费方式或调整基金份额类别设置、对基金份额分类办法及规则进行调整；</w:t>
      </w:r>
    </w:p>
    <w:p w14:paraId="3FDC883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因相应的法律法规</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、上海证券交易所或者登记机构的相关业务规则</w:t>
      </w:r>
      <w:r>
        <w:rPr>
          <w:rFonts w:hint="eastAsia" w:asciiTheme="minorEastAsia" w:hAnsiTheme="minorEastAsia"/>
          <w:color w:val="0D0D0D" w:themeColor="text1" w:themeTint="F2"/>
          <w14:textFill>
            <w14:solidFill>
              <w14:schemeClr w14:val="tx1">
                <w14:lumMod w14:val="95000"/>
                <w14:lumOff w14:val="5000"/>
              </w14:schemeClr>
            </w14:solidFill>
          </w14:textFill>
        </w:rPr>
        <w:t>发生变动而应当对《基金合同》进行修改；</w:t>
      </w:r>
    </w:p>
    <w:p w14:paraId="739872F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）对《基金合同》的修改对基金份额持有人利益无实质性不利影响或修改不涉及《基金合同》当事人权利义务关系发生</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重大</w:t>
      </w:r>
      <w:r>
        <w:rPr>
          <w:rFonts w:hint="eastAsia" w:asciiTheme="minorEastAsia" w:hAnsiTheme="minorEastAsia"/>
          <w:color w:val="0D0D0D" w:themeColor="text1" w:themeTint="F2"/>
          <w14:textFill>
            <w14:solidFill>
              <w14:schemeClr w14:val="tx1">
                <w14:lumMod w14:val="95000"/>
                <w14:lumOff w14:val="5000"/>
              </w14:schemeClr>
            </w14:solidFill>
          </w14:textFill>
        </w:rPr>
        <w:t>变化；</w:t>
      </w:r>
    </w:p>
    <w:p w14:paraId="35E5AA59">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（5）基金管理人、相关证券交易所和登记机构等调整有关基金申购、赎回、交易、转托管、非交易过户等业务的规则；</w:t>
      </w:r>
    </w:p>
    <w:p w14:paraId="53A04CA9">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（6）经履行相关程序后，基金推出新业务或服务；</w:t>
      </w:r>
    </w:p>
    <w:p w14:paraId="4F0631DF">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（7）在不违反法律法规的情况下，本基金的联接基金采取其他方式参与本基金的申购赎回；</w:t>
      </w:r>
    </w:p>
    <w:p w14:paraId="68774513">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（8）调整基金的申购赎回方式及申购对价、赎回对价组成；调整申购赎回清单的内容，调整申购赎回清单计算和公告时间或频率；</w:t>
      </w:r>
    </w:p>
    <w:p w14:paraId="1376CED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（9）</w:t>
      </w:r>
      <w:r>
        <w:rPr>
          <w:rFonts w:hint="eastAsia" w:asciiTheme="minorEastAsia" w:hAnsiTheme="minorEastAsia"/>
          <w:color w:val="0D0D0D" w:themeColor="text1" w:themeTint="F2"/>
          <w14:textFill>
            <w14:solidFill>
              <w14:schemeClr w14:val="tx1">
                <w14:lumMod w14:val="95000"/>
                <w14:lumOff w14:val="5000"/>
              </w14:schemeClr>
            </w14:solidFill>
          </w14:textFill>
        </w:rPr>
        <w:t>按照法律法规和《基金合同》规定不需召开基金份额持有人大会的其他情形。</w:t>
      </w:r>
    </w:p>
    <w:p w14:paraId="46BE978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132" w:name="_Toc79392585"/>
      <w:bookmarkStart w:id="133" w:name="_Toc15641221"/>
      <w:bookmarkStart w:id="134" w:name="_Toc57530244"/>
      <w:r>
        <w:rPr>
          <w:rFonts w:hint="eastAsia" w:asciiTheme="minorEastAsia" w:hAnsiTheme="minorEastAsia"/>
          <w:color w:val="0D0D0D" w:themeColor="text1" w:themeTint="F2"/>
          <w14:textFill>
            <w14:solidFill>
              <w14:schemeClr w14:val="tx1">
                <w14:lumMod w14:val="95000"/>
                <w14:lumOff w14:val="5000"/>
              </w14:schemeClr>
            </w14:solidFill>
          </w14:textFill>
        </w:rPr>
        <w:t>（二）会议召集人及召集方式</w:t>
      </w:r>
      <w:bookmarkEnd w:id="132"/>
      <w:bookmarkEnd w:id="133"/>
      <w:bookmarkEnd w:id="134"/>
    </w:p>
    <w:p w14:paraId="6F123E2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135" w:name="_Toc15641222"/>
      <w:bookmarkStart w:id="136" w:name="_Toc57530245"/>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、除法律法规规定或《基金合同》另有约定外，基金份额持有人大会由基金管理人召集</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03EF6BA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、基金管理人未按规定召集或不能</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召集</w:t>
      </w:r>
      <w:r>
        <w:rPr>
          <w:rFonts w:hint="eastAsia" w:asciiTheme="minorEastAsia" w:hAnsiTheme="minorEastAsia"/>
          <w:color w:val="0D0D0D" w:themeColor="text1" w:themeTint="F2"/>
          <w14:textFill>
            <w14:solidFill>
              <w14:schemeClr w14:val="tx1">
                <w14:lumMod w14:val="95000"/>
                <w14:lumOff w14:val="5000"/>
              </w14:schemeClr>
            </w14:solidFill>
          </w14:textFill>
        </w:rPr>
        <w:t>时，由基金托管人召集</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152A124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、基金托管人认为有必要召开基金份额持有人大会的，应当向基金管理人提出书面提议。基金管理人应当自收到书面提议之日起</w:t>
      </w:r>
      <w:r>
        <w:rPr>
          <w:rFonts w:asciiTheme="minorEastAsia" w:hAnsiTheme="minorEastAsia"/>
          <w:color w:val="0D0D0D" w:themeColor="text1" w:themeTint="F2"/>
          <w14:textFill>
            <w14:solidFill>
              <w14:schemeClr w14:val="tx1">
                <w14:lumMod w14:val="95000"/>
                <w14:lumOff w14:val="5000"/>
              </w14:schemeClr>
            </w14:solidFill>
          </w14:textFill>
        </w:rPr>
        <w:t xml:space="preserve"> </w:t>
      </w:r>
      <w:r>
        <w:rPr>
          <w:rFonts w:hint="eastAsia" w:asciiTheme="minorEastAsia" w:hAnsiTheme="minorEastAsia"/>
          <w:color w:val="0D0D0D" w:themeColor="text1" w:themeTint="F2"/>
          <w14:textFill>
            <w14:solidFill>
              <w14:schemeClr w14:val="tx1">
                <w14:lumMod w14:val="95000"/>
                <w14:lumOff w14:val="5000"/>
              </w14:schemeClr>
            </w14:solidFill>
          </w14:textFill>
        </w:rPr>
        <w:t>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69AD452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w:t>
      </w:r>
      <w:r>
        <w:rPr>
          <w:rFonts w:asciiTheme="minorEastAsia" w:hAnsiTheme="minorEastAsia"/>
          <w:color w:val="0D0D0D" w:themeColor="text1" w:themeTint="F2"/>
          <w14:textFill>
            <w14:solidFill>
              <w14:schemeClr w14:val="tx1">
                <w14:lumMod w14:val="95000"/>
                <w14:lumOff w14:val="5000"/>
              </w14:schemeClr>
            </w14:solidFill>
          </w14:textFill>
        </w:rPr>
        <w:t>60</w:t>
      </w:r>
      <w:r>
        <w:rPr>
          <w:rFonts w:hint="eastAsia" w:asciiTheme="minorEastAsia" w:hAnsiTheme="minorEastAsia"/>
          <w:color w:val="0D0D0D" w:themeColor="text1" w:themeTint="F2"/>
          <w14:textFill>
            <w14:solidFill>
              <w14:schemeClr w14:val="tx1">
                <w14:lumMod w14:val="95000"/>
                <w14:lumOff w14:val="5000"/>
              </w14:schemeClr>
            </w14:solidFill>
          </w14:textFill>
        </w:rPr>
        <w:t>日内召开并告知基金管理人，基金管理人应当配合。</w:t>
      </w:r>
    </w:p>
    <w:p w14:paraId="27C3098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代表基金份额10%以上（含10%）的基金份额持有人就同一事项要求召开基金份额持有人大会，而基金管理人、基金托管人都不召集的，单独或合计代表基金份额10%以上（含10%）的基金份额持有人有权自行召集，并至少提前</w:t>
      </w:r>
      <w:r>
        <w:rPr>
          <w:rFonts w:asciiTheme="minorEastAsia" w:hAnsiTheme="minorEastAsia"/>
          <w:color w:val="0D0D0D" w:themeColor="text1" w:themeTint="F2"/>
          <w14:textFill>
            <w14:solidFill>
              <w14:schemeClr w14:val="tx1">
                <w14:lumMod w14:val="95000"/>
                <w14:lumOff w14:val="5000"/>
              </w14:schemeClr>
            </w14:solidFill>
          </w14:textFill>
        </w:rPr>
        <w:t>30</w:t>
      </w:r>
      <w:r>
        <w:rPr>
          <w:rFonts w:hint="eastAsia" w:asciiTheme="minorEastAsia" w:hAnsiTheme="minorEastAsia"/>
          <w:color w:val="0D0D0D" w:themeColor="text1" w:themeTint="F2"/>
          <w14:textFill>
            <w14:solidFill>
              <w14:schemeClr w14:val="tx1">
                <w14:lumMod w14:val="95000"/>
                <w14:lumOff w14:val="5000"/>
              </w14:schemeClr>
            </w14:solidFill>
          </w14:textFill>
        </w:rPr>
        <w:t>日报中国证监会备案。基金份额持有人依法自行召集基金份额持有人大会的，基金管理人、基金托管人应当配合，不得阻碍、干扰。</w:t>
      </w:r>
    </w:p>
    <w:p w14:paraId="5C6CC94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、基金份额持有人会议的召集人负责选择确定开会时间、地点、方式和权益登记日。</w:t>
      </w:r>
    </w:p>
    <w:p w14:paraId="5D6320C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137" w:name="_Toc79392586"/>
      <w:r>
        <w:rPr>
          <w:rFonts w:hint="eastAsia" w:asciiTheme="minorEastAsia" w:hAnsiTheme="minorEastAsia"/>
          <w:color w:val="0D0D0D" w:themeColor="text1" w:themeTint="F2"/>
          <w14:textFill>
            <w14:solidFill>
              <w14:schemeClr w14:val="tx1">
                <w14:lumMod w14:val="95000"/>
                <w14:lumOff w14:val="5000"/>
              </w14:schemeClr>
            </w14:solidFill>
          </w14:textFill>
        </w:rPr>
        <w:t>（三）召开基金份额持有人大会的通知时间、通知内容、通知方式</w:t>
      </w:r>
      <w:bookmarkEnd w:id="135"/>
      <w:bookmarkEnd w:id="136"/>
      <w:bookmarkEnd w:id="137"/>
    </w:p>
    <w:p w14:paraId="29058E1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、召开基金份额持有人大会，召集人应于会议召开前30日，在规定媒介公告。基金份额持有人大会通知应至少载明以下内容：</w:t>
      </w:r>
    </w:p>
    <w:p w14:paraId="4122A29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）会议召开的时间、地点和会议形式；</w:t>
      </w:r>
    </w:p>
    <w:p w14:paraId="0733313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）会议拟审议的事项、议事程序和表决方式；</w:t>
      </w:r>
    </w:p>
    <w:p w14:paraId="35B4750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）有权出席基金份额持有人大会的基金份额持有人的权益登记日；</w:t>
      </w:r>
    </w:p>
    <w:p w14:paraId="6FE4170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）授权委托证明的内容要求（包括但不限于代理人身份，代理权限和代理有效期限等）、送达时间和地点</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6CC868D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）会务常设联系人姓名及联系电话；</w:t>
      </w:r>
    </w:p>
    <w:p w14:paraId="72994B0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）出席会议者必须准备的文件和必须履行的手续；</w:t>
      </w:r>
    </w:p>
    <w:p w14:paraId="79B97D1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）召集人需要通知的其他事项。</w:t>
      </w:r>
    </w:p>
    <w:p w14:paraId="4ABDB35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1A776F8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3299BE2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138" w:name="_Toc57530246"/>
      <w:bookmarkStart w:id="139" w:name="_Toc79392587"/>
      <w:bookmarkStart w:id="140" w:name="_Toc15641223"/>
      <w:r>
        <w:rPr>
          <w:rFonts w:hint="eastAsia" w:asciiTheme="minorEastAsia" w:hAnsiTheme="minorEastAsia"/>
          <w:color w:val="0D0D0D" w:themeColor="text1" w:themeTint="F2"/>
          <w14:textFill>
            <w14:solidFill>
              <w14:schemeClr w14:val="tx1">
                <w14:lumMod w14:val="95000"/>
                <w14:lumOff w14:val="5000"/>
              </w14:schemeClr>
            </w14:solidFill>
          </w14:textFill>
        </w:rPr>
        <w:t>（四）基金份额持有人出席会议的方式</w:t>
      </w:r>
      <w:bookmarkEnd w:id="138"/>
      <w:bookmarkEnd w:id="139"/>
      <w:bookmarkEnd w:id="140"/>
    </w:p>
    <w:p w14:paraId="054D4DA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基金份额持有人大会可通过现场开会方式、通讯开会方式或法律法规、监管机构允许的其他方式召开，会议的召开方式由会议召集人确定。</w:t>
      </w:r>
    </w:p>
    <w:p w14:paraId="0C46152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74F7781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7B91513E">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）经核对，汇总到会者出示的在权益登记日持有基金份额的凭证显示，有效的基金份额不少于本基金在权益登记日基金总份额的二分之一（含二分之一）。</w:t>
      </w:r>
    </w:p>
    <w:p w14:paraId="169C7D3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07D2DF6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14:paraId="061F807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在同时符合以下条件时，通讯开会的方式视为有效：</w:t>
      </w:r>
    </w:p>
    <w:p w14:paraId="3D5FA09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）会议召集人按《基金合同》约定公布会议通知后，在</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 xml:space="preserve"> </w:t>
      </w:r>
      <w:r>
        <w:rPr>
          <w:rFonts w:hint="eastAsia" w:asciiTheme="minorEastAsia" w:hAnsiTheme="minorEastAsia"/>
          <w:color w:val="0D0D0D" w:themeColor="text1" w:themeTint="F2"/>
          <w14:textFill>
            <w14:solidFill>
              <w14:schemeClr w14:val="tx1">
                <w14:lumMod w14:val="95000"/>
                <w14:lumOff w14:val="5000"/>
              </w14:schemeClr>
            </w14:solidFill>
          </w14:textFill>
        </w:rPr>
        <w:t>2个工作日内连续公布相关提示性公告；</w:t>
      </w:r>
    </w:p>
    <w:p w14:paraId="5A1965C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39E96C82">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）本人直接出具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意见或授权他人代表出具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意见的，基金份额持有人所持有的基金份额不小于在权益登记日基金总份额的二分之一（含二分之一）；</w:t>
      </w:r>
    </w:p>
    <w:p w14:paraId="6574212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若本人直接出具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意见或授权他人代表出具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意见或授权他人代表出具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w:t>
      </w:r>
    </w:p>
    <w:p w14:paraId="4D942F0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）上述第（</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）项中直接出具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意见的基金份额持有人或受托代表他人出具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意见的代理人，同时提交的持有基金份额的凭证、受托出具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意见的代理人出具的委托人持有基金份额的凭证及委托人的代理投票授权委托证明符合法律法规、《基金合同》和会议通知的规定，并与基金登记机构记录相符</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1BEDD435">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 xml:space="preserve"> </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3、在不违反法律法规或监管机构规定的情况下，经会议通知载明，本基金亦可采用网络、电话等其他非现场方式或者以非现场方式与现场方式结合的方式召开基金份额持有人大会，基金份额持有人可以采用书面、网络、电话、短信或其他方式进行表决，或者采用网络、电话或其他方式授权他人代为出席会议并表决，会议程序比照现场开会和通讯方式开会的程序进行。</w:t>
      </w:r>
    </w:p>
    <w:p w14:paraId="1E42A3F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141" w:name="_Toc79392588"/>
      <w:bookmarkStart w:id="142" w:name="_Toc57530247"/>
      <w:bookmarkStart w:id="143" w:name="_Toc15641224"/>
      <w:r>
        <w:rPr>
          <w:rFonts w:hint="eastAsia" w:asciiTheme="minorEastAsia" w:hAnsiTheme="minorEastAsia"/>
          <w:color w:val="0D0D0D" w:themeColor="text1" w:themeTint="F2"/>
          <w14:textFill>
            <w14:solidFill>
              <w14:schemeClr w14:val="tx1">
                <w14:lumMod w14:val="95000"/>
                <w14:lumOff w14:val="5000"/>
              </w14:schemeClr>
            </w14:solidFill>
          </w14:textFill>
        </w:rPr>
        <w:t>（五）议事内容与程序</w:t>
      </w:r>
      <w:bookmarkEnd w:id="141"/>
      <w:bookmarkEnd w:id="142"/>
      <w:bookmarkEnd w:id="143"/>
    </w:p>
    <w:p w14:paraId="2492AC4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、议事内容及提案权</w:t>
      </w:r>
    </w:p>
    <w:p w14:paraId="7942382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17BF1ED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基金份额持有人大会的召集人发出召集会议的通知后，对原有提案的修改应当在基金份额持有人大会召开前及时公告。</w:t>
      </w:r>
    </w:p>
    <w:p w14:paraId="17D1D38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基金份额持有人大会不得对未事先公告的议事内容进行表决。</w:t>
      </w:r>
    </w:p>
    <w:p w14:paraId="04FA889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、议事程序</w:t>
      </w:r>
    </w:p>
    <w:p w14:paraId="2C261D6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）现场开会</w:t>
      </w:r>
    </w:p>
    <w:p w14:paraId="45BE8B8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二分之一</w:t>
      </w:r>
      <w:r>
        <w:rPr>
          <w:rFonts w:hint="eastAsia" w:asciiTheme="minorEastAsia" w:hAnsiTheme="minorEastAsia"/>
          <w:color w:val="0D0D0D" w:themeColor="text1" w:themeTint="F2"/>
          <w14:textFill>
            <w14:solidFill>
              <w14:schemeClr w14:val="tx1">
                <w14:lumMod w14:val="95000"/>
                <w14:lumOff w14:val="5000"/>
              </w14:schemeClr>
            </w14:solidFill>
          </w14:textFill>
        </w:rPr>
        <w:t>以上（含</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二分之一</w:t>
      </w:r>
      <w:r>
        <w:rPr>
          <w:rFonts w:hint="eastAsia" w:asciiTheme="minorEastAsia" w:hAnsiTheme="minorEastAsia"/>
          <w:color w:val="0D0D0D" w:themeColor="text1" w:themeTint="F2"/>
          <w14:textFill>
            <w14:solidFill>
              <w14:schemeClr w14:val="tx1">
                <w14:lumMod w14:val="95000"/>
                <w14:lumOff w14:val="5000"/>
              </w14:schemeClr>
            </w14:solidFill>
          </w14:textFill>
        </w:rPr>
        <w:t>）选举产生一名基金份额持有人作为该次基金份额持有人大会的主持人。基金管理人和基金托管人拒不出席或主持基金份额持有人大会，不影响基金份额持有人大会作出的决议的效力。</w:t>
      </w:r>
    </w:p>
    <w:p w14:paraId="281890D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会议召集人应当制作出席会议人员的签名册。签名册载明参加会议人员姓名（或单位名称）、身份证明文件号码、持有或代表有表决权的基金份额、委托人姓名（或单位名称）和联系方式等事项。</w:t>
      </w:r>
    </w:p>
    <w:p w14:paraId="6C4978E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）通讯开会</w:t>
      </w:r>
    </w:p>
    <w:p w14:paraId="126187B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在通讯开会的情况下，首先由召集人提前30日公布提案，在所通知的表决截止日期后2个工作日内在公证机关监督下由召集人统计全部有效表决，在公证机关监督下形成决议。</w:t>
      </w:r>
    </w:p>
    <w:p w14:paraId="6A0FF3A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144" w:name="_Toc57530248"/>
      <w:bookmarkStart w:id="145" w:name="_Toc15641225"/>
      <w:bookmarkStart w:id="146" w:name="_Toc79392589"/>
      <w:r>
        <w:rPr>
          <w:rFonts w:hint="eastAsia" w:asciiTheme="minorEastAsia" w:hAnsiTheme="minorEastAsia"/>
          <w:color w:val="0D0D0D" w:themeColor="text1" w:themeTint="F2"/>
          <w14:textFill>
            <w14:solidFill>
              <w14:schemeClr w14:val="tx1">
                <w14:lumMod w14:val="95000"/>
                <w14:lumOff w14:val="5000"/>
              </w14:schemeClr>
            </w14:solidFill>
          </w14:textFill>
        </w:rPr>
        <w:t>（六）表决</w:t>
      </w:r>
      <w:bookmarkEnd w:id="144"/>
      <w:bookmarkEnd w:id="145"/>
      <w:bookmarkEnd w:id="146"/>
    </w:p>
    <w:p w14:paraId="1F452F3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基金份额持有人所持每份基金份额有一票表决权。</w:t>
      </w:r>
    </w:p>
    <w:p w14:paraId="10199E5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基金份额持有人大会决议分为一般决议和特别决议：</w:t>
      </w:r>
    </w:p>
    <w:p w14:paraId="40C74FF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、一般决议，一般决议须经参加大会的基金份额持有人或其代理人所持表决权的二分之一以上（含二分之一）通过方为有效；除下列第</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项所规定的须以特别决议通过事项以外的其他事项均以一般决议的方式通过。</w:t>
      </w:r>
    </w:p>
    <w:p w14:paraId="72FE917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特别决议，特别决议应当经参加大会的基金份额持有人或其代理人所持表决权的三分之二以上（含三分之二）通过方可做出。除法律法规、监管机构或基金合同另有约定外，转换基金运作方式、更换基金管理人或者基金托管人、终止《基金合同》、本基金与其他基金合并以特别决议通过方为有效。</w:t>
      </w:r>
    </w:p>
    <w:p w14:paraId="027A610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基金份额持有人大会采取记名方式进行投票表决。</w:t>
      </w:r>
    </w:p>
    <w:p w14:paraId="024E070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意见的基金份额持有人所代表的基金份额总数。</w:t>
      </w:r>
    </w:p>
    <w:p w14:paraId="71AB99A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基金份额持有人大会的各项提案或同一项提案内并列的各项议题应当分开审议、逐项表决。</w:t>
      </w:r>
    </w:p>
    <w:p w14:paraId="21BED17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在上述规则的前提下，具体规则以召集人发布的基金份额持有人大会通知为准。</w:t>
      </w:r>
    </w:p>
    <w:p w14:paraId="50B784F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147" w:name="_Toc79392590"/>
      <w:bookmarkStart w:id="148" w:name="_Toc15641226"/>
      <w:bookmarkStart w:id="149" w:name="_Toc57530249"/>
      <w:r>
        <w:rPr>
          <w:rFonts w:hint="eastAsia" w:asciiTheme="minorEastAsia" w:hAnsiTheme="minorEastAsia"/>
          <w:color w:val="0D0D0D" w:themeColor="text1" w:themeTint="F2"/>
          <w14:textFill>
            <w14:solidFill>
              <w14:schemeClr w14:val="tx1">
                <w14:lumMod w14:val="95000"/>
                <w14:lumOff w14:val="5000"/>
              </w14:schemeClr>
            </w14:solidFill>
          </w14:textFill>
        </w:rPr>
        <w:t>（七）计票</w:t>
      </w:r>
      <w:bookmarkEnd w:id="147"/>
      <w:bookmarkEnd w:id="148"/>
      <w:bookmarkEnd w:id="149"/>
    </w:p>
    <w:p w14:paraId="634CBAE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、现场开会</w:t>
      </w:r>
    </w:p>
    <w:p w14:paraId="5247E60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01B22C9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）监票人应当在基金份额持有人表决后立即进行清点并由大会主持人当场公布计票结果。</w:t>
      </w:r>
    </w:p>
    <w:p w14:paraId="552D4B6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257A754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）计票过程应由公证机关予以公证</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基金管理人或基金托管人拒不出席大会的，不影响计票的效力。</w:t>
      </w:r>
    </w:p>
    <w:p w14:paraId="1E5226C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、通讯开会</w:t>
      </w:r>
    </w:p>
    <w:p w14:paraId="5E19453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在通讯开会的情况下，计票方式为：由大会召集人授权的两名监督员在基金托管人授权代表（若由基金托管人召集，则为基金管理人授权代表）的监督下进行计票，并由公证机关对其计票过程予以公证</w:t>
      </w:r>
      <w:bookmarkStart w:id="150" w:name="_Toc79392591"/>
      <w:bookmarkStart w:id="151" w:name="_Toc15641227"/>
      <w:bookmarkStart w:id="152" w:name="_Toc57530250"/>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。基金管理人或基金托管人拒派代表对表决意见的计票进行监督的，不影响计票和表决结果。</w:t>
      </w:r>
    </w:p>
    <w:p w14:paraId="1039767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（八）生效与公告</w:t>
      </w:r>
      <w:bookmarkEnd w:id="150"/>
      <w:bookmarkEnd w:id="151"/>
      <w:bookmarkEnd w:id="152"/>
    </w:p>
    <w:p w14:paraId="24A1B18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基金份额持有人大会的决议，召集人应当自通过之日起5日内报中国证监会备案。</w:t>
      </w:r>
    </w:p>
    <w:p w14:paraId="63C6646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基金份额持有人大会的决议自表决通过之日起生效。</w:t>
      </w:r>
    </w:p>
    <w:p w14:paraId="2721E9E6">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基金份额持有人大会决议自生效之日起依照《信息披露办法》在规定媒介上公告。</w:t>
      </w:r>
      <w:bookmarkStart w:id="153" w:name="_Hlt88820702"/>
      <w:bookmarkEnd w:id="153"/>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如果采用通讯方式进行表决，在公告基金份额持有人大会决议时，必须将公证书全文、公证机构、公证员姓名等一同公告。</w:t>
      </w:r>
    </w:p>
    <w:p w14:paraId="0A245F32">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基金管理人、基金托管人和基金份额持有人应当执行生效的基金份额持有人大会的决议。生效的基金份额持有人大会决议对全体基金份额持有人、基金管理人、基金托管人均有约束力。</w:t>
      </w:r>
    </w:p>
    <w:p w14:paraId="3D69847A">
      <w:pPr>
        <w:adjustRightInd w:val="0"/>
        <w:snapToGrid w:val="0"/>
        <w:spacing w:line="360" w:lineRule="auto"/>
        <w:ind w:firstLine="420" w:firstLineChars="200"/>
        <w:rPr>
          <w:rFonts w:ascii="宋体" w:hAnsi="宋体" w:cs="Arial"/>
          <w:bCs/>
          <w:kern w:val="0"/>
          <w:szCs w:val="21"/>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九）本部分关于基金份额持有人大会召开事由、召开条件、议事程序、表决条件等规定，凡是直接引用法律法规的部分，如将来法律法规修改导致相关内容被取消或变更的，基金管理人与基金托管人协商一致并履行适当程序后，可直接对本部分内容进行修改和调整，无需召开基金份额持有人大会审议。</w:t>
      </w:r>
    </w:p>
    <w:p w14:paraId="47560647">
      <w:pPr>
        <w:adjustRightInd w:val="0"/>
        <w:snapToGrid w:val="0"/>
        <w:spacing w:line="360" w:lineRule="auto"/>
        <w:ind w:firstLine="422" w:firstLineChars="200"/>
        <w:rPr>
          <w:rFonts w:ascii="宋体" w:hAnsi="宋体" w:cs="Arial"/>
          <w:b/>
          <w:bCs/>
          <w:kern w:val="0"/>
          <w:szCs w:val="21"/>
        </w:rPr>
      </w:pPr>
      <w:r>
        <w:rPr>
          <w:rFonts w:hint="eastAsia" w:ascii="宋体" w:hAnsi="宋体" w:cs="Arial"/>
          <w:b/>
          <w:bCs/>
          <w:kern w:val="0"/>
          <w:szCs w:val="21"/>
        </w:rPr>
        <w:t>三、</w:t>
      </w:r>
      <w:r>
        <w:rPr>
          <w:rFonts w:ascii="宋体" w:hAnsi="宋体" w:cs="Arial"/>
          <w:b/>
          <w:bCs/>
          <w:kern w:val="0"/>
          <w:szCs w:val="21"/>
        </w:rPr>
        <w:t>基金合同的变更、终止与基金财产的清算</w:t>
      </w:r>
    </w:p>
    <w:p w14:paraId="1A74B599">
      <w:pPr>
        <w:snapToGrid w:val="0"/>
        <w:spacing w:line="360" w:lineRule="auto"/>
        <w:ind w:firstLine="420" w:firstLineChars="200"/>
        <w:rPr>
          <w:rFonts w:asciiTheme="minorEastAsia" w:hAnsiTheme="minorEastAsia"/>
        </w:rPr>
      </w:pPr>
      <w:r>
        <w:rPr>
          <w:rFonts w:hint="eastAsia" w:asciiTheme="minorEastAsia" w:hAnsiTheme="minorEastAsia"/>
        </w:rPr>
        <w:t>（一）《基金合同》的变更</w:t>
      </w:r>
    </w:p>
    <w:p w14:paraId="53B8924B">
      <w:pPr>
        <w:snapToGrid w:val="0"/>
        <w:spacing w:line="360" w:lineRule="auto"/>
        <w:ind w:firstLine="420" w:firstLineChars="200"/>
        <w:rPr>
          <w:rFonts w:asciiTheme="minorEastAsia" w:hAnsiTheme="minorEastAsia"/>
        </w:rPr>
      </w:pPr>
      <w:r>
        <w:rPr>
          <w:rFonts w:asciiTheme="minorEastAsia" w:hAnsiTheme="minorEastAsia"/>
        </w:rPr>
        <w:t>1</w:t>
      </w:r>
      <w:r>
        <w:rPr>
          <w:rFonts w:hint="eastAsia" w:asciiTheme="minorEastAsia" w:hAnsiTheme="minorEastAsia"/>
        </w:rPr>
        <w:t>、变更基金合同涉及法律法规规定或本</w:t>
      </w:r>
      <w:r>
        <w:rPr>
          <w:rFonts w:hint="eastAsia" w:asciiTheme="minorEastAsia" w:hAnsiTheme="minorEastAsia" w:eastAsiaTheme="minorEastAsia"/>
        </w:rPr>
        <w:t>基金</w:t>
      </w:r>
      <w:r>
        <w:rPr>
          <w:rFonts w:hint="eastAsia" w:asciiTheme="minorEastAsia" w:hAnsiTheme="minorEastAsia"/>
        </w:rPr>
        <w:t>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14:paraId="57D39B6A">
      <w:pPr>
        <w:snapToGrid w:val="0"/>
        <w:spacing w:line="360" w:lineRule="auto"/>
        <w:ind w:firstLine="420" w:firstLineChars="200"/>
        <w:rPr>
          <w:rFonts w:asciiTheme="minorEastAsia" w:hAnsiTheme="minorEastAsia"/>
        </w:rPr>
      </w:pPr>
      <w:r>
        <w:rPr>
          <w:rFonts w:asciiTheme="minorEastAsia" w:hAnsiTheme="minorEastAsia"/>
        </w:rPr>
        <w:t>2</w:t>
      </w:r>
      <w:r>
        <w:rPr>
          <w:rFonts w:hint="eastAsia" w:asciiTheme="minorEastAsia" w:hAnsiTheme="minorEastAsia"/>
        </w:rPr>
        <w:t>、关于《基金合同》变更的基金份额持有人大会决议自生效后方可执行，自决议生效后</w:t>
      </w:r>
      <w:r>
        <w:rPr>
          <w:rFonts w:hint="eastAsia" w:asciiTheme="minorEastAsia" w:hAnsiTheme="minorEastAsia" w:eastAsiaTheme="minorEastAsia"/>
        </w:rPr>
        <w:t>依照《信息披露办法》</w:t>
      </w:r>
      <w:r>
        <w:rPr>
          <w:rFonts w:hint="eastAsia" w:asciiTheme="minorEastAsia" w:hAnsiTheme="minorEastAsia"/>
        </w:rPr>
        <w:t>在规定媒介公告。</w:t>
      </w:r>
    </w:p>
    <w:p w14:paraId="79123982">
      <w:pPr>
        <w:snapToGrid w:val="0"/>
        <w:spacing w:line="360" w:lineRule="auto"/>
        <w:ind w:firstLine="420" w:firstLineChars="200"/>
        <w:rPr>
          <w:rFonts w:asciiTheme="minorEastAsia" w:hAnsiTheme="minorEastAsia"/>
        </w:rPr>
      </w:pPr>
      <w:r>
        <w:rPr>
          <w:rFonts w:hint="eastAsia" w:asciiTheme="minorEastAsia" w:hAnsiTheme="minorEastAsia"/>
        </w:rPr>
        <w:t>（二）《基金合同》的终止事由</w:t>
      </w:r>
    </w:p>
    <w:p w14:paraId="7AD9D569">
      <w:pPr>
        <w:snapToGrid w:val="0"/>
        <w:spacing w:line="360" w:lineRule="auto"/>
        <w:ind w:firstLine="420" w:firstLineChars="200"/>
        <w:rPr>
          <w:rFonts w:asciiTheme="minorEastAsia" w:hAnsiTheme="minorEastAsia"/>
        </w:rPr>
      </w:pPr>
      <w:r>
        <w:rPr>
          <w:rFonts w:hint="eastAsia" w:asciiTheme="minorEastAsia" w:hAnsiTheme="minorEastAsia"/>
        </w:rPr>
        <w:t>有下列情形之一的，经履行相关程序后，《基金合同》应当终止：</w:t>
      </w:r>
    </w:p>
    <w:p w14:paraId="40A79120">
      <w:pPr>
        <w:snapToGrid w:val="0"/>
        <w:spacing w:line="360" w:lineRule="auto"/>
        <w:ind w:firstLine="420" w:firstLineChars="200"/>
        <w:rPr>
          <w:rFonts w:asciiTheme="minorEastAsia" w:hAnsiTheme="minorEastAsia"/>
        </w:rPr>
      </w:pPr>
      <w:r>
        <w:rPr>
          <w:rFonts w:asciiTheme="minorEastAsia" w:hAnsiTheme="minorEastAsia"/>
        </w:rPr>
        <w:t>1</w:t>
      </w:r>
      <w:r>
        <w:rPr>
          <w:rFonts w:hint="eastAsia" w:asciiTheme="minorEastAsia" w:hAnsiTheme="minorEastAsia"/>
        </w:rPr>
        <w:t>、基金份额持有人大会决定终止的；</w:t>
      </w:r>
    </w:p>
    <w:p w14:paraId="6B51C086">
      <w:pPr>
        <w:snapToGrid w:val="0"/>
        <w:spacing w:line="360" w:lineRule="auto"/>
        <w:ind w:firstLine="420" w:firstLineChars="200"/>
        <w:rPr>
          <w:rFonts w:asciiTheme="minorEastAsia" w:hAnsiTheme="minorEastAsia"/>
        </w:rPr>
      </w:pPr>
      <w:r>
        <w:rPr>
          <w:rFonts w:asciiTheme="minorEastAsia" w:hAnsiTheme="minorEastAsia"/>
        </w:rPr>
        <w:t>2</w:t>
      </w:r>
      <w:r>
        <w:rPr>
          <w:rFonts w:hint="eastAsia" w:asciiTheme="minorEastAsia" w:hAnsiTheme="minorEastAsia"/>
        </w:rPr>
        <w:t>、基金管理人、基金托管人职责终止，在</w:t>
      </w:r>
      <w:r>
        <w:rPr>
          <w:rFonts w:asciiTheme="minorEastAsia" w:hAnsiTheme="minorEastAsia"/>
        </w:rPr>
        <w:t>6</w:t>
      </w:r>
      <w:r>
        <w:rPr>
          <w:rFonts w:hint="eastAsia" w:asciiTheme="minorEastAsia" w:hAnsiTheme="minorEastAsia"/>
        </w:rPr>
        <w:t>个月内没有新基金管理人、新基金托管人承接的；</w:t>
      </w:r>
    </w:p>
    <w:p w14:paraId="1C5FBDBE">
      <w:pPr>
        <w:snapToGrid w:val="0"/>
        <w:spacing w:line="360" w:lineRule="auto"/>
        <w:ind w:firstLine="420" w:firstLineChars="200"/>
        <w:rPr>
          <w:rFonts w:asciiTheme="minorEastAsia" w:hAnsiTheme="minorEastAsia"/>
        </w:rPr>
      </w:pPr>
      <w:r>
        <w:rPr>
          <w:rFonts w:hint="eastAsia" w:asciiTheme="minorEastAsia" w:hAnsiTheme="minorEastAsia"/>
        </w:rPr>
        <w:t>3、《基金合同》约定的其他情形；</w:t>
      </w:r>
    </w:p>
    <w:p w14:paraId="1A78B1B9">
      <w:pPr>
        <w:snapToGrid w:val="0"/>
        <w:spacing w:line="360" w:lineRule="auto"/>
        <w:ind w:firstLine="420" w:firstLineChars="200"/>
        <w:rPr>
          <w:rFonts w:asciiTheme="minorEastAsia" w:hAnsiTheme="minorEastAsia"/>
        </w:rPr>
      </w:pPr>
      <w:r>
        <w:rPr>
          <w:rFonts w:hint="eastAsia" w:asciiTheme="minorEastAsia" w:hAnsiTheme="minorEastAsia"/>
        </w:rPr>
        <w:t>4、相关法律法规和中国证监会规定的其他情况。</w:t>
      </w:r>
    </w:p>
    <w:p w14:paraId="68EAAA66">
      <w:pPr>
        <w:snapToGrid w:val="0"/>
        <w:spacing w:line="360" w:lineRule="auto"/>
        <w:ind w:firstLine="420" w:firstLineChars="200"/>
        <w:rPr>
          <w:rFonts w:asciiTheme="minorEastAsia" w:hAnsiTheme="minorEastAsia"/>
        </w:rPr>
      </w:pPr>
      <w:r>
        <w:rPr>
          <w:rFonts w:hint="eastAsia" w:asciiTheme="minorEastAsia" w:hAnsiTheme="minorEastAsia"/>
        </w:rPr>
        <w:t>（三）基金财产的清算</w:t>
      </w:r>
    </w:p>
    <w:p w14:paraId="6E5C395D">
      <w:pPr>
        <w:snapToGrid w:val="0"/>
        <w:spacing w:line="360" w:lineRule="auto"/>
        <w:ind w:firstLine="420" w:firstLineChars="200"/>
        <w:rPr>
          <w:rFonts w:asciiTheme="minorEastAsia" w:hAnsiTheme="minorEastAsia"/>
        </w:rPr>
      </w:pPr>
      <w:r>
        <w:rPr>
          <w:rFonts w:asciiTheme="minorEastAsia" w:hAnsiTheme="minorEastAsia"/>
        </w:rPr>
        <w:t>1</w:t>
      </w:r>
      <w:r>
        <w:rPr>
          <w:rFonts w:hint="eastAsia" w:asciiTheme="minorEastAsia" w:hAnsiTheme="minorEastAsia"/>
        </w:rPr>
        <w:t>、基金财产清算小组：自出现《基金合同》终止事由之日起</w:t>
      </w:r>
      <w:r>
        <w:rPr>
          <w:rFonts w:asciiTheme="minorEastAsia" w:hAnsiTheme="minorEastAsia"/>
        </w:rPr>
        <w:t>30</w:t>
      </w:r>
      <w:r>
        <w:rPr>
          <w:rFonts w:hint="eastAsia" w:asciiTheme="minorEastAsia" w:hAnsiTheme="minorEastAsia"/>
        </w:rPr>
        <w:t>个工作日内成立基金财产清算小组，基金管理人组织基金财产清算小组并在中国证监会的监督下进行基金清算。</w:t>
      </w:r>
    </w:p>
    <w:p w14:paraId="5E03F594">
      <w:pPr>
        <w:snapToGrid w:val="0"/>
        <w:spacing w:line="360" w:lineRule="auto"/>
        <w:ind w:firstLine="420" w:firstLineChars="200"/>
        <w:rPr>
          <w:rFonts w:asciiTheme="minorEastAsia" w:hAnsiTheme="minorEastAsia"/>
        </w:rPr>
      </w:pPr>
      <w:r>
        <w:rPr>
          <w:rFonts w:asciiTheme="minorEastAsia" w:hAnsiTheme="minorEastAsia"/>
        </w:rPr>
        <w:t>2</w:t>
      </w:r>
      <w:r>
        <w:rPr>
          <w:rFonts w:hint="eastAsia" w:asciiTheme="minorEastAsia" w:hAnsiTheme="minorEastAsia"/>
        </w:rPr>
        <w:t>、基金财产清算小组组成：基金财产清算小组成员由基金管理人、基金托管人、具有从事证券相关业务资格的注册会计师、律师以及中国证监会指定的人员组成。基金财产清算小组可以聘用必要的工作人员。</w:t>
      </w:r>
    </w:p>
    <w:p w14:paraId="186CB8C4">
      <w:pPr>
        <w:snapToGrid w:val="0"/>
        <w:spacing w:line="360" w:lineRule="auto"/>
        <w:ind w:firstLine="420" w:firstLineChars="200"/>
        <w:rPr>
          <w:rFonts w:asciiTheme="minorEastAsia" w:hAnsiTheme="minorEastAsia"/>
        </w:rPr>
      </w:pPr>
      <w:r>
        <w:rPr>
          <w:rFonts w:asciiTheme="minorEastAsia" w:hAnsiTheme="minorEastAsia"/>
        </w:rPr>
        <w:t>3</w:t>
      </w:r>
      <w:r>
        <w:rPr>
          <w:rFonts w:hint="eastAsia" w:asciiTheme="minorEastAsia" w:hAnsiTheme="minorEastAsia"/>
        </w:rPr>
        <w:t>、基金财产清算小组职责：基金财产清算小组负责基金财产的保管、清理、估价、变现和分配。基金财产清算小组可以依法进行必要的民事活动。</w:t>
      </w:r>
    </w:p>
    <w:p w14:paraId="19D1F01D">
      <w:pPr>
        <w:snapToGrid w:val="0"/>
        <w:spacing w:line="360" w:lineRule="auto"/>
        <w:ind w:firstLine="420" w:firstLineChars="200"/>
        <w:rPr>
          <w:rFonts w:asciiTheme="minorEastAsia" w:hAnsiTheme="minorEastAsia"/>
        </w:rPr>
      </w:pPr>
      <w:r>
        <w:rPr>
          <w:rFonts w:asciiTheme="minorEastAsia" w:hAnsiTheme="minorEastAsia"/>
        </w:rPr>
        <w:t>4</w:t>
      </w:r>
      <w:r>
        <w:rPr>
          <w:rFonts w:hint="eastAsia" w:asciiTheme="minorEastAsia" w:hAnsiTheme="minorEastAsia"/>
        </w:rPr>
        <w:t>、基金财产清算程序：</w:t>
      </w:r>
    </w:p>
    <w:p w14:paraId="05484AE6">
      <w:pPr>
        <w:snapToGrid w:val="0"/>
        <w:spacing w:line="360" w:lineRule="auto"/>
        <w:ind w:firstLine="420" w:firstLineChars="200"/>
        <w:rPr>
          <w:rFonts w:asciiTheme="minorEastAsia" w:hAnsiTheme="minorEastAsia"/>
        </w:rPr>
      </w:pPr>
      <w:r>
        <w:rPr>
          <w:rFonts w:hint="eastAsia" w:asciiTheme="minorEastAsia" w:hAnsiTheme="minorEastAsia"/>
        </w:rPr>
        <w:t>（</w:t>
      </w:r>
      <w:r>
        <w:rPr>
          <w:rFonts w:asciiTheme="minorEastAsia" w:hAnsiTheme="minorEastAsia"/>
        </w:rPr>
        <w:t>1</w:t>
      </w:r>
      <w:r>
        <w:rPr>
          <w:rFonts w:hint="eastAsia" w:asciiTheme="minorEastAsia" w:hAnsiTheme="minorEastAsia"/>
        </w:rPr>
        <w:t>）《基金合同》终止情形出现时，由基金财产清算小组统一接管基金；</w:t>
      </w:r>
    </w:p>
    <w:p w14:paraId="113F34A9">
      <w:pPr>
        <w:snapToGrid w:val="0"/>
        <w:spacing w:line="360" w:lineRule="auto"/>
        <w:ind w:firstLine="420" w:firstLineChars="200"/>
        <w:rPr>
          <w:rFonts w:asciiTheme="minorEastAsia" w:hAnsiTheme="minorEastAsia"/>
        </w:rPr>
      </w:pPr>
      <w:r>
        <w:rPr>
          <w:rFonts w:hint="eastAsia" w:asciiTheme="minorEastAsia" w:hAnsiTheme="minorEastAsia"/>
        </w:rPr>
        <w:t>（</w:t>
      </w:r>
      <w:r>
        <w:rPr>
          <w:rFonts w:asciiTheme="minorEastAsia" w:hAnsiTheme="minorEastAsia"/>
        </w:rPr>
        <w:t>2</w:t>
      </w:r>
      <w:r>
        <w:rPr>
          <w:rFonts w:hint="eastAsia" w:asciiTheme="minorEastAsia" w:hAnsiTheme="minorEastAsia"/>
        </w:rPr>
        <w:t>）对基金财产和债权债务进行清理和确认；</w:t>
      </w:r>
    </w:p>
    <w:p w14:paraId="695C185E">
      <w:pPr>
        <w:snapToGrid w:val="0"/>
        <w:spacing w:line="360" w:lineRule="auto"/>
        <w:ind w:firstLine="420" w:firstLineChars="200"/>
        <w:rPr>
          <w:rFonts w:asciiTheme="minorEastAsia" w:hAnsiTheme="minorEastAsia"/>
        </w:rPr>
      </w:pPr>
      <w:r>
        <w:rPr>
          <w:rFonts w:hint="eastAsia" w:asciiTheme="minorEastAsia" w:hAnsiTheme="minorEastAsia"/>
        </w:rPr>
        <w:t>（</w:t>
      </w:r>
      <w:r>
        <w:rPr>
          <w:rFonts w:asciiTheme="minorEastAsia" w:hAnsiTheme="minorEastAsia"/>
        </w:rPr>
        <w:t>3</w:t>
      </w:r>
      <w:r>
        <w:rPr>
          <w:rFonts w:hint="eastAsia" w:asciiTheme="minorEastAsia" w:hAnsiTheme="minorEastAsia"/>
        </w:rPr>
        <w:t>）对基金财产进行估值和变现；</w:t>
      </w:r>
    </w:p>
    <w:p w14:paraId="505BD5C7">
      <w:pPr>
        <w:snapToGrid w:val="0"/>
        <w:spacing w:line="360" w:lineRule="auto"/>
        <w:ind w:firstLine="420" w:firstLineChars="200"/>
        <w:rPr>
          <w:rFonts w:asciiTheme="minorEastAsia" w:hAnsiTheme="minorEastAsia"/>
        </w:rPr>
      </w:pPr>
      <w:r>
        <w:rPr>
          <w:rFonts w:hint="eastAsia" w:asciiTheme="minorEastAsia" w:hAnsiTheme="minorEastAsia"/>
        </w:rPr>
        <w:t>（</w:t>
      </w:r>
      <w:r>
        <w:rPr>
          <w:rFonts w:asciiTheme="minorEastAsia" w:hAnsiTheme="minorEastAsia"/>
        </w:rPr>
        <w:t>4</w:t>
      </w:r>
      <w:r>
        <w:rPr>
          <w:rFonts w:hint="eastAsia" w:asciiTheme="minorEastAsia" w:hAnsiTheme="minorEastAsia"/>
        </w:rPr>
        <w:t>）制作清算报告；</w:t>
      </w:r>
    </w:p>
    <w:p w14:paraId="3473C05B">
      <w:pPr>
        <w:snapToGrid w:val="0"/>
        <w:spacing w:line="360" w:lineRule="auto"/>
        <w:ind w:firstLine="420" w:firstLineChars="200"/>
        <w:rPr>
          <w:rFonts w:asciiTheme="minorEastAsia" w:hAnsiTheme="minorEastAsia"/>
        </w:rPr>
      </w:pPr>
      <w:r>
        <w:rPr>
          <w:rFonts w:hint="eastAsia" w:asciiTheme="minorEastAsia" w:hAnsiTheme="minorEastAsia"/>
        </w:rPr>
        <w:t>（</w:t>
      </w:r>
      <w:r>
        <w:rPr>
          <w:rFonts w:asciiTheme="minorEastAsia" w:hAnsiTheme="minorEastAsia"/>
        </w:rPr>
        <w:t>5</w:t>
      </w:r>
      <w:r>
        <w:rPr>
          <w:rFonts w:hint="eastAsia" w:asciiTheme="minorEastAsia" w:hAnsiTheme="minorEastAsia"/>
        </w:rPr>
        <w:t>）聘请符合《证券法》规定的会计师事务所对清算报告进行外部审计，聘请律师事务所对清算报告出具法律意见书；</w:t>
      </w:r>
    </w:p>
    <w:p w14:paraId="7B92F26F">
      <w:pPr>
        <w:snapToGrid w:val="0"/>
        <w:spacing w:line="360" w:lineRule="auto"/>
        <w:ind w:firstLine="420" w:firstLineChars="200"/>
        <w:rPr>
          <w:rFonts w:asciiTheme="minorEastAsia" w:hAnsiTheme="minorEastAsia"/>
        </w:rPr>
      </w:pPr>
      <w:r>
        <w:rPr>
          <w:rFonts w:hint="eastAsia" w:asciiTheme="minorEastAsia" w:hAnsiTheme="minorEastAsia"/>
        </w:rPr>
        <w:t>（</w:t>
      </w:r>
      <w:r>
        <w:rPr>
          <w:rFonts w:asciiTheme="minorEastAsia" w:hAnsiTheme="minorEastAsia"/>
        </w:rPr>
        <w:t>6</w:t>
      </w:r>
      <w:r>
        <w:rPr>
          <w:rFonts w:hint="eastAsia" w:asciiTheme="minorEastAsia" w:hAnsiTheme="minorEastAsia"/>
        </w:rPr>
        <w:t>）将清算报告报中国证监会备案并公告；</w:t>
      </w:r>
    </w:p>
    <w:p w14:paraId="45AB05E5">
      <w:pPr>
        <w:snapToGrid w:val="0"/>
        <w:spacing w:line="360" w:lineRule="auto"/>
        <w:ind w:firstLine="420" w:firstLineChars="200"/>
        <w:rPr>
          <w:rFonts w:asciiTheme="minorEastAsia" w:hAnsiTheme="minorEastAsia"/>
        </w:rPr>
      </w:pPr>
      <w:r>
        <w:rPr>
          <w:rFonts w:hint="eastAsia" w:asciiTheme="minorEastAsia" w:hAnsiTheme="minorEastAsia"/>
        </w:rPr>
        <w:t>（</w:t>
      </w:r>
      <w:r>
        <w:rPr>
          <w:rFonts w:asciiTheme="minorEastAsia" w:hAnsiTheme="minorEastAsia"/>
        </w:rPr>
        <w:t>7</w:t>
      </w:r>
      <w:r>
        <w:rPr>
          <w:rFonts w:hint="eastAsia" w:asciiTheme="minorEastAsia" w:hAnsiTheme="minorEastAsia"/>
        </w:rPr>
        <w:t>）对基金剩余财产进行分配。</w:t>
      </w:r>
    </w:p>
    <w:p w14:paraId="6798810F">
      <w:pPr>
        <w:snapToGrid w:val="0"/>
        <w:spacing w:line="360" w:lineRule="auto"/>
        <w:ind w:firstLine="420" w:firstLineChars="200"/>
        <w:rPr>
          <w:rFonts w:asciiTheme="minorEastAsia" w:hAnsiTheme="minorEastAsia"/>
        </w:rPr>
      </w:pPr>
      <w:r>
        <w:rPr>
          <w:rFonts w:asciiTheme="minorEastAsia" w:hAnsiTheme="minorEastAsia"/>
        </w:rPr>
        <w:t>5</w:t>
      </w:r>
      <w:r>
        <w:rPr>
          <w:rFonts w:hint="eastAsia" w:asciiTheme="minorEastAsia" w:hAnsiTheme="minorEastAsia"/>
        </w:rPr>
        <w:t>、基金财产清算的期限为6个月，但因本基金所持证券的流动性受到限制而不能及时变现的，清算期限可相应顺延。</w:t>
      </w:r>
    </w:p>
    <w:p w14:paraId="4589FD74">
      <w:pPr>
        <w:snapToGrid w:val="0"/>
        <w:spacing w:line="360" w:lineRule="auto"/>
        <w:ind w:firstLine="420" w:firstLineChars="200"/>
        <w:rPr>
          <w:rFonts w:asciiTheme="minorEastAsia" w:hAnsiTheme="minorEastAsia"/>
        </w:rPr>
      </w:pPr>
      <w:r>
        <w:rPr>
          <w:rFonts w:hint="eastAsia" w:asciiTheme="minorEastAsia" w:hAnsiTheme="minorEastAsia"/>
        </w:rPr>
        <w:t>（四）清算费用</w:t>
      </w:r>
    </w:p>
    <w:p w14:paraId="004EE676">
      <w:pPr>
        <w:snapToGrid w:val="0"/>
        <w:spacing w:line="360" w:lineRule="auto"/>
        <w:ind w:firstLine="420" w:firstLineChars="200"/>
        <w:rPr>
          <w:rFonts w:asciiTheme="minorEastAsia" w:hAnsiTheme="minorEastAsia"/>
        </w:rPr>
      </w:pPr>
      <w:r>
        <w:rPr>
          <w:rFonts w:hint="eastAsia" w:asciiTheme="minorEastAsia" w:hAnsiTheme="minorEastAsia"/>
        </w:rPr>
        <w:t>清算费用是指基金财产清算小组在进行基金财产清算过程中发生的所有合理费用，清算费用由基金财产清算小组优先从基金剩余财产中支付。</w:t>
      </w:r>
    </w:p>
    <w:p w14:paraId="01516F93">
      <w:pPr>
        <w:snapToGrid w:val="0"/>
        <w:spacing w:line="360" w:lineRule="auto"/>
        <w:ind w:firstLine="420" w:firstLineChars="200"/>
        <w:rPr>
          <w:rFonts w:asciiTheme="minorEastAsia" w:hAnsiTheme="minorEastAsia"/>
        </w:rPr>
      </w:pPr>
      <w:r>
        <w:rPr>
          <w:rFonts w:hint="eastAsia" w:asciiTheme="minorEastAsia" w:hAnsiTheme="minorEastAsia"/>
        </w:rPr>
        <w:t>（五）基金财产清算剩余资产的分配</w:t>
      </w:r>
    </w:p>
    <w:p w14:paraId="4DD2E77F">
      <w:pPr>
        <w:snapToGrid w:val="0"/>
        <w:spacing w:line="360" w:lineRule="auto"/>
        <w:ind w:firstLine="420" w:firstLineChars="200"/>
        <w:rPr>
          <w:rFonts w:asciiTheme="minorEastAsia" w:hAnsiTheme="minorEastAsia"/>
        </w:rPr>
      </w:pPr>
      <w:r>
        <w:rPr>
          <w:rFonts w:hint="eastAsia" w:asciiTheme="minorEastAsia" w:hAnsiTheme="minorEastAsia"/>
        </w:rPr>
        <w:t>依据基金财产清算的分配方案，将基金财产清算后的全部剩余资产扣除基金财产清算费用、交纳所欠税款并清偿基金债务后，按基金份额持有人持有的基金份额比例进行分配。</w:t>
      </w:r>
    </w:p>
    <w:p w14:paraId="3A373E1A">
      <w:pPr>
        <w:snapToGrid w:val="0"/>
        <w:spacing w:line="360" w:lineRule="auto"/>
        <w:ind w:firstLine="420" w:firstLineChars="200"/>
        <w:rPr>
          <w:rFonts w:asciiTheme="minorEastAsia" w:hAnsiTheme="minorEastAsia"/>
        </w:rPr>
      </w:pPr>
      <w:r>
        <w:rPr>
          <w:rFonts w:hint="eastAsia" w:asciiTheme="minorEastAsia" w:hAnsiTheme="minorEastAsia"/>
        </w:rPr>
        <w:t>（六）基金财产清算的公告</w:t>
      </w:r>
    </w:p>
    <w:p w14:paraId="0A58597E">
      <w:pPr>
        <w:snapToGrid w:val="0"/>
        <w:spacing w:line="360" w:lineRule="auto"/>
        <w:ind w:firstLine="420" w:firstLineChars="200"/>
        <w:rPr>
          <w:rFonts w:asciiTheme="minorEastAsia" w:hAnsiTheme="minorEastAsia"/>
        </w:rPr>
      </w:pPr>
      <w:r>
        <w:rPr>
          <w:rFonts w:hint="eastAsia" w:asciiTheme="minorEastAsia" w:hAnsiTheme="minorEastAsia"/>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w:t>
      </w:r>
      <w:r>
        <w:rPr>
          <w:rFonts w:hint="eastAsia" w:asciiTheme="minorEastAsia" w:hAnsiTheme="minorEastAsia" w:eastAsiaTheme="minorEastAsia"/>
        </w:rPr>
        <w:t>5</w:t>
      </w:r>
      <w:r>
        <w:rPr>
          <w:rFonts w:hint="eastAsia" w:asciiTheme="minorEastAsia" w:hAnsiTheme="minorEastAsia"/>
        </w:rPr>
        <w:t>个工作日内由基金财产清算小组进行公告，基金财产清算小组应当将清算报告登载在规定网站上，并将清算报告提示性公告登载在规定报刊上。</w:t>
      </w:r>
    </w:p>
    <w:p w14:paraId="697497A0">
      <w:pPr>
        <w:snapToGrid w:val="0"/>
        <w:spacing w:line="360" w:lineRule="auto"/>
        <w:ind w:firstLine="420" w:firstLineChars="200"/>
        <w:rPr>
          <w:rFonts w:asciiTheme="minorEastAsia" w:hAnsiTheme="minorEastAsia"/>
        </w:rPr>
      </w:pPr>
      <w:r>
        <w:rPr>
          <w:rFonts w:hint="eastAsia" w:asciiTheme="minorEastAsia" w:hAnsiTheme="minorEastAsia"/>
        </w:rPr>
        <w:t>（七）基金财产清算账册及文件的保存</w:t>
      </w:r>
    </w:p>
    <w:p w14:paraId="0E35B364">
      <w:pPr>
        <w:adjustRightInd w:val="0"/>
        <w:snapToGrid w:val="0"/>
        <w:spacing w:line="360" w:lineRule="auto"/>
        <w:ind w:firstLine="420" w:firstLineChars="200"/>
        <w:rPr>
          <w:rFonts w:ascii="宋体" w:hAnsi="宋体" w:cs="Arial"/>
          <w:bCs/>
          <w:kern w:val="0"/>
          <w:szCs w:val="21"/>
        </w:rPr>
      </w:pPr>
      <w:r>
        <w:rPr>
          <w:rFonts w:hint="eastAsia" w:asciiTheme="minorEastAsia" w:hAnsiTheme="minorEastAsia"/>
        </w:rPr>
        <w:t>基金财产清算账册及有关文件由基金托管人保存，保存期限不低于法定最低期限。</w:t>
      </w:r>
    </w:p>
    <w:p w14:paraId="37A4F3A1">
      <w:pPr>
        <w:adjustRightInd w:val="0"/>
        <w:snapToGrid w:val="0"/>
        <w:spacing w:line="360" w:lineRule="auto"/>
        <w:ind w:firstLine="422" w:firstLineChars="200"/>
        <w:rPr>
          <w:rFonts w:ascii="宋体" w:hAnsi="宋体" w:cs="Arial"/>
          <w:b/>
          <w:bCs/>
          <w:kern w:val="0"/>
          <w:szCs w:val="21"/>
        </w:rPr>
      </w:pPr>
      <w:r>
        <w:rPr>
          <w:rFonts w:hint="eastAsia" w:ascii="宋体" w:hAnsi="宋体" w:cs="Arial"/>
          <w:b/>
          <w:bCs/>
          <w:kern w:val="0"/>
          <w:szCs w:val="21"/>
        </w:rPr>
        <w:t>四、争议的处理</w:t>
      </w:r>
    </w:p>
    <w:p w14:paraId="745DDC43">
      <w:pPr>
        <w:snapToGrid w:val="0"/>
        <w:spacing w:line="360" w:lineRule="auto"/>
        <w:ind w:firstLine="420" w:firstLineChars="200"/>
        <w:rPr>
          <w:rFonts w:asciiTheme="minorEastAsia" w:hAnsiTheme="minorEastAsia"/>
        </w:rPr>
      </w:pPr>
      <w:r>
        <w:rPr>
          <w:rFonts w:hint="eastAsia" w:asciiTheme="minorEastAsia" w:hAnsiTheme="minorEastAsia"/>
        </w:rPr>
        <w:t>各方当事人同意，对于因基金合同的订立、内容、履行和解释或与基金合同有关的争议，基金合同当事人应尽量通过协商、调解途径解决。如经协商、调解未能解决的，任何一方均有权将争议提交</w:t>
      </w:r>
      <w:r>
        <w:rPr>
          <w:rFonts w:asciiTheme="minorEastAsia" w:hAnsiTheme="minorEastAsia"/>
        </w:rPr>
        <w:t>深圳国际仲裁院（深圳仲裁委员会）</w:t>
      </w:r>
      <w:r>
        <w:rPr>
          <w:rFonts w:hint="eastAsia" w:asciiTheme="minorEastAsia" w:hAnsiTheme="minorEastAsia"/>
        </w:rPr>
        <w:t>，按照</w:t>
      </w:r>
      <w:r>
        <w:rPr>
          <w:rFonts w:asciiTheme="minorEastAsia" w:hAnsiTheme="minorEastAsia"/>
        </w:rPr>
        <w:t>深圳国际仲裁院（深圳仲裁委员会）</w:t>
      </w:r>
      <w:r>
        <w:rPr>
          <w:rFonts w:hint="eastAsia" w:asciiTheme="minorEastAsia" w:hAnsiTheme="minorEastAsia"/>
        </w:rPr>
        <w:t>届时有效的仲裁规则进行仲裁。仲裁地点为深圳市。仲裁裁决是终局的，对各方当事人均有约束力，除非仲裁裁决另有规定的，仲裁费由败诉方承担。</w:t>
      </w:r>
    </w:p>
    <w:p w14:paraId="2976918E">
      <w:pPr>
        <w:snapToGrid w:val="0"/>
        <w:spacing w:line="360" w:lineRule="auto"/>
        <w:ind w:firstLine="420" w:firstLineChars="200"/>
        <w:rPr>
          <w:rFonts w:asciiTheme="minorEastAsia" w:hAnsiTheme="minorEastAsia"/>
        </w:rPr>
      </w:pPr>
      <w:r>
        <w:rPr>
          <w:rFonts w:hint="eastAsia" w:asciiTheme="minorEastAsia" w:hAnsiTheme="minorEastAsia"/>
        </w:rPr>
        <w:t>争议处理期间，基金合同当事人应恪守各自的职责，继续忠实、勤勉、尽责地履行基金合同规定的义务，维护基金份额持有人的合法权益。</w:t>
      </w:r>
    </w:p>
    <w:p w14:paraId="2355E2B0">
      <w:pPr>
        <w:snapToGrid w:val="0"/>
        <w:spacing w:line="360" w:lineRule="auto"/>
        <w:ind w:firstLine="420" w:firstLineChars="200"/>
        <w:rPr>
          <w:rFonts w:asciiTheme="minorEastAsia" w:hAnsiTheme="minorEastAsia"/>
        </w:rPr>
      </w:pPr>
      <w:r>
        <w:rPr>
          <w:rFonts w:hint="eastAsia" w:asciiTheme="minorEastAsia" w:hAnsiTheme="minorEastAsia"/>
        </w:rPr>
        <w:t>本基金合同受中国法律（为本基金合同之目的，在此不包括香港、澳门特别行政区法律和台湾地区的有关规定）管辖并从其解释。</w:t>
      </w:r>
    </w:p>
    <w:p w14:paraId="5B1C3800">
      <w:pPr>
        <w:adjustRightInd w:val="0"/>
        <w:snapToGrid w:val="0"/>
        <w:spacing w:line="360" w:lineRule="auto"/>
        <w:ind w:firstLine="422" w:firstLineChars="200"/>
        <w:rPr>
          <w:rFonts w:ascii="宋体" w:hAnsi="宋体" w:cs="Arial"/>
          <w:b/>
          <w:bCs/>
          <w:kern w:val="0"/>
          <w:szCs w:val="21"/>
        </w:rPr>
      </w:pPr>
      <w:r>
        <w:rPr>
          <w:rFonts w:hint="eastAsia" w:ascii="宋体" w:hAnsi="宋体" w:cs="Arial"/>
          <w:b/>
          <w:bCs/>
          <w:kern w:val="0"/>
          <w:szCs w:val="21"/>
        </w:rPr>
        <w:t>五、基金合同存放地和投资人取得基金合同的方式</w:t>
      </w:r>
    </w:p>
    <w:p w14:paraId="5639EBE2">
      <w:pPr>
        <w:adjustRightInd w:val="0"/>
        <w:snapToGrid w:val="0"/>
        <w:spacing w:line="360" w:lineRule="auto"/>
        <w:ind w:firstLine="420" w:firstLineChars="200"/>
        <w:rPr>
          <w:rFonts w:ascii="宋体" w:hAnsi="宋体" w:cs="Arial"/>
          <w:b/>
          <w:bCs/>
          <w:sz w:val="28"/>
          <w:szCs w:val="28"/>
        </w:rPr>
        <w:sectPr>
          <w:footerReference r:id="rId48" w:type="first"/>
          <w:footerReference r:id="rId47" w:type="default"/>
          <w:pgSz w:w="11906" w:h="16838"/>
          <w:pgMar w:top="1440" w:right="1800" w:bottom="1440" w:left="1800" w:header="851" w:footer="992" w:gutter="0"/>
          <w:pgNumType w:start="1"/>
          <w:cols w:space="720" w:num="1"/>
          <w:docGrid w:linePitch="312" w:charSpace="0"/>
        </w:sectPr>
      </w:pPr>
      <w:bookmarkStart w:id="154" w:name="_Toc214873614"/>
      <w:r>
        <w:rPr>
          <w:rFonts w:hint="eastAsia" w:asciiTheme="minorEastAsia" w:hAnsiTheme="minorEastAsia"/>
        </w:rPr>
        <w:t>本基金合同可印制成册，供投资人在基金管理人、基金托管人、代销机构和登记机构办公场所查阅。</w:t>
      </w:r>
    </w:p>
    <w:p w14:paraId="00070BC6">
      <w:pPr>
        <w:pStyle w:val="2"/>
        <w:snapToGrid w:val="0"/>
        <w:spacing w:before="0" w:after="0" w:line="360" w:lineRule="auto"/>
        <w:ind w:firstLine="422" w:firstLineChars="150"/>
        <w:rPr>
          <w:rFonts w:hAnsi="宋体" w:eastAsia="宋体" w:cs="Arial"/>
          <w:b/>
          <w:bCs/>
          <w:sz w:val="28"/>
          <w:szCs w:val="28"/>
        </w:rPr>
      </w:pPr>
      <w:bookmarkStart w:id="155" w:name="_Toc13688"/>
      <w:r>
        <w:rPr>
          <w:rFonts w:hAnsi="宋体" w:eastAsia="宋体" w:cs="Arial"/>
          <w:b/>
          <w:bCs/>
          <w:sz w:val="28"/>
          <w:szCs w:val="28"/>
        </w:rPr>
        <w:t>第二十</w:t>
      </w:r>
      <w:r>
        <w:rPr>
          <w:rFonts w:hint="eastAsia" w:hAnsi="宋体" w:eastAsia="宋体" w:cs="Arial"/>
          <w:b/>
          <w:bCs/>
          <w:sz w:val="28"/>
          <w:szCs w:val="28"/>
        </w:rPr>
        <w:t>一</w:t>
      </w:r>
      <w:r>
        <w:rPr>
          <w:rFonts w:hAnsi="宋体" w:eastAsia="宋体" w:cs="Arial"/>
          <w:b/>
          <w:bCs/>
          <w:sz w:val="28"/>
          <w:szCs w:val="28"/>
        </w:rPr>
        <w:t>部分  基金托管协议的内容摘要</w:t>
      </w:r>
      <w:bookmarkEnd w:id="154"/>
      <w:bookmarkEnd w:id="155"/>
    </w:p>
    <w:p w14:paraId="442EB760">
      <w:pPr>
        <w:numPr>
          <w:ilvl w:val="0"/>
          <w:numId w:val="5"/>
        </w:numPr>
        <w:spacing w:line="360" w:lineRule="auto"/>
        <w:rPr>
          <w:rFonts w:ascii="宋体" w:hAnsi="宋体" w:cs="Arial"/>
          <w:b/>
          <w:szCs w:val="21"/>
          <w:highlight w:val="none"/>
        </w:rPr>
      </w:pPr>
      <w:bookmarkStart w:id="156" w:name="_Toc278986604"/>
      <w:bookmarkStart w:id="157" w:name="_Toc287014241"/>
      <w:bookmarkStart w:id="158" w:name="_Toc116900096"/>
      <w:bookmarkStart w:id="159" w:name="_Toc252355955"/>
      <w:bookmarkStart w:id="160" w:name="_Toc286319592"/>
      <w:bookmarkStart w:id="161" w:name="_Toc278986829"/>
      <w:bookmarkStart w:id="162" w:name="_Toc278986889"/>
      <w:bookmarkStart w:id="163" w:name="_Toc288639814"/>
      <w:r>
        <w:rPr>
          <w:rFonts w:ascii="宋体" w:hAnsi="宋体" w:cs="Arial"/>
          <w:b/>
          <w:szCs w:val="21"/>
          <w:highlight w:val="none"/>
        </w:rPr>
        <w:t>托管协议当事人</w:t>
      </w:r>
      <w:bookmarkEnd w:id="156"/>
      <w:bookmarkEnd w:id="157"/>
      <w:bookmarkEnd w:id="158"/>
      <w:bookmarkEnd w:id="159"/>
      <w:bookmarkEnd w:id="160"/>
      <w:bookmarkEnd w:id="161"/>
      <w:bookmarkEnd w:id="162"/>
      <w:bookmarkEnd w:id="163"/>
    </w:p>
    <w:p w14:paraId="0EC5CB99">
      <w:pPr>
        <w:spacing w:line="360" w:lineRule="auto"/>
        <w:ind w:firstLine="420" w:firstLineChars="200"/>
        <w:rPr>
          <w:rFonts w:ascii="宋体" w:hAnsi="宋体" w:cs="宋体"/>
          <w:highlight w:val="none"/>
        </w:rPr>
      </w:pPr>
      <w:r>
        <w:rPr>
          <w:rFonts w:hint="eastAsia" w:ascii="宋体" w:hAnsi="宋体" w:cs="宋体"/>
          <w:highlight w:val="none"/>
        </w:rPr>
        <w:t>（一）基金管理人</w:t>
      </w:r>
    </w:p>
    <w:p w14:paraId="1B0D6394">
      <w:pPr>
        <w:spacing w:line="360" w:lineRule="auto"/>
        <w:ind w:firstLine="420"/>
        <w:rPr>
          <w:rFonts w:ascii="宋体" w:hAnsi="宋体" w:cs="宋体"/>
          <w:highlight w:val="none"/>
        </w:rPr>
      </w:pPr>
      <w:r>
        <w:rPr>
          <w:rFonts w:hint="eastAsia" w:ascii="宋体" w:hAnsi="宋体" w:cs="宋体"/>
          <w:highlight w:val="none"/>
        </w:rPr>
        <w:t>名称：博时基金管理有限公司</w:t>
      </w:r>
    </w:p>
    <w:p w14:paraId="30D8CB56">
      <w:pPr>
        <w:adjustRightInd w:val="0"/>
        <w:snapToGrid w:val="0"/>
        <w:spacing w:line="360" w:lineRule="auto"/>
        <w:ind w:firstLine="420" w:firstLineChars="200"/>
        <w:rPr>
          <w:rFonts w:cs="Arial" w:asciiTheme="minorEastAsia" w:hAnsiTheme="minorEastAsia" w:eastAsiaTheme="minorEastAsia"/>
          <w:color w:val="0D0D0D" w:themeColor="text1" w:themeTint="F2"/>
          <w:szCs w:val="21"/>
          <w:highlight w:val="none"/>
          <w14:textFill>
            <w14:solidFill>
              <w14:schemeClr w14:val="tx1">
                <w14:lumMod w14:val="95000"/>
                <w14:lumOff w14:val="5000"/>
              </w14:schemeClr>
            </w14:solidFill>
          </w14:textFill>
        </w:rPr>
      </w:pPr>
      <w:r>
        <w:rPr>
          <w:rFonts w:hint="eastAsia" w:ascii="宋体" w:hAnsi="宋体" w:cs="宋体"/>
          <w:highlight w:val="none"/>
        </w:rPr>
        <w:t>住所：</w:t>
      </w:r>
      <w:r>
        <w:rPr>
          <w:rFonts w:hint="eastAsia" w:cs="Arial" w:asciiTheme="minorEastAsia" w:hAnsiTheme="minorEastAsia" w:eastAsiaTheme="minorEastAsia"/>
          <w:color w:val="0D0D0D" w:themeColor="text1" w:themeTint="F2"/>
          <w:szCs w:val="21"/>
          <w:highlight w:val="none"/>
          <w14:textFill>
            <w14:solidFill>
              <w14:schemeClr w14:val="tx1">
                <w14:lumMod w14:val="95000"/>
                <w14:lumOff w14:val="5000"/>
              </w14:schemeClr>
            </w14:solidFill>
          </w14:textFill>
        </w:rPr>
        <w:t>深圳市福田区莲花街道福新社区益田路5999号基金大厦21层</w:t>
      </w:r>
    </w:p>
    <w:p w14:paraId="422DC295">
      <w:pPr>
        <w:spacing w:line="360" w:lineRule="auto"/>
        <w:ind w:firstLine="420"/>
        <w:rPr>
          <w:rFonts w:ascii="宋体" w:hAnsi="宋体" w:cs="宋体"/>
          <w:highlight w:val="none"/>
        </w:rPr>
      </w:pPr>
      <w:r>
        <w:rPr>
          <w:rFonts w:hint="eastAsia" w:ascii="宋体" w:hAnsi="宋体" w:cs="宋体"/>
          <w:highlight w:val="none"/>
        </w:rPr>
        <w:t>法定代表人：</w:t>
      </w:r>
      <w:r>
        <w:rPr>
          <w:rFonts w:hint="eastAsia" w:ascii="宋体" w:hAnsi="宋体" w:cs="宋体"/>
          <w:highlight w:val="none"/>
          <w:lang w:val="en-US" w:eastAsia="zh-CN"/>
        </w:rPr>
        <w:t>张东</w:t>
      </w:r>
      <w:r>
        <w:rPr>
          <w:rFonts w:hint="eastAsia" w:ascii="宋体" w:hAnsi="宋体" w:cs="宋体"/>
          <w:highlight w:val="none"/>
        </w:rPr>
        <w:t xml:space="preserve"> </w:t>
      </w:r>
    </w:p>
    <w:p w14:paraId="3E8563B6">
      <w:pPr>
        <w:spacing w:line="360" w:lineRule="auto"/>
        <w:ind w:firstLine="420"/>
        <w:rPr>
          <w:rFonts w:ascii="宋体" w:hAnsi="宋体" w:cs="宋体"/>
          <w:highlight w:val="none"/>
        </w:rPr>
      </w:pPr>
      <w:r>
        <w:rPr>
          <w:rFonts w:hint="eastAsia" w:ascii="宋体" w:hAnsi="宋体" w:cs="宋体"/>
          <w:highlight w:val="none"/>
        </w:rPr>
        <w:t>设立日期：</w:t>
      </w:r>
      <w:r>
        <w:rPr>
          <w:rFonts w:hint="eastAsia" w:cs="Arial" w:asciiTheme="minorEastAsia" w:hAnsiTheme="minorEastAsia" w:eastAsiaTheme="minorEastAsia"/>
          <w:color w:val="0D0D0D" w:themeColor="text1" w:themeTint="F2"/>
          <w:szCs w:val="21"/>
          <w:highlight w:val="none"/>
          <w14:textFill>
            <w14:solidFill>
              <w14:schemeClr w14:val="tx1">
                <w14:lumMod w14:val="95000"/>
                <w14:lumOff w14:val="5000"/>
              </w14:schemeClr>
            </w14:solidFill>
          </w14:textFill>
        </w:rPr>
        <w:t>1998年7月13日</w:t>
      </w:r>
    </w:p>
    <w:p w14:paraId="1A20A16B">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批准设立机关及批准设立文号：</w:t>
      </w:r>
      <w:r>
        <w:rPr>
          <w:rFonts w:hint="eastAsia" w:asciiTheme="minorEastAsia" w:hAnsiTheme="minorEastAsia"/>
          <w:color w:val="0D0D0D" w:themeColor="text1" w:themeTint="F2"/>
          <w:highlight w:val="none"/>
          <w14:textFill>
            <w14:solidFill>
              <w14:schemeClr w14:val="tx1">
                <w14:lumMod w14:val="95000"/>
                <w14:lumOff w14:val="5000"/>
              </w14:schemeClr>
            </w14:solidFill>
          </w14:textFill>
        </w:rPr>
        <w:t>中国证券监督管理委员会，</w:t>
      </w:r>
      <w:r>
        <w:rPr>
          <w:rFonts w:hint="eastAsia" w:cs="Arial" w:asciiTheme="minorEastAsia" w:hAnsiTheme="minorEastAsia" w:eastAsiaTheme="minorEastAsia"/>
          <w:color w:val="0D0D0D" w:themeColor="text1" w:themeTint="F2"/>
          <w:szCs w:val="21"/>
          <w:highlight w:val="none"/>
          <w14:textFill>
            <w14:solidFill>
              <w14:schemeClr w14:val="tx1">
                <w14:lumMod w14:val="95000"/>
                <w14:lumOff w14:val="5000"/>
              </w14:schemeClr>
            </w14:solidFill>
          </w14:textFill>
        </w:rPr>
        <w:t>中国证监会证监基字【1998】26号</w:t>
      </w:r>
    </w:p>
    <w:p w14:paraId="52CD8FC0">
      <w:pPr>
        <w:spacing w:line="360" w:lineRule="auto"/>
        <w:ind w:firstLine="420"/>
        <w:rPr>
          <w:rFonts w:ascii="宋体" w:hAnsi="宋体" w:cs="宋体"/>
          <w:highlight w:val="none"/>
        </w:rPr>
      </w:pPr>
      <w:r>
        <w:rPr>
          <w:rFonts w:hint="eastAsia" w:ascii="宋体" w:hAnsi="宋体" w:cs="宋体"/>
          <w:highlight w:val="none"/>
        </w:rPr>
        <w:t>组织形式：有限责任公司</w:t>
      </w:r>
    </w:p>
    <w:p w14:paraId="3D240CEE">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注册资本：</w:t>
      </w:r>
      <w:r>
        <w:rPr>
          <w:rFonts w:asciiTheme="minorEastAsia" w:hAnsiTheme="minorEastAsia"/>
          <w:color w:val="0D0D0D" w:themeColor="text1" w:themeTint="F2"/>
          <w:highlight w:val="none"/>
          <w14:textFill>
            <w14:solidFill>
              <w14:schemeClr w14:val="tx1">
                <w14:lumMod w14:val="95000"/>
                <w14:lumOff w14:val="5000"/>
              </w14:schemeClr>
            </w14:solidFill>
          </w14:textFill>
        </w:rPr>
        <w:t xml:space="preserve"> </w:t>
      </w:r>
      <w:r>
        <w:rPr>
          <w:rFonts w:hint="eastAsia" w:cs="Arial" w:asciiTheme="minorEastAsia" w:hAnsiTheme="minorEastAsia" w:eastAsiaTheme="minorEastAsia"/>
          <w:color w:val="0D0D0D" w:themeColor="text1" w:themeTint="F2"/>
          <w:szCs w:val="21"/>
          <w:highlight w:val="none"/>
          <w14:textFill>
            <w14:solidFill>
              <w14:schemeClr w14:val="tx1">
                <w14:lumMod w14:val="95000"/>
                <w14:lumOff w14:val="5000"/>
              </w14:schemeClr>
            </w14:solidFill>
          </w14:textFill>
        </w:rPr>
        <w:t>2.5亿元人民币</w:t>
      </w:r>
    </w:p>
    <w:p w14:paraId="65A540F2">
      <w:pPr>
        <w:spacing w:line="360" w:lineRule="auto"/>
        <w:ind w:firstLine="420"/>
        <w:rPr>
          <w:rFonts w:ascii="宋体" w:hAnsi="宋体" w:cs="宋体"/>
          <w:highlight w:val="none"/>
        </w:rPr>
      </w:pPr>
      <w:r>
        <w:rPr>
          <w:rFonts w:hint="eastAsia" w:ascii="宋体" w:hAnsi="宋体" w:cs="宋体"/>
          <w:highlight w:val="none"/>
        </w:rPr>
        <w:t>存续期限：持续经营</w:t>
      </w:r>
    </w:p>
    <w:p w14:paraId="0E810A27">
      <w:pPr>
        <w:adjustRightInd w:val="0"/>
        <w:snapToGrid w:val="0"/>
        <w:spacing w:line="360" w:lineRule="auto"/>
        <w:ind w:firstLine="420" w:firstLineChars="200"/>
        <w:rPr>
          <w:rFonts w:asciiTheme="minorEastAsia" w:hAnsiTheme="minorEastAsia"/>
          <w:color w:val="0D0D0D" w:themeColor="text1" w:themeTint="F2"/>
          <w:highlight w:val="none"/>
          <w14:textFill>
            <w14:solidFill>
              <w14:schemeClr w14:val="tx1">
                <w14:lumMod w14:val="95000"/>
                <w14:lumOff w14:val="5000"/>
              </w14:schemeClr>
            </w14:solidFill>
          </w14:textFill>
        </w:rPr>
      </w:pPr>
      <w:r>
        <w:rPr>
          <w:rFonts w:hint="eastAsia" w:ascii="宋体" w:hAnsi="宋体" w:cs="宋体"/>
          <w:highlight w:val="none"/>
        </w:rPr>
        <w:t>联系电话：</w:t>
      </w:r>
      <w:r>
        <w:rPr>
          <w:rFonts w:cs="Arial" w:asciiTheme="minorEastAsia" w:hAnsiTheme="minorEastAsia" w:eastAsiaTheme="minorEastAsia"/>
          <w:color w:val="0D0D0D" w:themeColor="text1" w:themeTint="F2"/>
          <w:szCs w:val="21"/>
          <w:highlight w:val="none"/>
          <w14:textFill>
            <w14:solidFill>
              <w14:schemeClr w14:val="tx1">
                <w14:lumMod w14:val="95000"/>
                <w14:lumOff w14:val="5000"/>
              </w14:schemeClr>
            </w14:solidFill>
          </w14:textFill>
        </w:rPr>
        <w:t>0755-83169999</w:t>
      </w:r>
    </w:p>
    <w:p w14:paraId="67955C90">
      <w:pPr>
        <w:spacing w:line="360" w:lineRule="auto"/>
        <w:ind w:firstLine="420"/>
        <w:rPr>
          <w:rFonts w:ascii="宋体" w:hAnsi="宋体" w:cs="宋体"/>
          <w:highlight w:val="none"/>
        </w:rPr>
      </w:pPr>
    </w:p>
    <w:p w14:paraId="099A9EEC">
      <w:pPr>
        <w:spacing w:line="360" w:lineRule="auto"/>
        <w:ind w:firstLine="420" w:firstLineChars="200"/>
        <w:rPr>
          <w:rFonts w:ascii="宋体" w:hAnsi="宋体" w:cs="宋体"/>
          <w:highlight w:val="none"/>
        </w:rPr>
      </w:pPr>
      <w:r>
        <w:rPr>
          <w:rFonts w:hint="eastAsia" w:ascii="宋体" w:hAnsi="宋体" w:cs="宋体"/>
          <w:highlight w:val="none"/>
        </w:rPr>
        <w:t>（二）基金托管人</w:t>
      </w:r>
    </w:p>
    <w:p w14:paraId="371F2876">
      <w:pPr>
        <w:spacing w:line="360" w:lineRule="auto"/>
        <w:ind w:firstLine="420"/>
        <w:rPr>
          <w:rFonts w:ascii="宋体" w:hAnsi="宋体" w:cs="宋体"/>
          <w:szCs w:val="21"/>
          <w:highlight w:val="none"/>
        </w:rPr>
      </w:pPr>
      <w:r>
        <w:rPr>
          <w:rFonts w:hint="eastAsia" w:ascii="宋体" w:hAnsi="宋体" w:cs="宋体"/>
          <w:szCs w:val="21"/>
          <w:highlight w:val="none"/>
        </w:rPr>
        <w:t>名称：广发银行股份有限公司</w:t>
      </w:r>
    </w:p>
    <w:p w14:paraId="2C7060EA">
      <w:pPr>
        <w:spacing w:line="360" w:lineRule="auto"/>
        <w:ind w:firstLine="420"/>
        <w:rPr>
          <w:rFonts w:ascii="宋体" w:hAnsi="宋体" w:cs="宋体"/>
          <w:szCs w:val="21"/>
          <w:highlight w:val="none"/>
        </w:rPr>
      </w:pPr>
      <w:r>
        <w:rPr>
          <w:rFonts w:hint="eastAsia" w:ascii="宋体" w:hAnsi="宋体" w:cs="宋体"/>
          <w:szCs w:val="21"/>
          <w:highlight w:val="none"/>
        </w:rPr>
        <w:t>住所：广州市越秀区东风东路713号</w:t>
      </w:r>
    </w:p>
    <w:p w14:paraId="25C1A58D">
      <w:pPr>
        <w:spacing w:line="360" w:lineRule="auto"/>
        <w:ind w:firstLine="420"/>
        <w:rPr>
          <w:rFonts w:ascii="宋体" w:hAnsi="宋体" w:cs="宋体"/>
          <w:szCs w:val="21"/>
          <w:highlight w:val="none"/>
        </w:rPr>
      </w:pPr>
      <w:r>
        <w:rPr>
          <w:rFonts w:hint="eastAsia" w:ascii="宋体" w:hAnsi="宋体" w:cs="宋体"/>
          <w:szCs w:val="21"/>
          <w:highlight w:val="none"/>
        </w:rPr>
        <w:t>办公地址：北京市西城区金融大街十五号鑫茂大厦北楼4层</w:t>
      </w:r>
    </w:p>
    <w:p w14:paraId="275F0A4A">
      <w:pPr>
        <w:spacing w:line="360" w:lineRule="auto"/>
        <w:ind w:firstLine="420"/>
        <w:rPr>
          <w:rFonts w:ascii="宋体" w:hAnsi="宋体" w:cs="宋体"/>
          <w:szCs w:val="21"/>
          <w:highlight w:val="none"/>
        </w:rPr>
      </w:pPr>
      <w:r>
        <w:rPr>
          <w:rFonts w:hint="eastAsia" w:ascii="宋体" w:hAnsi="宋体" w:cs="宋体"/>
          <w:szCs w:val="21"/>
          <w:highlight w:val="none"/>
        </w:rPr>
        <w:t>邮政编码：1000</w:t>
      </w:r>
      <w:r>
        <w:rPr>
          <w:rFonts w:ascii="宋体" w:hAnsi="宋体" w:cs="宋体"/>
          <w:szCs w:val="21"/>
          <w:highlight w:val="none"/>
        </w:rPr>
        <w:t>32</w:t>
      </w:r>
    </w:p>
    <w:p w14:paraId="0ED87736">
      <w:pPr>
        <w:spacing w:line="360" w:lineRule="auto"/>
        <w:ind w:firstLine="420"/>
        <w:rPr>
          <w:rFonts w:ascii="宋体" w:hAnsi="宋体" w:cs="宋体"/>
          <w:szCs w:val="21"/>
          <w:highlight w:val="none"/>
        </w:rPr>
      </w:pPr>
      <w:r>
        <w:rPr>
          <w:rFonts w:hint="eastAsia" w:ascii="宋体" w:hAnsi="宋体" w:cs="宋体"/>
          <w:szCs w:val="21"/>
          <w:highlight w:val="none"/>
        </w:rPr>
        <w:t>法定代表人：王凯</w:t>
      </w:r>
    </w:p>
    <w:p w14:paraId="19DB3156">
      <w:pPr>
        <w:spacing w:line="360" w:lineRule="auto"/>
        <w:ind w:firstLine="420"/>
        <w:rPr>
          <w:rFonts w:ascii="宋体" w:hAnsi="宋体" w:cs="宋体"/>
          <w:szCs w:val="21"/>
          <w:highlight w:val="none"/>
        </w:rPr>
      </w:pPr>
      <w:r>
        <w:rPr>
          <w:rFonts w:hint="eastAsia" w:ascii="宋体" w:hAnsi="宋体" w:cs="宋体"/>
          <w:szCs w:val="21"/>
          <w:highlight w:val="none"/>
        </w:rPr>
        <w:t>成立时间：1988年7月8日</w:t>
      </w:r>
    </w:p>
    <w:p w14:paraId="3C19D7CE">
      <w:pPr>
        <w:spacing w:line="360" w:lineRule="auto"/>
        <w:ind w:firstLine="420"/>
        <w:rPr>
          <w:rFonts w:ascii="宋体" w:hAnsi="宋体" w:cs="宋体"/>
          <w:szCs w:val="21"/>
          <w:highlight w:val="none"/>
        </w:rPr>
      </w:pPr>
      <w:r>
        <w:rPr>
          <w:rFonts w:hint="eastAsia" w:ascii="宋体" w:hAnsi="宋体" w:cs="宋体"/>
          <w:szCs w:val="21"/>
          <w:highlight w:val="none"/>
        </w:rPr>
        <w:t>基金托管业务批准文号：证监许可[2009]363号</w:t>
      </w:r>
    </w:p>
    <w:p w14:paraId="75FC3ED6">
      <w:pPr>
        <w:spacing w:line="360" w:lineRule="auto"/>
        <w:ind w:firstLine="420"/>
        <w:rPr>
          <w:rFonts w:ascii="宋体" w:hAnsi="宋体" w:cs="宋体"/>
          <w:szCs w:val="21"/>
          <w:highlight w:val="none"/>
        </w:rPr>
      </w:pPr>
      <w:r>
        <w:rPr>
          <w:rFonts w:hint="eastAsia" w:ascii="宋体" w:hAnsi="宋体" w:cs="宋体"/>
          <w:szCs w:val="21"/>
          <w:highlight w:val="none"/>
        </w:rPr>
        <w:t>组织形式：股份有限公司</w:t>
      </w:r>
    </w:p>
    <w:p w14:paraId="0A222F4D">
      <w:pPr>
        <w:spacing w:line="360" w:lineRule="auto"/>
        <w:ind w:firstLine="420"/>
        <w:rPr>
          <w:rFonts w:ascii="宋体" w:hAnsi="宋体" w:cs="宋体"/>
          <w:szCs w:val="21"/>
          <w:highlight w:val="none"/>
        </w:rPr>
      </w:pPr>
      <w:r>
        <w:rPr>
          <w:rFonts w:hint="eastAsia" w:ascii="宋体" w:hAnsi="宋体" w:cs="宋体"/>
          <w:szCs w:val="21"/>
          <w:highlight w:val="none"/>
        </w:rPr>
        <w:t>注册资本：217</w:t>
      </w:r>
      <w:r>
        <w:rPr>
          <w:rFonts w:ascii="宋体" w:hAnsi="宋体" w:cs="宋体"/>
          <w:szCs w:val="21"/>
          <w:highlight w:val="none"/>
        </w:rPr>
        <w:t>.9</w:t>
      </w:r>
      <w:r>
        <w:rPr>
          <w:rFonts w:hint="eastAsia" w:ascii="宋体" w:hAnsi="宋体" w:cs="宋体"/>
          <w:szCs w:val="21"/>
          <w:highlight w:val="none"/>
        </w:rPr>
        <w:t>亿人民币</w:t>
      </w:r>
    </w:p>
    <w:p w14:paraId="67C023A3">
      <w:pPr>
        <w:spacing w:line="360" w:lineRule="auto"/>
        <w:ind w:firstLine="420"/>
        <w:rPr>
          <w:rFonts w:ascii="宋体" w:hAnsi="宋体" w:cs="宋体"/>
          <w:szCs w:val="21"/>
          <w:highlight w:val="none"/>
        </w:rPr>
      </w:pPr>
      <w:r>
        <w:rPr>
          <w:rFonts w:hint="eastAsia" w:ascii="宋体" w:hAnsi="宋体" w:cs="宋体"/>
          <w:szCs w:val="21"/>
          <w:highlight w:val="none"/>
        </w:rPr>
        <w:t>存续期间：持续经营</w:t>
      </w:r>
    </w:p>
    <w:p w14:paraId="6BAE266F">
      <w:pPr>
        <w:numPr>
          <w:ilvl w:val="0"/>
          <w:numId w:val="5"/>
        </w:numPr>
        <w:spacing w:line="360" w:lineRule="auto"/>
        <w:rPr>
          <w:rFonts w:ascii="宋体" w:hAnsi="宋体" w:cs="Arial"/>
          <w:b/>
          <w:szCs w:val="21"/>
          <w:highlight w:val="none"/>
        </w:rPr>
      </w:pPr>
      <w:bookmarkStart w:id="164" w:name="_Toc287014242"/>
      <w:bookmarkStart w:id="165" w:name="_Toc278986605"/>
      <w:bookmarkStart w:id="166" w:name="_Toc278986890"/>
      <w:bookmarkStart w:id="167" w:name="_Toc286319593"/>
      <w:bookmarkStart w:id="168" w:name="_Toc278986830"/>
      <w:bookmarkStart w:id="169" w:name="_Toc252355957"/>
      <w:bookmarkStart w:id="170" w:name="_Toc288639815"/>
      <w:bookmarkStart w:id="171" w:name="_Toc116900098"/>
      <w:r>
        <w:rPr>
          <w:rFonts w:ascii="宋体" w:hAnsi="宋体" w:cs="Arial"/>
          <w:b/>
          <w:szCs w:val="21"/>
          <w:highlight w:val="none"/>
        </w:rPr>
        <w:t>基金托管人对基金管理人的业务监督和核查</w:t>
      </w:r>
      <w:bookmarkEnd w:id="164"/>
      <w:bookmarkEnd w:id="165"/>
      <w:bookmarkEnd w:id="166"/>
      <w:bookmarkEnd w:id="167"/>
      <w:bookmarkEnd w:id="168"/>
      <w:bookmarkEnd w:id="169"/>
      <w:bookmarkEnd w:id="170"/>
      <w:bookmarkEnd w:id="171"/>
    </w:p>
    <w:p w14:paraId="7D4AD0FA">
      <w:pPr>
        <w:spacing w:line="360" w:lineRule="auto"/>
        <w:ind w:firstLine="420"/>
        <w:rPr>
          <w:rFonts w:ascii="宋体" w:hAnsi="宋体" w:cs="宋体"/>
          <w:szCs w:val="21"/>
          <w:highlight w:val="none"/>
        </w:rPr>
      </w:pPr>
      <w:bookmarkStart w:id="172" w:name="_Toc287014243"/>
      <w:bookmarkStart w:id="173" w:name="_Toc278986891"/>
      <w:bookmarkStart w:id="174" w:name="_Toc288639816"/>
      <w:bookmarkStart w:id="175" w:name="_Toc278986831"/>
      <w:bookmarkStart w:id="176" w:name="_Toc286319594"/>
      <w:bookmarkStart w:id="177" w:name="_Toc278986606"/>
      <w:bookmarkStart w:id="178" w:name="_Toc252355958"/>
      <w:r>
        <w:rPr>
          <w:rFonts w:hint="eastAsia" w:ascii="宋体" w:hAnsi="宋体" w:cs="宋体"/>
          <w:szCs w:val="21"/>
          <w:highlight w:val="none"/>
        </w:rPr>
        <w:t>（一）基金托管人根据有关法律法规的规定以及《基金合同》的约定，对基金投资范围、投资比例、投资限制、关联方交易等进行监督。《基金合同》明确约定基金投资证券选择标准的，基金管理人应事先或定期向基金托管人提供投资品种池，以便基金托管人对基金实际投资是否符合基金合同关于证券选择标准的约定进行监督。</w:t>
      </w:r>
    </w:p>
    <w:p w14:paraId="64023FBF">
      <w:pPr>
        <w:spacing w:line="360" w:lineRule="auto"/>
        <w:ind w:firstLine="420"/>
        <w:rPr>
          <w:rFonts w:ascii="宋体" w:hAnsi="宋体" w:cs="宋体"/>
          <w:szCs w:val="21"/>
          <w:highlight w:val="none"/>
        </w:rPr>
      </w:pPr>
      <w:r>
        <w:rPr>
          <w:rFonts w:hint="eastAsia" w:ascii="宋体" w:hAnsi="宋体" w:cs="宋体"/>
          <w:szCs w:val="21"/>
          <w:highlight w:val="none"/>
        </w:rPr>
        <w:t>1.本基金的投资范围为：</w:t>
      </w:r>
    </w:p>
    <w:p w14:paraId="5B3D6403">
      <w:pPr>
        <w:spacing w:line="360" w:lineRule="auto"/>
        <w:ind w:firstLine="420"/>
        <w:rPr>
          <w:rFonts w:ascii="宋体" w:hAnsi="宋体" w:cs="宋体"/>
          <w:szCs w:val="21"/>
          <w:highlight w:val="none"/>
        </w:rPr>
      </w:pPr>
      <w:r>
        <w:rPr>
          <w:rFonts w:hint="eastAsia" w:ascii="宋体" w:hAnsi="宋体" w:cs="宋体"/>
          <w:szCs w:val="21"/>
          <w:highlight w:val="none"/>
        </w:rPr>
        <w:t xml:space="preserve">本基金主要投资于标的指数成份股和备选成份股（含存托凭证）。 </w:t>
      </w:r>
    </w:p>
    <w:p w14:paraId="0BCAB751">
      <w:pPr>
        <w:spacing w:line="360" w:lineRule="auto"/>
        <w:ind w:firstLine="420"/>
        <w:rPr>
          <w:rFonts w:ascii="宋体" w:hAnsi="宋体" w:cs="宋体"/>
          <w:szCs w:val="21"/>
          <w:highlight w:val="none"/>
        </w:rPr>
      </w:pPr>
      <w:r>
        <w:rPr>
          <w:rFonts w:hint="eastAsia" w:ascii="宋体" w:hAnsi="宋体" w:cs="宋体"/>
          <w:szCs w:val="21"/>
          <w:highlight w:val="none"/>
        </w:rPr>
        <w:t xml:space="preserve">为更好地实现基金的投资目标，本基金可少量投资于依法发行上市的非成份股（包括港股通标的股票、主板、创业板及其他经中国证监会核准或注册上市的股票和存托凭证）、债券（包括国债、金融债、地方政府债、政府支持机构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 </w:t>
      </w:r>
    </w:p>
    <w:p w14:paraId="442AAE4D">
      <w:pPr>
        <w:spacing w:line="360" w:lineRule="auto"/>
        <w:ind w:firstLine="420"/>
        <w:rPr>
          <w:rFonts w:ascii="宋体" w:hAnsi="宋体" w:cs="宋体"/>
          <w:szCs w:val="21"/>
          <w:highlight w:val="none"/>
        </w:rPr>
      </w:pPr>
      <w:r>
        <w:rPr>
          <w:rFonts w:hint="eastAsia" w:ascii="宋体" w:hAnsi="宋体" w:cs="宋体"/>
          <w:szCs w:val="21"/>
          <w:highlight w:val="none"/>
        </w:rPr>
        <w:t xml:space="preserve">本基金可根据法律法规的规定参与融资和转融通证券出借业务。 </w:t>
      </w:r>
    </w:p>
    <w:p w14:paraId="21548929">
      <w:pPr>
        <w:spacing w:line="360" w:lineRule="auto"/>
        <w:ind w:firstLine="420"/>
        <w:rPr>
          <w:rFonts w:ascii="宋体" w:hAnsi="宋体" w:cs="宋体"/>
          <w:szCs w:val="21"/>
          <w:highlight w:val="none"/>
        </w:rPr>
      </w:pPr>
      <w:r>
        <w:rPr>
          <w:rFonts w:hint="eastAsia" w:ascii="宋体" w:hAnsi="宋体" w:cs="宋体"/>
          <w:szCs w:val="21"/>
          <w:highlight w:val="none"/>
        </w:rPr>
        <w:t>如法律法规或中国证监会以后允许基金投资其他品种，本基金管理人在履行适当程序后，可以将其纳入本基金的投资范围。</w:t>
      </w:r>
    </w:p>
    <w:p w14:paraId="5A60715E">
      <w:pPr>
        <w:spacing w:line="360" w:lineRule="auto"/>
        <w:ind w:firstLine="420"/>
        <w:rPr>
          <w:rFonts w:ascii="宋体" w:hAnsi="宋体" w:cs="宋体"/>
          <w:szCs w:val="21"/>
          <w:highlight w:val="none"/>
        </w:rPr>
      </w:pPr>
      <w:r>
        <w:rPr>
          <w:rFonts w:hint="eastAsia" w:ascii="宋体" w:hAnsi="宋体" w:cs="宋体"/>
          <w:szCs w:val="21"/>
          <w:highlight w:val="none"/>
        </w:rPr>
        <w:t xml:space="preserve">本基金投资于标的指数成份股和备选成份股（含存托凭证）的资产比例不低于基金资产净值的90%,且不低于非现金基金资产的80%；本基金每个交易日日终在扣除股指期货、股票期权和国债期货合约需缴纳的交易保证金后，应当保持不低于交易保证金一倍的现金，其中现金不包括结算备付金、存出保证金和应收申购款等；股指期货、股票期权、国债期货及其他金融工具的投资比例依照法律法规或监管机构的规定执行。 </w:t>
      </w:r>
    </w:p>
    <w:p w14:paraId="16BA3C67">
      <w:pPr>
        <w:spacing w:line="360" w:lineRule="auto"/>
        <w:rPr>
          <w:rFonts w:ascii="宋体" w:hAnsi="宋体" w:cs="宋体"/>
          <w:szCs w:val="21"/>
          <w:highlight w:val="none"/>
        </w:rPr>
      </w:pPr>
      <w:r>
        <w:rPr>
          <w:rFonts w:hint="eastAsia" w:ascii="宋体" w:hAnsi="宋体" w:cs="宋体"/>
          <w:szCs w:val="21"/>
          <w:highlight w:val="none"/>
        </w:rPr>
        <w:t>若法律法规的相关规定发生变更或监管机构允许，本基金管理人在履行适当程序后，可对上述资产配置比例进行调整。</w:t>
      </w:r>
    </w:p>
    <w:p w14:paraId="436244BA">
      <w:pPr>
        <w:spacing w:line="360" w:lineRule="auto"/>
        <w:ind w:firstLine="420"/>
        <w:rPr>
          <w:rFonts w:ascii="宋体" w:hAnsi="宋体" w:cs="宋体"/>
          <w:szCs w:val="21"/>
          <w:highlight w:val="none"/>
        </w:rPr>
      </w:pPr>
      <w:r>
        <w:rPr>
          <w:rFonts w:hint="eastAsia" w:ascii="宋体" w:hAnsi="宋体" w:cs="宋体"/>
          <w:szCs w:val="21"/>
          <w:highlight w:val="none"/>
        </w:rPr>
        <w:t>2.本基金各类品种的投资比例、投资限制为：</w:t>
      </w:r>
    </w:p>
    <w:p w14:paraId="4C79F1EF">
      <w:pPr>
        <w:adjustRightInd w:val="0"/>
        <w:snapToGrid w:val="0"/>
        <w:spacing w:line="360" w:lineRule="auto"/>
        <w:ind w:firstLine="420" w:firstLineChars="200"/>
        <w:rPr>
          <w:rFonts w:asciiTheme="minorEastAsia" w:hAnsiTheme="minorEastAsia"/>
          <w:color w:val="0D0D0D" w:themeColor="text1" w:themeTint="F2"/>
          <w:highlight w:val="none"/>
          <w14:textFill>
            <w14:solidFill>
              <w14:schemeClr w14:val="tx1">
                <w14:lumMod w14:val="95000"/>
                <w14:lumOff w14:val="5000"/>
              </w14:schemeClr>
            </w14:solidFill>
          </w14:textFill>
        </w:rPr>
      </w:pPr>
      <w:r>
        <w:rPr>
          <w:rFonts w:hint="eastAsia" w:asciiTheme="minorEastAsia" w:hAnsiTheme="minorEastAsia"/>
          <w:color w:val="0D0D0D" w:themeColor="text1" w:themeTint="F2"/>
          <w:highlight w:val="none"/>
          <w14:textFill>
            <w14:solidFill>
              <w14:schemeClr w14:val="tx1">
                <w14:lumMod w14:val="95000"/>
                <w14:lumOff w14:val="5000"/>
              </w14:schemeClr>
            </w14:solidFill>
          </w14:textFill>
        </w:rPr>
        <w:t xml:space="preserve">（1）本基金投资于标的指数成份股和备选成份股（含存托凭证）的资产比例不低于基金资产净值的90%，且不低于非现金基金资产的80%； </w:t>
      </w:r>
    </w:p>
    <w:p w14:paraId="0F705D5F">
      <w:pPr>
        <w:adjustRightInd w:val="0"/>
        <w:snapToGrid w:val="0"/>
        <w:spacing w:line="360" w:lineRule="auto"/>
        <w:ind w:firstLine="420" w:firstLineChars="200"/>
        <w:rPr>
          <w:rFonts w:asciiTheme="minorEastAsia" w:hAnsiTheme="minorEastAsia"/>
          <w:color w:val="0D0D0D" w:themeColor="text1" w:themeTint="F2"/>
          <w:highlight w:val="none"/>
          <w14:textFill>
            <w14:solidFill>
              <w14:schemeClr w14:val="tx1">
                <w14:lumMod w14:val="95000"/>
                <w14:lumOff w14:val="5000"/>
              </w14:schemeClr>
            </w14:solidFill>
          </w14:textFill>
        </w:rPr>
      </w:pPr>
      <w:r>
        <w:rPr>
          <w:rFonts w:hint="eastAsia" w:asciiTheme="minorEastAsia" w:hAnsiTheme="minorEastAsia"/>
          <w:color w:val="0D0D0D" w:themeColor="text1" w:themeTint="F2"/>
          <w:highlight w:val="none"/>
          <w14:textFill>
            <w14:solidFill>
              <w14:schemeClr w14:val="tx1">
                <w14:lumMod w14:val="95000"/>
                <w14:lumOff w14:val="5000"/>
              </w14:schemeClr>
            </w14:solidFill>
          </w14:textFill>
        </w:rPr>
        <w:t>（2）本基金每个交易日日终在扣除股指期货、股票期权和国债期货合约需缴纳的交易保证金后，应当保持不低于交易保证金一倍的现金，其中现金不包括结算备付金、存出保证金和应收申购款等；</w:t>
      </w:r>
    </w:p>
    <w:p w14:paraId="2142AC44">
      <w:pPr>
        <w:adjustRightInd w:val="0"/>
        <w:snapToGrid w:val="0"/>
        <w:spacing w:line="360" w:lineRule="auto"/>
        <w:ind w:firstLine="420" w:firstLineChars="200"/>
        <w:rPr>
          <w:rFonts w:asciiTheme="minorEastAsia" w:hAnsiTheme="minorEastAsia"/>
          <w:color w:val="0D0D0D" w:themeColor="text1" w:themeTint="F2"/>
          <w:highlight w:val="none"/>
          <w14:textFill>
            <w14:solidFill>
              <w14:schemeClr w14:val="tx1">
                <w14:lumMod w14:val="95000"/>
                <w14:lumOff w14:val="5000"/>
              </w14:schemeClr>
            </w14:solidFill>
          </w14:textFill>
        </w:rPr>
      </w:pPr>
      <w:r>
        <w:rPr>
          <w:rFonts w:hint="eastAsia" w:asciiTheme="minorEastAsia" w:hAnsiTheme="minorEastAsia"/>
          <w:color w:val="0D0D0D" w:themeColor="text1" w:themeTint="F2"/>
          <w:highlight w:val="none"/>
          <w14:textFill>
            <w14:solidFill>
              <w14:schemeClr w14:val="tx1">
                <w14:lumMod w14:val="95000"/>
                <w14:lumOff w14:val="5000"/>
              </w14:schemeClr>
            </w14:solidFill>
          </w14:textFill>
        </w:rPr>
        <w:t>（3）本基金参与股指期货和国债期货交易，需遵守下列投资比例限制：</w:t>
      </w:r>
    </w:p>
    <w:p w14:paraId="0F9EC670">
      <w:pPr>
        <w:adjustRightInd w:val="0"/>
        <w:snapToGrid w:val="0"/>
        <w:spacing w:line="360" w:lineRule="auto"/>
        <w:ind w:firstLine="420" w:firstLineChars="200"/>
        <w:rPr>
          <w:rFonts w:asciiTheme="minorEastAsia" w:hAnsiTheme="minorEastAsia"/>
          <w:color w:val="0D0D0D" w:themeColor="text1" w:themeTint="F2"/>
          <w:highlight w:val="none"/>
          <w14:textFill>
            <w14:solidFill>
              <w14:schemeClr w14:val="tx1">
                <w14:lumMod w14:val="95000"/>
                <w14:lumOff w14:val="5000"/>
              </w14:schemeClr>
            </w14:solidFill>
          </w14:textFill>
        </w:rPr>
      </w:pPr>
      <w:r>
        <w:rPr>
          <w:rFonts w:hint="eastAsia" w:asciiTheme="minorEastAsia" w:hAnsiTheme="minorEastAsia"/>
          <w:color w:val="0D0D0D" w:themeColor="text1" w:themeTint="F2"/>
          <w:highlight w:val="none"/>
          <w14:textFill>
            <w14:solidFill>
              <w14:schemeClr w14:val="tx1">
                <w14:lumMod w14:val="95000"/>
                <w14:lumOff w14:val="5000"/>
              </w14:schemeClr>
            </w14:solidFill>
          </w14:textFill>
        </w:rPr>
        <w:t>1）本基金在任何交易日日终，持有的买入股指期货合约价值，不得超过基金资产净值的10%；在任何交易日日终，持有的买入国债期货合约价值，不得超过基金资产净值的15%；</w:t>
      </w:r>
    </w:p>
    <w:p w14:paraId="59FEC174">
      <w:pPr>
        <w:adjustRightInd w:val="0"/>
        <w:snapToGrid w:val="0"/>
        <w:spacing w:line="360" w:lineRule="auto"/>
        <w:ind w:firstLine="420" w:firstLineChars="200"/>
        <w:rPr>
          <w:rFonts w:asciiTheme="minorEastAsia" w:hAnsiTheme="minorEastAsia"/>
          <w:color w:val="0D0D0D" w:themeColor="text1" w:themeTint="F2"/>
          <w:highlight w:val="none"/>
          <w14:textFill>
            <w14:solidFill>
              <w14:schemeClr w14:val="tx1">
                <w14:lumMod w14:val="95000"/>
                <w14:lumOff w14:val="5000"/>
              </w14:schemeClr>
            </w14:solidFill>
          </w14:textFill>
        </w:rPr>
      </w:pPr>
      <w:r>
        <w:rPr>
          <w:rFonts w:hint="eastAsia" w:asciiTheme="minorEastAsia" w:hAnsiTheme="minorEastAsia"/>
          <w:color w:val="0D0D0D" w:themeColor="text1" w:themeTint="F2"/>
          <w:highlight w:val="none"/>
          <w14:textFill>
            <w14:solidFill>
              <w14:schemeClr w14:val="tx1">
                <w14:lumMod w14:val="95000"/>
                <w14:lumOff w14:val="5000"/>
              </w14:schemeClr>
            </w14:solidFill>
          </w14:textFill>
        </w:rPr>
        <w:t>2）本基金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w:t>
      </w:r>
    </w:p>
    <w:p w14:paraId="662A006F">
      <w:pPr>
        <w:adjustRightInd w:val="0"/>
        <w:snapToGrid w:val="0"/>
        <w:spacing w:line="360" w:lineRule="auto"/>
        <w:ind w:firstLine="420" w:firstLineChars="200"/>
        <w:rPr>
          <w:rFonts w:asciiTheme="minorEastAsia" w:hAnsiTheme="minorEastAsia"/>
          <w:color w:val="0D0D0D" w:themeColor="text1" w:themeTint="F2"/>
          <w:highlight w:val="none"/>
          <w14:textFill>
            <w14:solidFill>
              <w14:schemeClr w14:val="tx1">
                <w14:lumMod w14:val="95000"/>
                <w14:lumOff w14:val="5000"/>
              </w14:schemeClr>
            </w14:solidFill>
          </w14:textFill>
        </w:rPr>
      </w:pPr>
      <w:r>
        <w:rPr>
          <w:rFonts w:hint="eastAsia" w:asciiTheme="minorEastAsia" w:hAnsiTheme="minorEastAsia"/>
          <w:color w:val="0D0D0D" w:themeColor="text1" w:themeTint="F2"/>
          <w:highlight w:val="none"/>
          <w14:textFill>
            <w14:solidFill>
              <w14:schemeClr w14:val="tx1">
                <w14:lumMod w14:val="95000"/>
                <w14:lumOff w14:val="5000"/>
              </w14:schemeClr>
            </w14:solidFill>
          </w14:textFill>
        </w:rPr>
        <w:t xml:space="preserve">3）本基金在任何交易日日终，持有的卖出股指期货合约价值不得超过基金持有的股票总市值的20%；在任何交易日日终，持有的卖出国债期货合约价值不得超过基金持有的债券总市值的30%； </w:t>
      </w:r>
    </w:p>
    <w:p w14:paraId="186C0EE4">
      <w:pPr>
        <w:adjustRightInd w:val="0"/>
        <w:snapToGrid w:val="0"/>
        <w:spacing w:line="360" w:lineRule="auto"/>
        <w:ind w:firstLine="420" w:firstLineChars="200"/>
        <w:rPr>
          <w:rFonts w:asciiTheme="minorEastAsia" w:hAnsiTheme="minorEastAsia"/>
          <w:color w:val="0D0D0D" w:themeColor="text1" w:themeTint="F2"/>
          <w:highlight w:val="none"/>
          <w14:textFill>
            <w14:solidFill>
              <w14:schemeClr w14:val="tx1">
                <w14:lumMod w14:val="95000"/>
                <w14:lumOff w14:val="5000"/>
              </w14:schemeClr>
            </w14:solidFill>
          </w14:textFill>
        </w:rPr>
      </w:pPr>
      <w:r>
        <w:rPr>
          <w:rFonts w:hint="eastAsia" w:asciiTheme="minorEastAsia" w:hAnsiTheme="minorEastAsia"/>
          <w:color w:val="0D0D0D" w:themeColor="text1" w:themeTint="F2"/>
          <w:highlight w:val="none"/>
          <w14:textFill>
            <w14:solidFill>
              <w14:schemeClr w14:val="tx1">
                <w14:lumMod w14:val="95000"/>
                <w14:lumOff w14:val="5000"/>
              </w14:schemeClr>
            </w14:solidFill>
          </w14:textFill>
        </w:rPr>
        <w:t>4）本基金在任何交易日内交易（不包括平仓）的股指期货合约的成交金额不得超过上一交易日基金资产净值的20%；在任何交易日内交易（不包括平仓）的国债期货合约的成交金额不得超过上一交易日基金资产净值的30%；</w:t>
      </w:r>
    </w:p>
    <w:p w14:paraId="0A3A46C9">
      <w:pPr>
        <w:adjustRightInd w:val="0"/>
        <w:snapToGrid w:val="0"/>
        <w:spacing w:line="360" w:lineRule="auto"/>
        <w:ind w:firstLine="420" w:firstLineChars="200"/>
        <w:rPr>
          <w:rFonts w:asciiTheme="minorEastAsia" w:hAnsiTheme="minorEastAsia"/>
          <w:color w:val="0D0D0D" w:themeColor="text1" w:themeTint="F2"/>
          <w:highlight w:val="none"/>
          <w14:textFill>
            <w14:solidFill>
              <w14:schemeClr w14:val="tx1">
                <w14:lumMod w14:val="95000"/>
                <w14:lumOff w14:val="5000"/>
              </w14:schemeClr>
            </w14:solidFill>
          </w14:textFill>
        </w:rPr>
      </w:pPr>
      <w:r>
        <w:rPr>
          <w:rFonts w:hint="eastAsia" w:asciiTheme="minorEastAsia" w:hAnsiTheme="minorEastAsia"/>
          <w:color w:val="0D0D0D" w:themeColor="text1" w:themeTint="F2"/>
          <w:highlight w:val="none"/>
          <w14:textFill>
            <w14:solidFill>
              <w14:schemeClr w14:val="tx1">
                <w14:lumMod w14:val="95000"/>
                <w14:lumOff w14:val="5000"/>
              </w14:schemeClr>
            </w14:solidFill>
          </w14:textFill>
        </w:rPr>
        <w:t>5）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w:t>
      </w:r>
    </w:p>
    <w:p w14:paraId="483CC274">
      <w:pPr>
        <w:adjustRightInd w:val="0"/>
        <w:snapToGrid w:val="0"/>
        <w:spacing w:line="360" w:lineRule="auto"/>
        <w:ind w:firstLine="420" w:firstLineChars="200"/>
        <w:rPr>
          <w:rFonts w:asciiTheme="minorEastAsia" w:hAnsiTheme="minorEastAsia"/>
          <w:color w:val="0D0D0D" w:themeColor="text1" w:themeTint="F2"/>
          <w:highlight w:val="none"/>
          <w14:textFill>
            <w14:solidFill>
              <w14:schemeClr w14:val="tx1">
                <w14:lumMod w14:val="95000"/>
                <w14:lumOff w14:val="5000"/>
              </w14:schemeClr>
            </w14:solidFill>
          </w14:textFill>
        </w:rPr>
      </w:pPr>
      <w:r>
        <w:rPr>
          <w:rFonts w:hint="eastAsia" w:asciiTheme="minorEastAsia" w:hAnsiTheme="minorEastAsia"/>
          <w:color w:val="0D0D0D" w:themeColor="text1" w:themeTint="F2"/>
          <w:highlight w:val="none"/>
          <w14:textFill>
            <w14:solidFill>
              <w14:schemeClr w14:val="tx1">
                <w14:lumMod w14:val="95000"/>
                <w14:lumOff w14:val="5000"/>
              </w14:schemeClr>
            </w14:solidFill>
          </w14:textFill>
        </w:rPr>
        <w:t>（4）本基金投资于同一原始权益人的各类资产支持证券的比例，不得超过基金资产净值的10％；</w:t>
      </w:r>
    </w:p>
    <w:p w14:paraId="74DD0A33">
      <w:pPr>
        <w:adjustRightInd w:val="0"/>
        <w:snapToGrid w:val="0"/>
        <w:spacing w:line="360" w:lineRule="auto"/>
        <w:ind w:firstLine="420" w:firstLineChars="200"/>
        <w:rPr>
          <w:rFonts w:asciiTheme="minorEastAsia" w:hAnsiTheme="minorEastAsia"/>
          <w:color w:val="0D0D0D" w:themeColor="text1" w:themeTint="F2"/>
          <w:highlight w:val="none"/>
          <w14:textFill>
            <w14:solidFill>
              <w14:schemeClr w14:val="tx1">
                <w14:lumMod w14:val="95000"/>
                <w14:lumOff w14:val="5000"/>
              </w14:schemeClr>
            </w14:solidFill>
          </w14:textFill>
        </w:rPr>
      </w:pPr>
      <w:r>
        <w:rPr>
          <w:rFonts w:hint="eastAsia" w:asciiTheme="minorEastAsia" w:hAnsiTheme="minorEastAsia"/>
          <w:color w:val="0D0D0D" w:themeColor="text1" w:themeTint="F2"/>
          <w:highlight w:val="none"/>
          <w14:textFill>
            <w14:solidFill>
              <w14:schemeClr w14:val="tx1">
                <w14:lumMod w14:val="95000"/>
                <w14:lumOff w14:val="5000"/>
              </w14:schemeClr>
            </w14:solidFill>
          </w14:textFill>
        </w:rPr>
        <w:t>（5）本基金持有的全部资产支持证券，其市值不得超过基金资产净值的20％；</w:t>
      </w:r>
    </w:p>
    <w:p w14:paraId="71EDFF81">
      <w:pPr>
        <w:adjustRightInd w:val="0"/>
        <w:snapToGrid w:val="0"/>
        <w:spacing w:line="360" w:lineRule="auto"/>
        <w:ind w:firstLine="420" w:firstLineChars="200"/>
        <w:rPr>
          <w:rFonts w:asciiTheme="minorEastAsia" w:hAnsiTheme="minorEastAsia"/>
          <w:color w:val="0D0D0D" w:themeColor="text1" w:themeTint="F2"/>
          <w:highlight w:val="none"/>
          <w14:textFill>
            <w14:solidFill>
              <w14:schemeClr w14:val="tx1">
                <w14:lumMod w14:val="95000"/>
                <w14:lumOff w14:val="5000"/>
              </w14:schemeClr>
            </w14:solidFill>
          </w14:textFill>
        </w:rPr>
      </w:pPr>
      <w:r>
        <w:rPr>
          <w:rFonts w:hint="eastAsia" w:asciiTheme="minorEastAsia" w:hAnsiTheme="minorEastAsia"/>
          <w:color w:val="0D0D0D" w:themeColor="text1" w:themeTint="F2"/>
          <w:highlight w:val="none"/>
          <w14:textFill>
            <w14:solidFill>
              <w14:schemeClr w14:val="tx1">
                <w14:lumMod w14:val="95000"/>
                <w14:lumOff w14:val="5000"/>
              </w14:schemeClr>
            </w14:solidFill>
          </w14:textFill>
        </w:rPr>
        <w:t>（6）本基金持有的同一(指同一信用级别)资产支持证券的比例，不得超过该资产支持证券规模的10％；</w:t>
      </w:r>
    </w:p>
    <w:p w14:paraId="3F69CCE5">
      <w:pPr>
        <w:adjustRightInd w:val="0"/>
        <w:snapToGrid w:val="0"/>
        <w:spacing w:line="360" w:lineRule="auto"/>
        <w:ind w:firstLine="420" w:firstLineChars="200"/>
        <w:rPr>
          <w:rFonts w:asciiTheme="minorEastAsia" w:hAnsiTheme="minorEastAsia"/>
          <w:color w:val="0D0D0D" w:themeColor="text1" w:themeTint="F2"/>
          <w:highlight w:val="none"/>
          <w14:textFill>
            <w14:solidFill>
              <w14:schemeClr w14:val="tx1">
                <w14:lumMod w14:val="95000"/>
                <w14:lumOff w14:val="5000"/>
              </w14:schemeClr>
            </w14:solidFill>
          </w14:textFill>
        </w:rPr>
      </w:pPr>
      <w:r>
        <w:rPr>
          <w:rFonts w:hint="eastAsia" w:asciiTheme="minorEastAsia" w:hAnsiTheme="minorEastAsia"/>
          <w:color w:val="0D0D0D" w:themeColor="text1" w:themeTint="F2"/>
          <w:highlight w:val="none"/>
          <w14:textFill>
            <w14:solidFill>
              <w14:schemeClr w14:val="tx1">
                <w14:lumMod w14:val="95000"/>
                <w14:lumOff w14:val="5000"/>
              </w14:schemeClr>
            </w14:solidFill>
          </w14:textFill>
        </w:rPr>
        <w:t>（7）本基金管理人管理的全部基金投资于同一原始权益人的各类资产支持证券，不得超过其各类资产支持证券合计规模的10％；</w:t>
      </w:r>
    </w:p>
    <w:p w14:paraId="3E525517">
      <w:pPr>
        <w:adjustRightInd w:val="0"/>
        <w:snapToGrid w:val="0"/>
        <w:spacing w:line="360" w:lineRule="auto"/>
        <w:ind w:firstLine="420" w:firstLineChars="200"/>
        <w:rPr>
          <w:rFonts w:asciiTheme="minorEastAsia" w:hAnsiTheme="minorEastAsia"/>
          <w:color w:val="0D0D0D" w:themeColor="text1" w:themeTint="F2"/>
          <w:highlight w:val="none"/>
          <w14:textFill>
            <w14:solidFill>
              <w14:schemeClr w14:val="tx1">
                <w14:lumMod w14:val="95000"/>
                <w14:lumOff w14:val="5000"/>
              </w14:schemeClr>
            </w14:solidFill>
          </w14:textFill>
        </w:rPr>
      </w:pPr>
      <w:r>
        <w:rPr>
          <w:rFonts w:hint="eastAsia" w:asciiTheme="minorEastAsia" w:hAnsiTheme="minorEastAsia"/>
          <w:color w:val="0D0D0D" w:themeColor="text1" w:themeTint="F2"/>
          <w:highlight w:val="none"/>
          <w14:textFill>
            <w14:solidFill>
              <w14:schemeClr w14:val="tx1">
                <w14:lumMod w14:val="95000"/>
                <w14:lumOff w14:val="5000"/>
              </w14:schemeClr>
            </w14:solidFill>
          </w14:textFill>
        </w:rPr>
        <w:t>（8）本基金应投资于信用级别评级为BBB以上(含BBB)的资产支持证券。基金持有资产支持证券期间，如果其信用等级下降、不再符合投资标准，应在评级报告发布之日起3个月内予以全部卖出；</w:t>
      </w:r>
    </w:p>
    <w:p w14:paraId="651B9094">
      <w:pPr>
        <w:adjustRightInd w:val="0"/>
        <w:snapToGrid w:val="0"/>
        <w:spacing w:line="360" w:lineRule="auto"/>
        <w:ind w:firstLine="420" w:firstLineChars="200"/>
        <w:rPr>
          <w:rFonts w:asciiTheme="minorEastAsia" w:hAnsiTheme="minorEastAsia"/>
          <w:color w:val="0D0D0D" w:themeColor="text1" w:themeTint="F2"/>
          <w:highlight w:val="none"/>
          <w14:textFill>
            <w14:solidFill>
              <w14:schemeClr w14:val="tx1">
                <w14:lumMod w14:val="95000"/>
                <w14:lumOff w14:val="5000"/>
              </w14:schemeClr>
            </w14:solidFill>
          </w14:textFill>
        </w:rPr>
      </w:pPr>
      <w:r>
        <w:rPr>
          <w:rFonts w:hint="eastAsia" w:asciiTheme="minorEastAsia" w:hAnsiTheme="minorEastAsia"/>
          <w:color w:val="0D0D0D" w:themeColor="text1" w:themeTint="F2"/>
          <w:highlight w:val="none"/>
          <w14:textFill>
            <w14:solidFill>
              <w14:schemeClr w14:val="tx1">
                <w14:lumMod w14:val="95000"/>
                <w14:lumOff w14:val="5000"/>
              </w14:schemeClr>
            </w14:solidFill>
          </w14:textFill>
        </w:rPr>
        <w:t>（9）基金财产参与股票发行申购，本基金所申报的金额不超过本基金的总资产，本基金所申报的股票数量不超过拟发行股票公司本次发行股票的总量；</w:t>
      </w:r>
    </w:p>
    <w:p w14:paraId="5D46FB29">
      <w:pPr>
        <w:adjustRightInd w:val="0"/>
        <w:snapToGrid w:val="0"/>
        <w:spacing w:line="360" w:lineRule="auto"/>
        <w:ind w:firstLine="420" w:firstLineChars="200"/>
        <w:rPr>
          <w:rFonts w:asciiTheme="minorEastAsia" w:hAnsiTheme="minorEastAsia"/>
          <w:color w:val="0D0D0D" w:themeColor="text1" w:themeTint="F2"/>
          <w:highlight w:val="none"/>
          <w14:textFill>
            <w14:solidFill>
              <w14:schemeClr w14:val="tx1">
                <w14:lumMod w14:val="95000"/>
                <w14:lumOff w14:val="5000"/>
              </w14:schemeClr>
            </w14:solidFill>
          </w14:textFill>
        </w:rPr>
      </w:pPr>
      <w:r>
        <w:rPr>
          <w:rFonts w:hint="eastAsia" w:asciiTheme="minorEastAsia" w:hAnsiTheme="minorEastAsia"/>
          <w:color w:val="0D0D0D" w:themeColor="text1" w:themeTint="F2"/>
          <w:highlight w:val="none"/>
          <w14:textFill>
            <w14:solidFill>
              <w14:schemeClr w14:val="tx1">
                <w14:lumMod w14:val="95000"/>
                <w14:lumOff w14:val="5000"/>
              </w14:schemeClr>
            </w14:solidFill>
          </w14:textFill>
        </w:rPr>
        <w:t>（10）本基金参与融资的，在任何交易日日终，本基金持有的融资买入股票与其他有价证券市值之和，不得超过基金资产净值的95%；</w:t>
      </w:r>
    </w:p>
    <w:p w14:paraId="6C500983">
      <w:pPr>
        <w:adjustRightInd w:val="0"/>
        <w:snapToGrid w:val="0"/>
        <w:spacing w:line="360" w:lineRule="auto"/>
        <w:ind w:firstLine="420" w:firstLineChars="200"/>
        <w:rPr>
          <w:rFonts w:asciiTheme="minorEastAsia" w:hAnsiTheme="minorEastAsia"/>
          <w:color w:val="0D0D0D" w:themeColor="text1" w:themeTint="F2"/>
          <w:highlight w:val="none"/>
          <w14:textFill>
            <w14:solidFill>
              <w14:schemeClr w14:val="tx1">
                <w14:lumMod w14:val="95000"/>
                <w14:lumOff w14:val="5000"/>
              </w14:schemeClr>
            </w14:solidFill>
          </w14:textFill>
        </w:rPr>
      </w:pPr>
      <w:r>
        <w:rPr>
          <w:rFonts w:hint="eastAsia" w:asciiTheme="minorEastAsia" w:hAnsiTheme="minorEastAsia"/>
          <w:color w:val="0D0D0D" w:themeColor="text1" w:themeTint="F2"/>
          <w:highlight w:val="none"/>
          <w14:textFill>
            <w14:solidFill>
              <w14:schemeClr w14:val="tx1">
                <w14:lumMod w14:val="95000"/>
                <w14:lumOff w14:val="5000"/>
              </w14:schemeClr>
            </w14:solidFill>
          </w14:textFill>
        </w:rPr>
        <w:t>（11）本基金参与转融通证券出借业务，需遵守下列投资限制：</w:t>
      </w:r>
    </w:p>
    <w:p w14:paraId="77CC181A">
      <w:pPr>
        <w:adjustRightInd w:val="0"/>
        <w:snapToGrid w:val="0"/>
        <w:spacing w:line="360" w:lineRule="auto"/>
        <w:ind w:firstLine="420" w:firstLineChars="200"/>
        <w:rPr>
          <w:rFonts w:asciiTheme="minorEastAsia" w:hAnsiTheme="minorEastAsia"/>
          <w:color w:val="0D0D0D" w:themeColor="text1" w:themeTint="F2"/>
          <w:highlight w:val="none"/>
          <w14:textFill>
            <w14:solidFill>
              <w14:schemeClr w14:val="tx1">
                <w14:lumMod w14:val="95000"/>
                <w14:lumOff w14:val="5000"/>
              </w14:schemeClr>
            </w14:solidFill>
          </w14:textFill>
        </w:rPr>
      </w:pPr>
      <w:r>
        <w:rPr>
          <w:rFonts w:hint="eastAsia" w:asciiTheme="minorEastAsia" w:hAnsiTheme="minorEastAsia"/>
          <w:color w:val="0D0D0D" w:themeColor="text1" w:themeTint="F2"/>
          <w:highlight w:val="none"/>
          <w14:textFill>
            <w14:solidFill>
              <w14:schemeClr w14:val="tx1">
                <w14:lumMod w14:val="95000"/>
                <w14:lumOff w14:val="5000"/>
              </w14:schemeClr>
            </w14:solidFill>
          </w14:textFill>
        </w:rPr>
        <w:t>1）出借证券资产不得超过基金资产净值的30%，出借期限在10 个交易日以上的出借证券应纳入《流动性风险管理规定》所述流动性受限证券的范围；</w:t>
      </w:r>
    </w:p>
    <w:p w14:paraId="1096B056">
      <w:pPr>
        <w:adjustRightInd w:val="0"/>
        <w:snapToGrid w:val="0"/>
        <w:spacing w:line="360" w:lineRule="auto"/>
        <w:ind w:firstLine="420" w:firstLineChars="200"/>
        <w:rPr>
          <w:rFonts w:asciiTheme="minorEastAsia" w:hAnsiTheme="minorEastAsia"/>
          <w:color w:val="0D0D0D" w:themeColor="text1" w:themeTint="F2"/>
          <w:highlight w:val="none"/>
          <w14:textFill>
            <w14:solidFill>
              <w14:schemeClr w14:val="tx1">
                <w14:lumMod w14:val="95000"/>
                <w14:lumOff w14:val="5000"/>
              </w14:schemeClr>
            </w14:solidFill>
          </w14:textFill>
        </w:rPr>
      </w:pPr>
      <w:r>
        <w:rPr>
          <w:rFonts w:hint="eastAsia" w:asciiTheme="minorEastAsia" w:hAnsiTheme="minorEastAsia"/>
          <w:color w:val="0D0D0D" w:themeColor="text1" w:themeTint="F2"/>
          <w:highlight w:val="none"/>
          <w14:textFill>
            <w14:solidFill>
              <w14:schemeClr w14:val="tx1">
                <w14:lumMod w14:val="95000"/>
                <w14:lumOff w14:val="5000"/>
              </w14:schemeClr>
            </w14:solidFill>
          </w14:textFill>
        </w:rPr>
        <w:t>2）参与出借业务的单只证券不得超过本基金持有该证券总量的30%；</w:t>
      </w:r>
    </w:p>
    <w:p w14:paraId="348C8DF7">
      <w:pPr>
        <w:adjustRightInd w:val="0"/>
        <w:snapToGrid w:val="0"/>
        <w:spacing w:line="360" w:lineRule="auto"/>
        <w:ind w:firstLine="420" w:firstLineChars="200"/>
        <w:rPr>
          <w:rFonts w:asciiTheme="minorEastAsia" w:hAnsiTheme="minorEastAsia"/>
          <w:color w:val="0D0D0D" w:themeColor="text1" w:themeTint="F2"/>
          <w:highlight w:val="none"/>
          <w14:textFill>
            <w14:solidFill>
              <w14:schemeClr w14:val="tx1">
                <w14:lumMod w14:val="95000"/>
                <w14:lumOff w14:val="5000"/>
              </w14:schemeClr>
            </w14:solidFill>
          </w14:textFill>
        </w:rPr>
      </w:pPr>
      <w:r>
        <w:rPr>
          <w:rFonts w:hint="eastAsia" w:asciiTheme="minorEastAsia" w:hAnsiTheme="minorEastAsia"/>
          <w:color w:val="0D0D0D" w:themeColor="text1" w:themeTint="F2"/>
          <w:highlight w:val="none"/>
          <w14:textFill>
            <w14:solidFill>
              <w14:schemeClr w14:val="tx1">
                <w14:lumMod w14:val="95000"/>
                <w14:lumOff w14:val="5000"/>
              </w14:schemeClr>
            </w14:solidFill>
          </w14:textFill>
        </w:rPr>
        <w:t>3）最近6个月内日均基金资产净值不得低于2亿元；</w:t>
      </w:r>
    </w:p>
    <w:p w14:paraId="1B269A25">
      <w:pPr>
        <w:adjustRightInd w:val="0"/>
        <w:snapToGrid w:val="0"/>
        <w:spacing w:line="360" w:lineRule="auto"/>
        <w:ind w:firstLine="420" w:firstLineChars="200"/>
        <w:rPr>
          <w:rFonts w:asciiTheme="minorEastAsia" w:hAnsiTheme="minorEastAsia"/>
          <w:color w:val="0D0D0D" w:themeColor="text1" w:themeTint="F2"/>
          <w:highlight w:val="none"/>
          <w14:textFill>
            <w14:solidFill>
              <w14:schemeClr w14:val="tx1">
                <w14:lumMod w14:val="95000"/>
                <w14:lumOff w14:val="5000"/>
              </w14:schemeClr>
            </w14:solidFill>
          </w14:textFill>
        </w:rPr>
      </w:pPr>
      <w:r>
        <w:rPr>
          <w:rFonts w:hint="eastAsia" w:asciiTheme="minorEastAsia" w:hAnsiTheme="minorEastAsia"/>
          <w:color w:val="0D0D0D" w:themeColor="text1" w:themeTint="F2"/>
          <w:highlight w:val="none"/>
          <w14:textFill>
            <w14:solidFill>
              <w14:schemeClr w14:val="tx1">
                <w14:lumMod w14:val="95000"/>
                <w14:lumOff w14:val="5000"/>
              </w14:schemeClr>
            </w14:solidFill>
          </w14:textFill>
        </w:rPr>
        <w:t>4）证券出借的平均剩余期限不得超过30天，平均剩余期限按照市值加权平均计算；</w:t>
      </w:r>
    </w:p>
    <w:p w14:paraId="790BD4D2">
      <w:pPr>
        <w:adjustRightInd w:val="0"/>
        <w:snapToGrid w:val="0"/>
        <w:spacing w:line="360" w:lineRule="auto"/>
        <w:ind w:firstLine="420" w:firstLineChars="200"/>
        <w:rPr>
          <w:rFonts w:asciiTheme="minorEastAsia" w:hAnsiTheme="minorEastAsia"/>
          <w:color w:val="0D0D0D" w:themeColor="text1" w:themeTint="F2"/>
          <w:highlight w:val="none"/>
          <w14:textFill>
            <w14:solidFill>
              <w14:schemeClr w14:val="tx1">
                <w14:lumMod w14:val="95000"/>
                <w14:lumOff w14:val="5000"/>
              </w14:schemeClr>
            </w14:solidFill>
          </w14:textFill>
        </w:rPr>
      </w:pPr>
      <w:r>
        <w:rPr>
          <w:rFonts w:hint="eastAsia" w:asciiTheme="minorEastAsia" w:hAnsiTheme="minorEastAsia"/>
          <w:color w:val="0D0D0D" w:themeColor="text1" w:themeTint="F2"/>
          <w:highlight w:val="none"/>
          <w14:textFill>
            <w14:solidFill>
              <w14:schemeClr w14:val="tx1">
                <w14:lumMod w14:val="95000"/>
                <w14:lumOff w14:val="5000"/>
              </w14:schemeClr>
            </w14:solidFill>
          </w14:textFill>
        </w:rPr>
        <w:t>因证券/期货市场波动、证券发行人合并、基金规模变动等基金管理人之外的因素致使基金投资不符合上述规定的，基金管理人不得新增出借业务；</w:t>
      </w:r>
    </w:p>
    <w:p w14:paraId="1CB3892F">
      <w:pPr>
        <w:adjustRightInd w:val="0"/>
        <w:snapToGrid w:val="0"/>
        <w:spacing w:line="360" w:lineRule="auto"/>
        <w:ind w:firstLine="420" w:firstLineChars="200"/>
        <w:rPr>
          <w:rFonts w:asciiTheme="minorEastAsia" w:hAnsiTheme="minorEastAsia"/>
          <w:color w:val="0D0D0D" w:themeColor="text1" w:themeTint="F2"/>
          <w:highlight w:val="none"/>
          <w14:textFill>
            <w14:solidFill>
              <w14:schemeClr w14:val="tx1">
                <w14:lumMod w14:val="95000"/>
                <w14:lumOff w14:val="5000"/>
              </w14:schemeClr>
            </w14:solidFill>
          </w14:textFill>
        </w:rPr>
      </w:pPr>
      <w:r>
        <w:rPr>
          <w:rFonts w:hint="eastAsia" w:asciiTheme="minorEastAsia" w:hAnsiTheme="minorEastAsia"/>
          <w:color w:val="0D0D0D" w:themeColor="text1" w:themeTint="F2"/>
          <w:highlight w:val="none"/>
          <w14:textFill>
            <w14:solidFill>
              <w14:schemeClr w14:val="tx1">
                <w14:lumMod w14:val="95000"/>
                <w14:lumOff w14:val="5000"/>
              </w14:schemeClr>
            </w14:solidFill>
          </w14:textFill>
        </w:rPr>
        <w:t>（12）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基金投资股票期权应符合基金合同约定的比例限制（如股票仓位、个股占比等）、投资目标和风险收益特征；</w:t>
      </w:r>
    </w:p>
    <w:p w14:paraId="651A8053">
      <w:pPr>
        <w:adjustRightInd w:val="0"/>
        <w:snapToGrid w:val="0"/>
        <w:spacing w:line="360" w:lineRule="auto"/>
        <w:ind w:firstLine="420" w:firstLineChars="200"/>
        <w:rPr>
          <w:rFonts w:asciiTheme="minorEastAsia" w:hAnsiTheme="minorEastAsia"/>
          <w:color w:val="0D0D0D" w:themeColor="text1" w:themeTint="F2"/>
          <w:highlight w:val="none"/>
          <w14:textFill>
            <w14:solidFill>
              <w14:schemeClr w14:val="tx1">
                <w14:lumMod w14:val="95000"/>
                <w14:lumOff w14:val="5000"/>
              </w14:schemeClr>
            </w14:solidFill>
          </w14:textFill>
        </w:rPr>
      </w:pPr>
      <w:r>
        <w:rPr>
          <w:rFonts w:hint="eastAsia" w:asciiTheme="minorEastAsia" w:hAnsiTheme="minorEastAsia"/>
          <w:color w:val="0D0D0D" w:themeColor="text1" w:themeTint="F2"/>
          <w:highlight w:val="none"/>
          <w14:textFill>
            <w14:solidFill>
              <w14:schemeClr w14:val="tx1">
                <w14:lumMod w14:val="95000"/>
                <w14:lumOff w14:val="5000"/>
              </w14:schemeClr>
            </w14:solidFill>
          </w14:textFill>
        </w:rPr>
        <w:t>（13）本基金主动投资于流动性受限资产的市值合计不得超过基金资产净值的15%；因证券/期货市场波动、上市公司股票停牌、基金规模变动等基金管理人之外的因素致使基金不符合该比例限制的，基金管理人不得主动新增流动性受限资产的投资；</w:t>
      </w:r>
    </w:p>
    <w:p w14:paraId="185D8249">
      <w:pPr>
        <w:adjustRightInd w:val="0"/>
        <w:snapToGrid w:val="0"/>
        <w:spacing w:line="360" w:lineRule="auto"/>
        <w:ind w:firstLine="420" w:firstLineChars="200"/>
        <w:rPr>
          <w:rFonts w:asciiTheme="minorEastAsia" w:hAnsiTheme="minorEastAsia"/>
          <w:color w:val="0D0D0D" w:themeColor="text1" w:themeTint="F2"/>
          <w:highlight w:val="none"/>
          <w14:textFill>
            <w14:solidFill>
              <w14:schemeClr w14:val="tx1">
                <w14:lumMod w14:val="95000"/>
                <w14:lumOff w14:val="5000"/>
              </w14:schemeClr>
            </w14:solidFill>
          </w14:textFill>
        </w:rPr>
      </w:pPr>
      <w:r>
        <w:rPr>
          <w:rFonts w:hint="eastAsia" w:asciiTheme="minorEastAsia" w:hAnsiTheme="minorEastAsia"/>
          <w:color w:val="0D0D0D" w:themeColor="text1" w:themeTint="F2"/>
          <w:highlight w:val="none"/>
          <w14:textFill>
            <w14:solidFill>
              <w14:schemeClr w14:val="tx1">
                <w14:lumMod w14:val="95000"/>
                <w14:lumOff w14:val="5000"/>
              </w14:schemeClr>
            </w14:solidFill>
          </w14:textFill>
        </w:rPr>
        <w:t>（14）本基金与私募类证券资管产品及中国证监会认定的其他主体为交易对手开展逆回购交易的，可接受质押品的资质要求应当与基金合同约定的投资范围保持一致；</w:t>
      </w:r>
    </w:p>
    <w:p w14:paraId="380A46C5">
      <w:pPr>
        <w:adjustRightInd w:val="0"/>
        <w:snapToGrid w:val="0"/>
        <w:spacing w:line="360" w:lineRule="auto"/>
        <w:ind w:firstLine="420" w:firstLineChars="200"/>
        <w:rPr>
          <w:rFonts w:asciiTheme="minorEastAsia" w:hAnsiTheme="minorEastAsia"/>
          <w:color w:val="0D0D0D" w:themeColor="text1" w:themeTint="F2"/>
          <w:highlight w:val="none"/>
          <w14:textFill>
            <w14:solidFill>
              <w14:schemeClr w14:val="tx1">
                <w14:lumMod w14:val="95000"/>
                <w14:lumOff w14:val="5000"/>
              </w14:schemeClr>
            </w14:solidFill>
          </w14:textFill>
        </w:rPr>
      </w:pPr>
      <w:r>
        <w:rPr>
          <w:rFonts w:hint="eastAsia" w:asciiTheme="minorEastAsia" w:hAnsiTheme="minorEastAsia"/>
          <w:color w:val="0D0D0D" w:themeColor="text1" w:themeTint="F2"/>
          <w:highlight w:val="none"/>
          <w14:textFill>
            <w14:solidFill>
              <w14:schemeClr w14:val="tx1">
                <w14:lumMod w14:val="95000"/>
                <w14:lumOff w14:val="5000"/>
              </w14:schemeClr>
            </w14:solidFill>
          </w14:textFill>
        </w:rPr>
        <w:t>（15）本基金资产总值不得超过基金资产净值的140%；</w:t>
      </w:r>
    </w:p>
    <w:p w14:paraId="449982A1">
      <w:pPr>
        <w:adjustRightInd w:val="0"/>
        <w:snapToGrid w:val="0"/>
        <w:spacing w:line="360" w:lineRule="auto"/>
        <w:ind w:firstLine="420" w:firstLineChars="200"/>
        <w:rPr>
          <w:rFonts w:asciiTheme="minorEastAsia" w:hAnsiTheme="minorEastAsia"/>
          <w:color w:val="0D0D0D" w:themeColor="text1" w:themeTint="F2"/>
          <w:highlight w:val="none"/>
          <w14:textFill>
            <w14:solidFill>
              <w14:schemeClr w14:val="tx1">
                <w14:lumMod w14:val="95000"/>
                <w14:lumOff w14:val="5000"/>
              </w14:schemeClr>
            </w14:solidFill>
          </w14:textFill>
        </w:rPr>
      </w:pPr>
      <w:r>
        <w:rPr>
          <w:rFonts w:hint="eastAsia" w:asciiTheme="minorEastAsia" w:hAnsiTheme="minorEastAsia"/>
          <w:color w:val="0D0D0D" w:themeColor="text1" w:themeTint="F2"/>
          <w:highlight w:val="none"/>
          <w14:textFill>
            <w14:solidFill>
              <w14:schemeClr w14:val="tx1">
                <w14:lumMod w14:val="95000"/>
                <w14:lumOff w14:val="5000"/>
              </w14:schemeClr>
            </w14:solidFill>
          </w14:textFill>
        </w:rPr>
        <w:t>（16）本基金投资存托凭证的比例限制依照境内上市交易的股票执行，与境内上市交易的股票合并计算；</w:t>
      </w:r>
    </w:p>
    <w:p w14:paraId="0BB4F639">
      <w:pPr>
        <w:adjustRightInd w:val="0"/>
        <w:snapToGrid w:val="0"/>
        <w:spacing w:line="360" w:lineRule="auto"/>
        <w:ind w:firstLine="420" w:firstLineChars="200"/>
        <w:rPr>
          <w:rFonts w:asciiTheme="minorEastAsia" w:hAnsiTheme="minorEastAsia"/>
          <w:color w:val="0D0D0D" w:themeColor="text1" w:themeTint="F2"/>
          <w:highlight w:val="none"/>
          <w14:textFill>
            <w14:solidFill>
              <w14:schemeClr w14:val="tx1">
                <w14:lumMod w14:val="95000"/>
                <w14:lumOff w14:val="5000"/>
              </w14:schemeClr>
            </w14:solidFill>
          </w14:textFill>
        </w:rPr>
      </w:pPr>
      <w:r>
        <w:rPr>
          <w:rFonts w:hint="eastAsia" w:asciiTheme="minorEastAsia" w:hAnsiTheme="minorEastAsia"/>
          <w:color w:val="0D0D0D" w:themeColor="text1" w:themeTint="F2"/>
          <w:highlight w:val="none"/>
          <w14:textFill>
            <w14:solidFill>
              <w14:schemeClr w14:val="tx1">
                <w14:lumMod w14:val="95000"/>
                <w14:lumOff w14:val="5000"/>
              </w14:schemeClr>
            </w14:solidFill>
          </w14:textFill>
        </w:rPr>
        <w:t>（17）法律法规及中国证监会规定的和《基金合同》约定的其他投资限制。</w:t>
      </w:r>
    </w:p>
    <w:p w14:paraId="1017845E">
      <w:pPr>
        <w:adjustRightInd w:val="0"/>
        <w:snapToGrid w:val="0"/>
        <w:spacing w:line="360" w:lineRule="auto"/>
        <w:ind w:firstLine="420" w:firstLineChars="200"/>
        <w:rPr>
          <w:rFonts w:asciiTheme="minorEastAsia" w:hAnsiTheme="minorEastAsia"/>
          <w:color w:val="0D0D0D" w:themeColor="text1" w:themeTint="F2"/>
          <w:highlight w:val="none"/>
          <w14:textFill>
            <w14:solidFill>
              <w14:schemeClr w14:val="tx1">
                <w14:lumMod w14:val="95000"/>
                <w14:lumOff w14:val="5000"/>
              </w14:schemeClr>
            </w14:solidFill>
          </w14:textFill>
        </w:rPr>
      </w:pPr>
      <w:r>
        <w:rPr>
          <w:rFonts w:hint="eastAsia" w:asciiTheme="minorEastAsia" w:hAnsiTheme="minorEastAsia"/>
          <w:color w:val="0D0D0D" w:themeColor="text1" w:themeTint="F2"/>
          <w:highlight w:val="none"/>
          <w14:textFill>
            <w14:solidFill>
              <w14:schemeClr w14:val="tx1">
                <w14:lumMod w14:val="95000"/>
                <w14:lumOff w14:val="5000"/>
              </w14:schemeClr>
            </w14:solidFill>
          </w14:textFill>
        </w:rPr>
        <w:t>除上述（2）、（8）、（11）、（13）、（14）情形之外，因证券/期货市场波动、证券发行人合并、基金规模变动、标的指数成份股调整、标的指数成份股流动性限制、港股通额度不足等基金管理人之外的因素致使基金投资比例不符合上述规定投资比例的，基金管理人应当在10个交易日内进行调整，但中国证监会规定的特殊情形除外。</w:t>
      </w:r>
    </w:p>
    <w:p w14:paraId="632ABEE2">
      <w:pPr>
        <w:adjustRightInd w:val="0"/>
        <w:snapToGrid w:val="0"/>
        <w:spacing w:line="360" w:lineRule="auto"/>
        <w:ind w:firstLine="420" w:firstLineChars="200"/>
        <w:rPr>
          <w:rFonts w:asciiTheme="minorEastAsia" w:hAnsiTheme="minorEastAsia"/>
          <w:color w:val="0D0D0D" w:themeColor="text1" w:themeTint="F2"/>
          <w:highlight w:val="none"/>
          <w14:textFill>
            <w14:solidFill>
              <w14:schemeClr w14:val="tx1">
                <w14:lumMod w14:val="95000"/>
                <w14:lumOff w14:val="5000"/>
              </w14:schemeClr>
            </w14:solidFill>
          </w14:textFill>
        </w:rPr>
      </w:pPr>
      <w:r>
        <w:rPr>
          <w:rFonts w:hint="eastAsia" w:asciiTheme="minorEastAsia" w:hAnsiTheme="minorEastAsia"/>
          <w:color w:val="0D0D0D" w:themeColor="text1" w:themeTint="F2"/>
          <w:highlight w:val="none"/>
          <w14:textFill>
            <w14:solidFill>
              <w14:schemeClr w14:val="tx1">
                <w14:lumMod w14:val="95000"/>
                <w14:lumOff w14:val="5000"/>
              </w14:schemeClr>
            </w14:solidFill>
          </w14:textFill>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05CF2578">
      <w:pPr>
        <w:adjustRightInd w:val="0"/>
        <w:snapToGrid w:val="0"/>
        <w:spacing w:line="360" w:lineRule="auto"/>
        <w:ind w:firstLine="420" w:firstLineChars="200"/>
        <w:rPr>
          <w:rFonts w:asciiTheme="minorEastAsia" w:hAnsiTheme="minorEastAsia"/>
          <w:color w:val="0D0D0D" w:themeColor="text1" w:themeTint="F2"/>
          <w:highlight w:val="none"/>
          <w14:textFill>
            <w14:solidFill>
              <w14:schemeClr w14:val="tx1">
                <w14:lumMod w14:val="95000"/>
                <w14:lumOff w14:val="5000"/>
              </w14:schemeClr>
            </w14:solidFill>
          </w14:textFill>
        </w:rPr>
      </w:pPr>
      <w:r>
        <w:rPr>
          <w:rFonts w:hint="eastAsia" w:asciiTheme="minorEastAsia" w:hAnsiTheme="minorEastAsia"/>
          <w:color w:val="0D0D0D" w:themeColor="text1" w:themeTint="F2"/>
          <w:highlight w:val="none"/>
          <w14:textFill>
            <w14:solidFill>
              <w14:schemeClr w14:val="tx1">
                <w14:lumMod w14:val="95000"/>
                <w14:lumOff w14:val="5000"/>
              </w14:schemeClr>
            </w14:solidFill>
          </w14:textFill>
        </w:rPr>
        <w:t>法律法规或监管部门取消或调整上述限制，如适用于本基金，基金管理人在与基金托管人协商一致并履行适当程序后，则本基金投资不再受相关限制或按照调整后的规定执行。</w:t>
      </w:r>
    </w:p>
    <w:p w14:paraId="5F959243">
      <w:pPr>
        <w:spacing w:line="360" w:lineRule="auto"/>
        <w:ind w:firstLine="420"/>
        <w:rPr>
          <w:rFonts w:ascii="宋体" w:hAnsi="宋体" w:cs="宋体"/>
          <w:szCs w:val="21"/>
          <w:highlight w:val="none"/>
        </w:rPr>
      </w:pPr>
    </w:p>
    <w:p w14:paraId="1D2731A6">
      <w:pPr>
        <w:spacing w:line="360" w:lineRule="auto"/>
        <w:ind w:firstLine="420"/>
        <w:rPr>
          <w:rFonts w:ascii="宋体" w:hAnsi="宋体" w:cs="宋体"/>
          <w:szCs w:val="21"/>
          <w:highlight w:val="none"/>
        </w:rPr>
      </w:pPr>
      <w:r>
        <w:rPr>
          <w:rFonts w:hint="eastAsia" w:ascii="宋体" w:hAnsi="宋体" w:cs="宋体"/>
          <w:szCs w:val="21"/>
          <w:highlight w:val="none"/>
        </w:rPr>
        <w:t>3.本基金财产不得用于以下投资或者活动：</w:t>
      </w:r>
    </w:p>
    <w:p w14:paraId="778F57A0">
      <w:pPr>
        <w:spacing w:line="360" w:lineRule="auto"/>
        <w:ind w:firstLine="400"/>
        <w:rPr>
          <w:rFonts w:ascii="宋体" w:hAnsi="宋体" w:cs="宋体"/>
          <w:szCs w:val="21"/>
          <w:highlight w:val="none"/>
        </w:rPr>
      </w:pPr>
      <w:r>
        <w:rPr>
          <w:rFonts w:ascii="宋体" w:hAnsi="宋体" w:cs="宋体"/>
          <w:szCs w:val="21"/>
          <w:highlight w:val="none"/>
        </w:rPr>
        <w:t>（1）承销证券；</w:t>
      </w:r>
    </w:p>
    <w:p w14:paraId="58C4A116">
      <w:pPr>
        <w:spacing w:line="360" w:lineRule="auto"/>
        <w:ind w:firstLine="400"/>
        <w:rPr>
          <w:rFonts w:ascii="宋体" w:hAnsi="宋体" w:cs="宋体"/>
          <w:szCs w:val="21"/>
          <w:highlight w:val="none"/>
        </w:rPr>
      </w:pPr>
      <w:r>
        <w:rPr>
          <w:rFonts w:ascii="宋体" w:hAnsi="宋体" w:cs="宋体"/>
          <w:szCs w:val="21"/>
          <w:highlight w:val="none"/>
        </w:rPr>
        <w:t>（2）违反规定向他人贷款或者提供担保；</w:t>
      </w:r>
    </w:p>
    <w:p w14:paraId="3BB16E0C">
      <w:pPr>
        <w:spacing w:line="360" w:lineRule="auto"/>
        <w:ind w:firstLine="400"/>
        <w:rPr>
          <w:rFonts w:ascii="宋体" w:hAnsi="宋体" w:cs="宋体"/>
          <w:szCs w:val="21"/>
          <w:highlight w:val="none"/>
        </w:rPr>
      </w:pPr>
      <w:r>
        <w:rPr>
          <w:rFonts w:ascii="宋体" w:hAnsi="宋体" w:cs="宋体"/>
          <w:szCs w:val="21"/>
          <w:highlight w:val="none"/>
        </w:rPr>
        <w:t>（3）从事承担无限责任的投资；</w:t>
      </w:r>
    </w:p>
    <w:p w14:paraId="263BED9A">
      <w:pPr>
        <w:spacing w:line="360" w:lineRule="auto"/>
        <w:ind w:firstLine="400"/>
        <w:rPr>
          <w:rFonts w:ascii="宋体" w:hAnsi="宋体" w:cs="宋体"/>
          <w:szCs w:val="21"/>
          <w:highlight w:val="none"/>
        </w:rPr>
      </w:pPr>
      <w:r>
        <w:rPr>
          <w:rFonts w:ascii="宋体" w:hAnsi="宋体" w:cs="宋体"/>
          <w:szCs w:val="21"/>
          <w:highlight w:val="none"/>
        </w:rPr>
        <w:t>（4）</w:t>
      </w:r>
      <w:r>
        <w:rPr>
          <w:rFonts w:hint="eastAsia" w:ascii="宋体" w:hAnsi="宋体" w:cs="宋体"/>
          <w:szCs w:val="21"/>
          <w:highlight w:val="none"/>
        </w:rPr>
        <w:t>买卖其他基金份额，但是中国证监会另有规定的除外；</w:t>
      </w:r>
    </w:p>
    <w:p w14:paraId="660D4EBD">
      <w:pPr>
        <w:spacing w:line="360" w:lineRule="auto"/>
        <w:ind w:firstLine="400"/>
        <w:rPr>
          <w:rFonts w:ascii="宋体" w:hAnsi="宋体" w:cs="宋体"/>
          <w:szCs w:val="21"/>
          <w:highlight w:val="none"/>
        </w:rPr>
      </w:pPr>
      <w:r>
        <w:rPr>
          <w:rFonts w:hint="eastAsia" w:ascii="宋体" w:hAnsi="宋体" w:cs="宋体"/>
          <w:szCs w:val="21"/>
          <w:highlight w:val="none"/>
        </w:rPr>
        <w:t>（5）</w:t>
      </w:r>
      <w:r>
        <w:rPr>
          <w:rFonts w:ascii="宋体" w:hAnsi="宋体" w:cs="宋体"/>
          <w:szCs w:val="21"/>
          <w:highlight w:val="none"/>
        </w:rPr>
        <w:t>向其基金管理人、基金托管人出资；</w:t>
      </w:r>
    </w:p>
    <w:p w14:paraId="3EC5C581">
      <w:pPr>
        <w:spacing w:line="360" w:lineRule="auto"/>
        <w:ind w:firstLine="400"/>
        <w:rPr>
          <w:rFonts w:ascii="宋体" w:hAnsi="宋体" w:cs="宋体"/>
          <w:szCs w:val="21"/>
          <w:highlight w:val="none"/>
        </w:rPr>
      </w:pPr>
      <w:r>
        <w:rPr>
          <w:rFonts w:ascii="宋体" w:hAnsi="宋体" w:cs="宋体"/>
          <w:szCs w:val="21"/>
          <w:highlight w:val="none"/>
        </w:rPr>
        <w:t>（6）从事内幕交易、操纵证券交易价格及其他不正当的证券交易活动；</w:t>
      </w:r>
    </w:p>
    <w:p w14:paraId="4157C5F3">
      <w:pPr>
        <w:spacing w:line="360" w:lineRule="auto"/>
        <w:ind w:firstLine="400"/>
        <w:rPr>
          <w:rFonts w:ascii="宋体" w:hAnsi="宋体" w:cs="宋体"/>
          <w:szCs w:val="21"/>
          <w:highlight w:val="none"/>
        </w:rPr>
      </w:pPr>
      <w:r>
        <w:rPr>
          <w:rFonts w:ascii="宋体" w:hAnsi="宋体" w:cs="宋体"/>
          <w:szCs w:val="21"/>
          <w:highlight w:val="none"/>
        </w:rPr>
        <w:t>（7）法律、行政法规和中国证监会规定禁止的其他活动。</w:t>
      </w:r>
    </w:p>
    <w:p w14:paraId="09E2790E">
      <w:pPr>
        <w:spacing w:line="360" w:lineRule="auto"/>
        <w:ind w:firstLine="420"/>
        <w:rPr>
          <w:rFonts w:ascii="宋体" w:hAnsi="宋体" w:cs="宋体"/>
          <w:szCs w:val="21"/>
          <w:highlight w:val="none"/>
        </w:rPr>
      </w:pPr>
      <w:r>
        <w:rPr>
          <w:rFonts w:hint="eastAsia" w:ascii="宋体" w:hAnsi="宋体" w:cs="宋体"/>
          <w:szCs w:val="21"/>
          <w:highlight w:val="none"/>
        </w:rPr>
        <w:t>4.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7812D3FC">
      <w:pPr>
        <w:spacing w:line="360" w:lineRule="auto"/>
        <w:ind w:firstLine="420"/>
        <w:rPr>
          <w:rFonts w:ascii="宋体" w:hAnsi="宋体" w:cs="宋体"/>
          <w:szCs w:val="21"/>
          <w:highlight w:val="none"/>
        </w:rPr>
      </w:pPr>
      <w:r>
        <w:rPr>
          <w:rFonts w:hint="eastAsia" w:ascii="宋体" w:hAnsi="宋体" w:cs="宋体"/>
          <w:szCs w:val="21"/>
          <w:highlight w:val="none"/>
        </w:rPr>
        <w:t>5.法律法规或监管部门取消上述组合限制、禁止行为规定或从事关联交易的条件和要求，本基金可不受相关限制。法律法规或监管部门对上述组合限制、禁止行为规定或从事关联交易的条件和要求进行变更的，本基金可以变更后的规定为准。经与基金托管人协商一致，基金管理人可依据法律法规或监管部门规定直接对基金合同进行变更，该变更无须召开基金份额持有人大会审议。</w:t>
      </w:r>
    </w:p>
    <w:p w14:paraId="43D54A29">
      <w:pPr>
        <w:spacing w:line="360" w:lineRule="auto"/>
        <w:ind w:firstLine="420"/>
        <w:rPr>
          <w:rFonts w:ascii="宋体" w:hAnsi="宋体" w:cs="宋体"/>
          <w:szCs w:val="21"/>
          <w:highlight w:val="none"/>
        </w:rPr>
      </w:pPr>
    </w:p>
    <w:p w14:paraId="143F0AC7">
      <w:pPr>
        <w:spacing w:line="360" w:lineRule="auto"/>
        <w:ind w:firstLine="420"/>
        <w:rPr>
          <w:rFonts w:ascii="宋体" w:hAnsi="宋体" w:cs="宋体"/>
          <w:szCs w:val="21"/>
          <w:highlight w:val="none"/>
        </w:rPr>
      </w:pPr>
      <w:r>
        <w:rPr>
          <w:rFonts w:hint="eastAsia" w:ascii="宋体" w:hAnsi="宋体" w:cs="宋体"/>
          <w:szCs w:val="21"/>
          <w:highlight w:val="none"/>
        </w:rPr>
        <w:t>（二）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w:t>
      </w:r>
    </w:p>
    <w:p w14:paraId="6F6B341C">
      <w:pPr>
        <w:spacing w:line="360" w:lineRule="auto"/>
        <w:ind w:firstLine="420"/>
        <w:rPr>
          <w:rFonts w:ascii="宋体" w:hAnsi="宋体" w:cs="宋体"/>
          <w:szCs w:val="21"/>
          <w:highlight w:val="none"/>
        </w:rPr>
      </w:pPr>
      <w:r>
        <w:rPr>
          <w:rFonts w:hint="eastAsia" w:ascii="宋体" w:hAnsi="宋体" w:cs="宋体"/>
          <w:szCs w:val="21"/>
          <w:highlight w:val="none"/>
        </w:rPr>
        <w:t>本基金投资银行存款应符合如下规定：</w:t>
      </w:r>
    </w:p>
    <w:p w14:paraId="656A897D">
      <w:pPr>
        <w:spacing w:line="360" w:lineRule="auto"/>
        <w:ind w:firstLine="420"/>
        <w:rPr>
          <w:rFonts w:ascii="宋体" w:hAnsi="宋体" w:cs="宋体"/>
          <w:highlight w:val="none"/>
        </w:rPr>
      </w:pPr>
      <w:r>
        <w:rPr>
          <w:rFonts w:hint="eastAsia" w:ascii="宋体" w:hAnsi="宋体" w:cs="宋体"/>
          <w:szCs w:val="21"/>
          <w:highlight w:val="none"/>
        </w:rPr>
        <w:t>1.</w:t>
      </w:r>
      <w:r>
        <w:rPr>
          <w:rFonts w:ascii="宋体" w:hAnsi="宋体" w:cs="宋体"/>
          <w:highlight w:val="none"/>
        </w:rPr>
        <w:t>本基金投资</w:t>
      </w:r>
      <w:r>
        <w:rPr>
          <w:rFonts w:hint="eastAsia" w:ascii="宋体" w:hAnsi="宋体" w:cs="宋体"/>
          <w:highlight w:val="none"/>
        </w:rPr>
        <w:t>于有固定期限银行存款</w:t>
      </w:r>
      <w:r>
        <w:rPr>
          <w:rFonts w:ascii="宋体" w:hAnsi="宋体" w:cs="宋体"/>
          <w:highlight w:val="none"/>
        </w:rPr>
        <w:t>的比例不得超过基金资产净值的30%，</w:t>
      </w:r>
      <w:r>
        <w:rPr>
          <w:rFonts w:hint="eastAsia" w:ascii="宋体" w:hAnsi="宋体" w:cs="宋体"/>
          <w:highlight w:val="none"/>
        </w:rPr>
        <w:t>但投资于有存款期限，</w:t>
      </w:r>
      <w:r>
        <w:rPr>
          <w:rFonts w:ascii="宋体" w:hAnsi="宋体" w:cs="宋体"/>
          <w:highlight w:val="none"/>
        </w:rPr>
        <w:t>根据协议可提前支取的银行存款，不受</w:t>
      </w:r>
      <w:r>
        <w:rPr>
          <w:rFonts w:hint="eastAsia" w:ascii="宋体" w:hAnsi="宋体" w:cs="宋体"/>
          <w:highlight w:val="none"/>
        </w:rPr>
        <w:t>上述比例</w:t>
      </w:r>
      <w:r>
        <w:rPr>
          <w:rFonts w:ascii="宋体" w:hAnsi="宋体" w:cs="宋体"/>
          <w:highlight w:val="none"/>
        </w:rPr>
        <w:t>限制；</w:t>
      </w:r>
      <w:r>
        <w:rPr>
          <w:rFonts w:hint="eastAsia" w:ascii="宋体" w:hAnsi="宋体" w:cs="宋体"/>
          <w:highlight w:val="none"/>
        </w:rPr>
        <w:t>投资于</w:t>
      </w:r>
      <w:r>
        <w:rPr>
          <w:rFonts w:ascii="宋体" w:hAnsi="宋体" w:cs="宋体"/>
          <w:highlight w:val="none"/>
        </w:rPr>
        <w:t>具有基金托管</w:t>
      </w:r>
      <w:r>
        <w:rPr>
          <w:rFonts w:hint="eastAsia" w:ascii="宋体" w:hAnsi="宋体" w:cs="宋体"/>
          <w:highlight w:val="none"/>
        </w:rPr>
        <w:t>人</w:t>
      </w:r>
      <w:r>
        <w:rPr>
          <w:rFonts w:ascii="宋体" w:hAnsi="宋体" w:cs="宋体"/>
          <w:highlight w:val="none"/>
        </w:rPr>
        <w:t>资格的同一</w:t>
      </w:r>
      <w:r>
        <w:rPr>
          <w:rFonts w:hint="eastAsia" w:ascii="宋体" w:hAnsi="宋体" w:cs="宋体"/>
          <w:highlight w:val="none"/>
        </w:rPr>
        <w:t>商业</w:t>
      </w:r>
      <w:r>
        <w:rPr>
          <w:rFonts w:ascii="宋体" w:hAnsi="宋体" w:cs="宋体"/>
          <w:highlight w:val="none"/>
        </w:rPr>
        <w:t>银行</w:t>
      </w:r>
      <w:r>
        <w:rPr>
          <w:rFonts w:hint="eastAsia" w:ascii="宋体" w:hAnsi="宋体" w:cs="宋体"/>
          <w:highlight w:val="none"/>
        </w:rPr>
        <w:t>的银行</w:t>
      </w:r>
      <w:r>
        <w:rPr>
          <w:rFonts w:ascii="宋体" w:hAnsi="宋体" w:cs="宋体"/>
          <w:highlight w:val="none"/>
        </w:rPr>
        <w:t>存款</w:t>
      </w:r>
      <w:r>
        <w:rPr>
          <w:rFonts w:hint="eastAsia" w:ascii="宋体" w:hAnsi="宋体" w:cs="宋体"/>
          <w:highlight w:val="none"/>
        </w:rPr>
        <w:t>、同业存单占基金资产净值的比例合计</w:t>
      </w:r>
      <w:r>
        <w:rPr>
          <w:rFonts w:ascii="宋体" w:hAnsi="宋体" w:cs="宋体"/>
          <w:highlight w:val="none"/>
        </w:rPr>
        <w:t>不得超过20%；</w:t>
      </w:r>
      <w:r>
        <w:rPr>
          <w:rFonts w:hint="eastAsia" w:ascii="宋体" w:hAnsi="宋体" w:cs="宋体"/>
          <w:highlight w:val="none"/>
        </w:rPr>
        <w:t>投资于</w:t>
      </w:r>
      <w:r>
        <w:rPr>
          <w:rFonts w:ascii="宋体" w:hAnsi="宋体" w:cs="宋体"/>
          <w:highlight w:val="none"/>
        </w:rPr>
        <w:t>不具有基金托管</w:t>
      </w:r>
      <w:r>
        <w:rPr>
          <w:rFonts w:hint="eastAsia" w:ascii="宋体" w:hAnsi="宋体" w:cs="宋体"/>
          <w:highlight w:val="none"/>
        </w:rPr>
        <w:t>人</w:t>
      </w:r>
      <w:r>
        <w:rPr>
          <w:rFonts w:ascii="宋体" w:hAnsi="宋体" w:cs="宋体"/>
          <w:highlight w:val="none"/>
        </w:rPr>
        <w:t>资格的同一商业银行的</w:t>
      </w:r>
      <w:r>
        <w:rPr>
          <w:rFonts w:hint="eastAsia" w:ascii="宋体" w:hAnsi="宋体" w:cs="宋体"/>
          <w:highlight w:val="none"/>
        </w:rPr>
        <w:t>银行</w:t>
      </w:r>
      <w:r>
        <w:rPr>
          <w:rFonts w:ascii="宋体" w:hAnsi="宋体" w:cs="宋体"/>
          <w:highlight w:val="none"/>
        </w:rPr>
        <w:t>存款</w:t>
      </w:r>
      <w:r>
        <w:rPr>
          <w:rFonts w:hint="eastAsia" w:ascii="宋体" w:hAnsi="宋体" w:cs="宋体"/>
          <w:highlight w:val="none"/>
        </w:rPr>
        <w:t>、同业存单占基金资产净值的比例合计</w:t>
      </w:r>
      <w:r>
        <w:rPr>
          <w:rFonts w:ascii="宋体" w:hAnsi="宋体" w:cs="宋体"/>
          <w:highlight w:val="none"/>
        </w:rPr>
        <w:t>不得超过5%。</w:t>
      </w:r>
    </w:p>
    <w:p w14:paraId="5E85202B">
      <w:pPr>
        <w:spacing w:line="360" w:lineRule="auto"/>
        <w:ind w:firstLine="420"/>
        <w:rPr>
          <w:rFonts w:ascii="宋体" w:hAnsi="宋体" w:cs="宋体"/>
          <w:szCs w:val="21"/>
          <w:highlight w:val="none"/>
        </w:rPr>
      </w:pPr>
      <w:r>
        <w:rPr>
          <w:rFonts w:hint="eastAsia" w:ascii="宋体" w:hAnsi="宋体" w:cs="宋体"/>
          <w:szCs w:val="21"/>
          <w:highlight w:val="none"/>
        </w:rPr>
        <w:t>有关法律法规或监管部门制定或修改新的定期存款投资政策，基金管理人可相应调整投资组合限制的规定。</w:t>
      </w:r>
    </w:p>
    <w:p w14:paraId="73DB45D2">
      <w:pPr>
        <w:spacing w:line="360" w:lineRule="auto"/>
        <w:ind w:firstLine="420"/>
        <w:rPr>
          <w:rFonts w:ascii="宋体" w:hAnsi="宋体" w:cs="宋体"/>
          <w:szCs w:val="21"/>
          <w:highlight w:val="none"/>
        </w:rPr>
      </w:pPr>
      <w:r>
        <w:rPr>
          <w:rFonts w:hint="eastAsia" w:ascii="宋体" w:hAnsi="宋体" w:cs="宋体"/>
          <w:szCs w:val="21"/>
          <w:highlight w:val="none"/>
        </w:rPr>
        <w:t>2</w:t>
      </w:r>
      <w:r>
        <w:rPr>
          <w:rFonts w:ascii="宋体" w:hAnsi="宋体" w:cs="宋体"/>
          <w:szCs w:val="21"/>
          <w:highlight w:val="none"/>
        </w:rPr>
        <w:t>.</w:t>
      </w:r>
      <w:r>
        <w:rPr>
          <w:rFonts w:hint="eastAsia" w:ascii="宋体" w:hAnsi="宋体" w:cs="宋体"/>
          <w:szCs w:val="21"/>
          <w:highlight w:val="none"/>
        </w:rPr>
        <w:t>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料、投资指令、存款证实书等有关文件，切实履行托管职责。</w:t>
      </w:r>
    </w:p>
    <w:p w14:paraId="5D1AA5A1">
      <w:pPr>
        <w:spacing w:line="360" w:lineRule="auto"/>
        <w:ind w:firstLine="420"/>
        <w:rPr>
          <w:rFonts w:ascii="宋体" w:hAnsi="宋体" w:cs="宋体"/>
          <w:szCs w:val="21"/>
          <w:highlight w:val="none"/>
        </w:rPr>
      </w:pPr>
      <w:r>
        <w:rPr>
          <w:rFonts w:hint="eastAsia" w:ascii="宋体" w:hAnsi="宋体" w:cs="宋体"/>
          <w:szCs w:val="21"/>
          <w:highlight w:val="none"/>
        </w:rPr>
        <w:t>（</w:t>
      </w:r>
      <w:r>
        <w:rPr>
          <w:rFonts w:ascii="宋体" w:hAnsi="宋体" w:cs="宋体"/>
          <w:szCs w:val="21"/>
          <w:highlight w:val="none"/>
        </w:rPr>
        <w:t>1</w:t>
      </w:r>
      <w:r>
        <w:rPr>
          <w:rFonts w:hint="eastAsia" w:ascii="宋体" w:hAnsi="宋体" w:cs="宋体"/>
          <w:szCs w:val="21"/>
          <w:highlight w:val="none"/>
        </w:rPr>
        <w:t>）基金管理人负责控制信用风险。信用风险主要包括存款银行的信用等级、存款银行的支付能力等涉及到存款银行选择方面的风险。因选择存款银行不当造成基金财产损失的，由基金管理人承担责任。</w:t>
      </w:r>
    </w:p>
    <w:p w14:paraId="03B0F07F">
      <w:pPr>
        <w:spacing w:line="360" w:lineRule="auto"/>
        <w:ind w:firstLine="420"/>
        <w:rPr>
          <w:rFonts w:ascii="宋体" w:hAnsi="宋体" w:cs="宋体"/>
          <w:szCs w:val="21"/>
          <w:highlight w:val="none"/>
        </w:rPr>
      </w:pPr>
      <w:r>
        <w:rPr>
          <w:rFonts w:hint="eastAsia" w:ascii="宋体" w:hAnsi="宋体" w:cs="宋体"/>
          <w:szCs w:val="21"/>
          <w:highlight w:val="none"/>
        </w:rPr>
        <w:t>（</w:t>
      </w:r>
      <w:r>
        <w:rPr>
          <w:rFonts w:ascii="宋体" w:hAnsi="宋体" w:cs="宋体"/>
          <w:szCs w:val="21"/>
          <w:highlight w:val="none"/>
        </w:rPr>
        <w:t>2</w:t>
      </w:r>
      <w:r>
        <w:rPr>
          <w:rFonts w:hint="eastAsia" w:ascii="宋体" w:hAnsi="宋体" w:cs="宋体"/>
          <w:szCs w:val="21"/>
          <w:highlight w:val="none"/>
        </w:rPr>
        <w:t>）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14:paraId="0CCA42D6">
      <w:pPr>
        <w:spacing w:line="360" w:lineRule="auto"/>
        <w:ind w:firstLine="420"/>
        <w:rPr>
          <w:rFonts w:ascii="宋体" w:hAnsi="宋体" w:cs="宋体"/>
          <w:szCs w:val="21"/>
          <w:highlight w:val="none"/>
        </w:rPr>
      </w:pPr>
      <w:r>
        <w:rPr>
          <w:rFonts w:hint="eastAsia" w:ascii="宋体" w:hAnsi="宋体" w:cs="宋体"/>
          <w:szCs w:val="21"/>
          <w:highlight w:val="none"/>
        </w:rPr>
        <w:t>（</w:t>
      </w:r>
      <w:r>
        <w:rPr>
          <w:rFonts w:ascii="宋体" w:hAnsi="宋体" w:cs="宋体"/>
          <w:szCs w:val="21"/>
          <w:highlight w:val="none"/>
        </w:rPr>
        <w:t>3</w:t>
      </w:r>
      <w:r>
        <w:rPr>
          <w:rFonts w:hint="eastAsia" w:ascii="宋体" w:hAnsi="宋体" w:cs="宋体"/>
          <w:szCs w:val="21"/>
          <w:highlight w:val="none"/>
        </w:rPr>
        <w:t>）基金管理人须加强内部风险控制制度的建设。如因基金管理人员工职务行为导致基金财产受到损失的，需由基金管理人承担由此造成的损失。</w:t>
      </w:r>
    </w:p>
    <w:p w14:paraId="72D611B6">
      <w:pPr>
        <w:spacing w:line="360" w:lineRule="auto"/>
        <w:ind w:firstLine="420"/>
        <w:rPr>
          <w:rFonts w:ascii="宋体" w:hAnsi="宋体" w:cs="宋体"/>
          <w:szCs w:val="21"/>
          <w:highlight w:val="none"/>
        </w:rPr>
      </w:pPr>
      <w:r>
        <w:rPr>
          <w:rFonts w:hint="eastAsia" w:ascii="宋体" w:hAnsi="宋体" w:cs="宋体"/>
          <w:szCs w:val="21"/>
          <w:highlight w:val="none"/>
        </w:rPr>
        <w:t>（4）基金管理人与基金托管人在开展基金存款业务时，应严格遵守《基金法》、《运作办法》等有关法律法规，以及国家有关账户管理、利率管理、支付结算等的各项规定。</w:t>
      </w:r>
    </w:p>
    <w:p w14:paraId="16D6FF81">
      <w:pPr>
        <w:spacing w:line="360" w:lineRule="auto"/>
        <w:ind w:firstLine="420"/>
        <w:rPr>
          <w:rFonts w:ascii="宋体" w:hAnsi="宋体" w:cs="宋体"/>
          <w:szCs w:val="21"/>
          <w:highlight w:val="none"/>
        </w:rPr>
      </w:pPr>
      <w:r>
        <w:rPr>
          <w:rFonts w:hint="eastAsia" w:ascii="宋体" w:hAnsi="宋体" w:cs="宋体"/>
          <w:szCs w:val="21"/>
          <w:highlight w:val="none"/>
        </w:rPr>
        <w:t>（三）基金投资银行存款协议的签订、账户开设与管理、投资指令与资金划付、账目核对、到期兑付、提前支取</w:t>
      </w:r>
    </w:p>
    <w:p w14:paraId="466CE78A">
      <w:pPr>
        <w:spacing w:line="360" w:lineRule="auto"/>
        <w:ind w:firstLine="420"/>
        <w:rPr>
          <w:rFonts w:ascii="宋体" w:hAnsi="宋体" w:cs="宋体"/>
          <w:szCs w:val="21"/>
          <w:highlight w:val="none"/>
        </w:rPr>
      </w:pPr>
      <w:r>
        <w:rPr>
          <w:rFonts w:hint="eastAsia" w:ascii="宋体" w:hAnsi="宋体" w:cs="宋体"/>
          <w:szCs w:val="21"/>
          <w:highlight w:val="none"/>
        </w:rPr>
        <w:t>1.基金投资银行存款协议的签订</w:t>
      </w:r>
    </w:p>
    <w:p w14:paraId="4BA8F640">
      <w:pPr>
        <w:spacing w:line="360" w:lineRule="auto"/>
        <w:ind w:firstLine="420"/>
        <w:rPr>
          <w:rFonts w:ascii="宋体" w:hAnsi="宋体" w:cs="宋体"/>
          <w:szCs w:val="21"/>
          <w:highlight w:val="none"/>
        </w:rPr>
      </w:pPr>
      <w:r>
        <w:rPr>
          <w:rFonts w:hint="eastAsia" w:ascii="宋体" w:hAnsi="宋体" w:cs="宋体"/>
          <w:szCs w:val="21"/>
          <w:highlight w:val="none"/>
        </w:rPr>
        <w:t>（1）基金管理人应与符合资格的存款银行总行或其授权分行签订《基金存款业务总体合作协议》（以下简称《总体合作协议》），确定《存款协议书》的格式范本。《总体合作协议》和《存款协议书》的格式范本由基金托管人与基金管理人共同商定。</w:t>
      </w:r>
    </w:p>
    <w:p w14:paraId="3F4128E5">
      <w:pPr>
        <w:spacing w:line="360" w:lineRule="auto"/>
        <w:ind w:firstLine="420"/>
        <w:rPr>
          <w:rFonts w:ascii="宋体" w:hAnsi="宋体" w:cs="宋体"/>
          <w:szCs w:val="21"/>
          <w:highlight w:val="none"/>
        </w:rPr>
      </w:pPr>
      <w:r>
        <w:rPr>
          <w:rFonts w:hint="eastAsia" w:ascii="宋体" w:hAnsi="宋体" w:cs="宋体"/>
          <w:szCs w:val="21"/>
          <w:highlight w:val="none"/>
        </w:rPr>
        <w:t>（2）基金托管人依据相关法规对《总体合作协议》和《存款协议书》的内容进行复核，审查存款银行资格等。</w:t>
      </w:r>
    </w:p>
    <w:p w14:paraId="45089A7B">
      <w:pPr>
        <w:spacing w:line="360" w:lineRule="auto"/>
        <w:ind w:firstLine="420"/>
        <w:rPr>
          <w:rFonts w:ascii="宋体" w:hAnsi="宋体" w:cs="宋体"/>
          <w:szCs w:val="21"/>
          <w:highlight w:val="none"/>
        </w:rPr>
      </w:pPr>
      <w:r>
        <w:rPr>
          <w:rFonts w:hint="eastAsia" w:ascii="宋体" w:hAnsi="宋体" w:cs="宋体"/>
          <w:szCs w:val="21"/>
          <w:highlight w:val="none"/>
        </w:rPr>
        <w:t>（3）基金管理人应在《存款协议书》中明确存款证实书或其他有效存款凭证的办理方式、邮寄地址、联系人和联系电话，以及存款证实书或其他有效凭证在邮寄过程中遗失后，存款余额的确认及兑付办法等。</w:t>
      </w:r>
    </w:p>
    <w:p w14:paraId="53AAF468">
      <w:pPr>
        <w:spacing w:line="360" w:lineRule="auto"/>
        <w:ind w:firstLine="420"/>
        <w:rPr>
          <w:rFonts w:ascii="宋体" w:hAnsi="宋体" w:cs="宋体"/>
          <w:szCs w:val="21"/>
          <w:highlight w:val="none"/>
        </w:rPr>
      </w:pPr>
      <w:r>
        <w:rPr>
          <w:rFonts w:hint="eastAsia" w:ascii="宋体" w:hAnsi="宋体" w:cs="宋体"/>
          <w:szCs w:val="21"/>
          <w:highlight w:val="none"/>
        </w:rPr>
        <w:t>（4）由存款银行指定的存放存款的分支机构（以下简称“存款分支机构</w:t>
      </w:r>
      <w:r>
        <w:rPr>
          <w:rFonts w:ascii="宋体" w:hAnsi="宋体" w:cs="宋体"/>
          <w:szCs w:val="21"/>
          <w:highlight w:val="none"/>
        </w:rPr>
        <w:t>”</w:t>
      </w:r>
      <w:r>
        <w:rPr>
          <w:rFonts w:hint="eastAsia" w:ascii="宋体" w:hAnsi="宋体" w:cs="宋体"/>
          <w:szCs w:val="21"/>
          <w:highlight w:val="none"/>
        </w:rPr>
        <w:t>）寄送或上门交付存款证实书或其他有效存款凭证的，基金托管人可向存款分支机构的上级行发出存款余额询证函，存款分支机构及其上级行应予配合。</w:t>
      </w:r>
    </w:p>
    <w:p w14:paraId="1F34E68D">
      <w:pPr>
        <w:spacing w:line="360" w:lineRule="auto"/>
        <w:ind w:firstLine="420"/>
        <w:rPr>
          <w:rFonts w:ascii="宋体" w:hAnsi="宋体" w:cs="宋体"/>
          <w:szCs w:val="21"/>
          <w:highlight w:val="none"/>
        </w:rPr>
      </w:pPr>
      <w:r>
        <w:rPr>
          <w:rFonts w:hint="eastAsia" w:ascii="宋体" w:hAnsi="宋体" w:cs="宋体"/>
          <w:szCs w:val="21"/>
          <w:highlight w:val="none"/>
        </w:rPr>
        <w:t>（5）基金管理人应在《存款协议书》中规定，基金存放到期或提前兑付的资金应全部划转到指定的基金托管账户，并在《存款协议书》写明账户名称和账号，未划入指定账户的，由存款银行承担一切责任。</w:t>
      </w:r>
    </w:p>
    <w:p w14:paraId="7CCA7ACD">
      <w:pPr>
        <w:spacing w:line="360" w:lineRule="auto"/>
        <w:ind w:firstLine="420"/>
        <w:rPr>
          <w:rFonts w:ascii="宋体" w:hAnsi="宋体" w:cs="宋体"/>
          <w:szCs w:val="21"/>
          <w:highlight w:val="none"/>
        </w:rPr>
      </w:pPr>
      <w:r>
        <w:rPr>
          <w:rFonts w:hint="eastAsia" w:ascii="宋体" w:hAnsi="宋体" w:cs="宋体"/>
          <w:szCs w:val="21"/>
          <w:highlight w:val="none"/>
        </w:rPr>
        <w:t>（6）基金管理人应在《存款协议书》中规定，在存期内，如本基金银行账户、预留印鉴发生变更，基金管理人应及时书面通知存款行，书面通知应加盖基金托管人预留印鉴。存款分支机构应及时就变更事项向基金管理人、基金托管人出具正式书面确认书。变更通知的送达方式同开户手续。在存期内，存款分支机构和基金托管人的指定联系人变更，应及时加盖公章书面通知对方。</w:t>
      </w:r>
    </w:p>
    <w:p w14:paraId="430F5F8E">
      <w:pPr>
        <w:spacing w:line="360" w:lineRule="auto"/>
        <w:ind w:firstLine="420"/>
        <w:rPr>
          <w:rFonts w:ascii="宋体" w:hAnsi="宋体" w:cs="宋体"/>
          <w:szCs w:val="21"/>
          <w:highlight w:val="none"/>
        </w:rPr>
      </w:pPr>
      <w:r>
        <w:rPr>
          <w:rFonts w:hint="eastAsia" w:ascii="宋体" w:hAnsi="宋体" w:cs="宋体"/>
          <w:szCs w:val="21"/>
          <w:highlight w:val="none"/>
        </w:rPr>
        <w:t>（7）基金管理人应在《存款协议书》中规定，因定期存款产生的存单不得被质押或以任何方式被抵押，不得用于转让和背书。</w:t>
      </w:r>
    </w:p>
    <w:p w14:paraId="3AD2F657">
      <w:pPr>
        <w:spacing w:line="360" w:lineRule="auto"/>
        <w:ind w:firstLine="420"/>
        <w:rPr>
          <w:rFonts w:ascii="宋体" w:hAnsi="宋体" w:cs="宋体"/>
          <w:szCs w:val="21"/>
          <w:highlight w:val="none"/>
        </w:rPr>
      </w:pPr>
      <w:r>
        <w:rPr>
          <w:rFonts w:hint="eastAsia" w:ascii="宋体" w:hAnsi="宋体" w:cs="宋体"/>
          <w:szCs w:val="21"/>
          <w:highlight w:val="none"/>
        </w:rPr>
        <w:t>2.基金投资银行存款时的账户开设与管理</w:t>
      </w:r>
    </w:p>
    <w:p w14:paraId="44A7DBC9">
      <w:pPr>
        <w:spacing w:line="360" w:lineRule="auto"/>
        <w:ind w:firstLine="420"/>
        <w:rPr>
          <w:rFonts w:ascii="宋体" w:hAnsi="宋体" w:cs="宋体"/>
          <w:szCs w:val="21"/>
          <w:highlight w:val="none"/>
        </w:rPr>
      </w:pPr>
      <w:r>
        <w:rPr>
          <w:rFonts w:hint="eastAsia" w:ascii="宋体" w:hAnsi="宋体" w:cs="宋体"/>
          <w:szCs w:val="21"/>
          <w:highlight w:val="none"/>
        </w:rPr>
        <w:t>（1）基金投资于银行存款时，基金管理人应当依据基金管理人与存款银行签订的《总体合作协议》、《存款协议书》等，以基金的名义在存款银行总行或授权分行指定的分支机构开立银行账户。</w:t>
      </w:r>
    </w:p>
    <w:p w14:paraId="62FA02CC">
      <w:pPr>
        <w:spacing w:line="360" w:lineRule="auto"/>
        <w:ind w:firstLine="420"/>
        <w:rPr>
          <w:rFonts w:ascii="宋体" w:hAnsi="宋体" w:cs="宋体"/>
          <w:szCs w:val="21"/>
          <w:highlight w:val="none"/>
        </w:rPr>
      </w:pPr>
      <w:r>
        <w:rPr>
          <w:rFonts w:hint="eastAsia" w:ascii="宋体" w:hAnsi="宋体" w:cs="宋体"/>
          <w:szCs w:val="21"/>
          <w:highlight w:val="none"/>
        </w:rPr>
        <w:t>（2）基金投资于银行存款时的预留印鉴由基金托管人保管和使用。</w:t>
      </w:r>
    </w:p>
    <w:p w14:paraId="1938E8BB">
      <w:pPr>
        <w:spacing w:line="360" w:lineRule="auto"/>
        <w:ind w:firstLine="420"/>
        <w:rPr>
          <w:rFonts w:ascii="宋体" w:hAnsi="宋体" w:cs="宋体"/>
          <w:szCs w:val="21"/>
          <w:highlight w:val="none"/>
        </w:rPr>
      </w:pPr>
      <w:r>
        <w:rPr>
          <w:rFonts w:hint="eastAsia" w:ascii="宋体" w:hAnsi="宋体" w:cs="宋体"/>
          <w:szCs w:val="21"/>
          <w:highlight w:val="none"/>
        </w:rPr>
        <w:t>3.存款凭证传递、账目核对及到期兑付</w:t>
      </w:r>
    </w:p>
    <w:p w14:paraId="62C2AD9A">
      <w:pPr>
        <w:spacing w:line="360" w:lineRule="auto"/>
        <w:ind w:firstLine="420"/>
        <w:rPr>
          <w:rFonts w:ascii="宋体" w:hAnsi="宋体" w:cs="宋体"/>
          <w:szCs w:val="21"/>
          <w:highlight w:val="none"/>
        </w:rPr>
      </w:pPr>
      <w:r>
        <w:rPr>
          <w:rFonts w:hint="eastAsia" w:ascii="宋体" w:hAnsi="宋体" w:cs="宋体"/>
          <w:szCs w:val="21"/>
          <w:highlight w:val="none"/>
        </w:rPr>
        <w:t>（1）存款证实书等存款凭证传递</w:t>
      </w:r>
    </w:p>
    <w:p w14:paraId="21CCD30A">
      <w:pPr>
        <w:spacing w:line="360" w:lineRule="auto"/>
        <w:ind w:firstLine="420"/>
        <w:rPr>
          <w:rFonts w:ascii="宋体" w:hAnsi="宋体" w:cs="宋体"/>
          <w:szCs w:val="21"/>
          <w:highlight w:val="none"/>
        </w:rPr>
      </w:pPr>
      <w:r>
        <w:rPr>
          <w:rFonts w:ascii="宋体" w:hAnsi="宋体" w:cs="宋体"/>
          <w:szCs w:val="21"/>
          <w:highlight w:val="none"/>
        </w:rPr>
        <w:t>存款资金只能存放于存款银行总行或者其授权分行指定的分支机构。基金管理人应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w:t>
      </w:r>
    </w:p>
    <w:p w14:paraId="49A4B21F">
      <w:pPr>
        <w:spacing w:line="360" w:lineRule="auto"/>
        <w:ind w:firstLine="420"/>
        <w:rPr>
          <w:rFonts w:ascii="宋体" w:hAnsi="宋体" w:cs="宋体"/>
          <w:szCs w:val="21"/>
          <w:highlight w:val="none"/>
        </w:rPr>
      </w:pPr>
      <w:r>
        <w:rPr>
          <w:rFonts w:hint="eastAsia" w:ascii="宋体" w:hAnsi="宋体" w:cs="宋体"/>
          <w:szCs w:val="21"/>
          <w:highlight w:val="none"/>
        </w:rPr>
        <w:t>（2）存款凭证的遗失补办</w:t>
      </w:r>
    </w:p>
    <w:p w14:paraId="1BB72F19">
      <w:pPr>
        <w:spacing w:line="360" w:lineRule="auto"/>
        <w:ind w:firstLine="420"/>
        <w:rPr>
          <w:rFonts w:ascii="宋体" w:hAnsi="宋体" w:cs="宋体"/>
          <w:szCs w:val="21"/>
          <w:highlight w:val="none"/>
        </w:rPr>
      </w:pPr>
      <w:r>
        <w:rPr>
          <w:rFonts w:hint="eastAsia" w:ascii="宋体" w:hAnsi="宋体" w:cs="宋体"/>
          <w:szCs w:val="21"/>
          <w:highlight w:val="none"/>
        </w:rPr>
        <w:t>存款凭证在邮寄过程中遗失的，由基金管理人向存款银行提出补办申请，基金管理人应督促存款银行尽快补办存款凭证，并按以上（1）的方式快递或上门交付至基金托管人，原存款凭证自动作废。</w:t>
      </w:r>
    </w:p>
    <w:p w14:paraId="6267C109">
      <w:pPr>
        <w:spacing w:line="360" w:lineRule="auto"/>
        <w:ind w:firstLine="420"/>
        <w:rPr>
          <w:rFonts w:ascii="宋体" w:hAnsi="宋体" w:cs="宋体"/>
          <w:szCs w:val="21"/>
          <w:highlight w:val="none"/>
        </w:rPr>
      </w:pPr>
      <w:r>
        <w:rPr>
          <w:rFonts w:hint="eastAsia" w:ascii="宋体" w:hAnsi="宋体" w:cs="宋体"/>
          <w:szCs w:val="21"/>
          <w:highlight w:val="none"/>
        </w:rPr>
        <w:t>（3）账目核对</w:t>
      </w:r>
    </w:p>
    <w:p w14:paraId="51432B24">
      <w:pPr>
        <w:spacing w:line="360" w:lineRule="auto"/>
        <w:ind w:firstLine="420"/>
        <w:rPr>
          <w:rFonts w:ascii="宋体" w:hAnsi="宋体" w:cs="宋体"/>
          <w:szCs w:val="21"/>
          <w:highlight w:val="none"/>
        </w:rPr>
      </w:pPr>
      <w:r>
        <w:rPr>
          <w:rFonts w:hint="eastAsia" w:ascii="宋体" w:hAnsi="宋体" w:cs="宋体"/>
          <w:szCs w:val="21"/>
          <w:highlight w:val="none"/>
        </w:rPr>
        <w:t>每个工作日，基金管理人应与基金托管人核对各项银行存款投资余额及应计利息。</w:t>
      </w:r>
    </w:p>
    <w:p w14:paraId="5D79D7E6">
      <w:pPr>
        <w:spacing w:line="360" w:lineRule="auto"/>
        <w:ind w:firstLine="420"/>
        <w:rPr>
          <w:rFonts w:ascii="宋体" w:hAnsi="宋体" w:cs="宋体"/>
          <w:szCs w:val="21"/>
          <w:highlight w:val="none"/>
        </w:rPr>
      </w:pPr>
      <w:r>
        <w:rPr>
          <w:rFonts w:hint="eastAsia" w:ascii="宋体" w:hAnsi="宋体" w:cs="宋体"/>
          <w:szCs w:val="21"/>
          <w:highlight w:val="none"/>
        </w:rPr>
        <w:t>基金管理人应在《存款协议书》中规定，对于存期超过3个月的定期存款，基金托管人于每季度向存款银行发起查询查复，存款银行应按照人行查询查复的有关时限要求及时回复。基金管理人有责任督促存款银行及时回复查询查复。因存款银行未及时回复造成的资金被挪用、盗取的责任由存款银行承担。</w:t>
      </w:r>
    </w:p>
    <w:p w14:paraId="27D4590F">
      <w:pPr>
        <w:spacing w:line="360" w:lineRule="auto"/>
        <w:ind w:firstLine="420"/>
        <w:rPr>
          <w:rFonts w:ascii="宋体" w:hAnsi="宋体" w:cs="宋体"/>
          <w:szCs w:val="21"/>
          <w:highlight w:val="none"/>
        </w:rPr>
      </w:pPr>
      <w:r>
        <w:rPr>
          <w:rFonts w:hint="eastAsia" w:ascii="宋体" w:hAnsi="宋体" w:cs="宋体"/>
          <w:szCs w:val="21"/>
          <w:highlight w:val="none"/>
        </w:rPr>
        <w:t>存款银行应配合基金托管人对存款凭证的询证，并在询证函上加盖存款银行公章寄送至基金托管人指定联系人。</w:t>
      </w:r>
    </w:p>
    <w:p w14:paraId="7B26FC11">
      <w:pPr>
        <w:spacing w:line="360" w:lineRule="auto"/>
        <w:ind w:firstLine="420"/>
        <w:rPr>
          <w:rFonts w:ascii="宋体" w:hAnsi="宋体" w:cs="宋体"/>
          <w:szCs w:val="21"/>
          <w:highlight w:val="none"/>
        </w:rPr>
      </w:pPr>
      <w:r>
        <w:rPr>
          <w:rFonts w:hint="eastAsia" w:ascii="宋体" w:hAnsi="宋体" w:cs="宋体"/>
          <w:szCs w:val="21"/>
          <w:highlight w:val="none"/>
        </w:rPr>
        <w:t>（4）到期兑付</w:t>
      </w:r>
    </w:p>
    <w:p w14:paraId="464CBF78">
      <w:pPr>
        <w:spacing w:line="360" w:lineRule="auto"/>
        <w:ind w:firstLine="420"/>
        <w:rPr>
          <w:rFonts w:ascii="宋体" w:hAnsi="宋体" w:cs="宋体"/>
          <w:szCs w:val="21"/>
          <w:highlight w:val="none"/>
        </w:rPr>
      </w:pPr>
      <w:r>
        <w:rPr>
          <w:rFonts w:hint="eastAsia" w:ascii="宋体" w:hAnsi="宋体" w:cs="宋体"/>
          <w:szCs w:val="21"/>
          <w:highlight w:val="none"/>
        </w:rPr>
        <w:t>基金管理人提前通知基金托管人通过快递将存款凭证原件寄给存款银行分支机构指定的会计主管。存款银行未收到存款凭证原件的，应与基金托管人电话询问。存款到期前基金管理人与存款银行确认存款凭证收到并于到期日兑付存款本息事宜。</w:t>
      </w:r>
    </w:p>
    <w:p w14:paraId="1AA99A2C">
      <w:pPr>
        <w:spacing w:line="360" w:lineRule="auto"/>
        <w:ind w:firstLine="420"/>
        <w:rPr>
          <w:rFonts w:ascii="宋体" w:hAnsi="宋体" w:cs="宋体"/>
          <w:szCs w:val="21"/>
          <w:highlight w:val="none"/>
        </w:rPr>
      </w:pPr>
      <w:r>
        <w:rPr>
          <w:rFonts w:hint="eastAsia" w:ascii="宋体" w:hAnsi="宋体" w:cs="宋体"/>
          <w:szCs w:val="21"/>
          <w:highlight w:val="none"/>
        </w:rPr>
        <w:t>基金管理人应在《存款协议书》中规定，存款凭证在邮寄过程中遗失的，存款银行应立即通知基金托管人，基金托管人在原存款凭证复印件上加盖公章并出具相关证明文件后，与存款银行指定会计主管电话确认后，存款银行应在到期日将存款本息划至指定的基金资金账户。如果存款到期日为法定节假日，存款银行顺延至到期后第一个工作日支付，存款银行需按原协议约定利率和实际延期天数支付延期利息。</w:t>
      </w:r>
    </w:p>
    <w:p w14:paraId="0DB60AC2">
      <w:pPr>
        <w:spacing w:line="360" w:lineRule="auto"/>
        <w:ind w:firstLine="420"/>
        <w:rPr>
          <w:rFonts w:ascii="宋体" w:hAnsi="宋体" w:cs="宋体"/>
          <w:szCs w:val="21"/>
          <w:highlight w:val="none"/>
        </w:rPr>
      </w:pPr>
      <w:r>
        <w:rPr>
          <w:rFonts w:hint="eastAsia" w:ascii="宋体" w:hAnsi="宋体" w:cs="宋体"/>
          <w:szCs w:val="21"/>
          <w:highlight w:val="none"/>
        </w:rPr>
        <w:t>4.提前支取</w:t>
      </w:r>
    </w:p>
    <w:p w14:paraId="78CDF199">
      <w:pPr>
        <w:spacing w:line="360" w:lineRule="auto"/>
        <w:ind w:firstLine="420"/>
        <w:rPr>
          <w:rFonts w:ascii="宋体" w:hAnsi="宋体" w:cs="宋体"/>
          <w:szCs w:val="21"/>
          <w:highlight w:val="none"/>
        </w:rPr>
      </w:pPr>
      <w:r>
        <w:rPr>
          <w:rFonts w:hint="eastAsia" w:ascii="宋体" w:hAnsi="宋体" w:cs="宋体"/>
          <w:szCs w:val="21"/>
          <w:highlight w:val="none"/>
        </w:rPr>
        <w:t>如果在存款期限内，由于基金规模发生缩减的原因或者出于流动性管理的需要等原因，基金管理人可以提前支取全部或部分资金。</w:t>
      </w:r>
    </w:p>
    <w:p w14:paraId="7B85A193">
      <w:pPr>
        <w:spacing w:line="360" w:lineRule="auto"/>
        <w:ind w:firstLine="420"/>
        <w:rPr>
          <w:rFonts w:ascii="宋体" w:hAnsi="宋体" w:cs="宋体"/>
          <w:szCs w:val="21"/>
          <w:highlight w:val="none"/>
        </w:rPr>
      </w:pPr>
      <w:r>
        <w:rPr>
          <w:rFonts w:hint="eastAsia" w:ascii="宋体" w:hAnsi="宋体" w:cs="宋体"/>
          <w:szCs w:val="21"/>
          <w:highlight w:val="none"/>
        </w:rPr>
        <w:t>提前支取的具体事项按照基金管理人与存款银行签订的《存款协议书》执行。</w:t>
      </w:r>
    </w:p>
    <w:p w14:paraId="597E7FE9">
      <w:pPr>
        <w:spacing w:line="360" w:lineRule="auto"/>
        <w:ind w:firstLine="420"/>
        <w:rPr>
          <w:rFonts w:ascii="宋体" w:hAnsi="宋体" w:cs="宋体"/>
          <w:szCs w:val="21"/>
          <w:highlight w:val="none"/>
        </w:rPr>
      </w:pPr>
      <w:r>
        <w:rPr>
          <w:rFonts w:hint="eastAsia" w:ascii="宋体" w:hAnsi="宋体" w:cs="宋体"/>
          <w:szCs w:val="21"/>
          <w:highlight w:val="none"/>
        </w:rPr>
        <w:t>5.基金投资银行存款的监督</w:t>
      </w:r>
    </w:p>
    <w:p w14:paraId="18E76757">
      <w:pPr>
        <w:spacing w:line="360" w:lineRule="auto"/>
        <w:ind w:firstLine="420"/>
        <w:rPr>
          <w:rFonts w:ascii="宋体" w:hAnsi="宋体" w:cs="宋体"/>
          <w:szCs w:val="21"/>
          <w:highlight w:val="none"/>
        </w:rPr>
      </w:pPr>
      <w:r>
        <w:rPr>
          <w:rFonts w:hint="eastAsia" w:ascii="宋体" w:hAnsi="宋体" w:cs="宋体"/>
          <w:szCs w:val="21"/>
          <w:highlight w:val="none"/>
        </w:rPr>
        <w:t>基金托管人发现基金管理人在进行存款投资时有违反有关法律法规的规定及《基金合同》的约定的行为，应及时以书面形式通知基金管理人在</w:t>
      </w:r>
      <w:r>
        <w:rPr>
          <w:rFonts w:ascii="宋体" w:hAnsi="宋体" w:cs="宋体"/>
          <w:szCs w:val="21"/>
          <w:highlight w:val="none"/>
        </w:rPr>
        <w:t xml:space="preserve">10 </w:t>
      </w:r>
      <w:r>
        <w:rPr>
          <w:rFonts w:hint="eastAsia" w:ascii="宋体" w:hAnsi="宋体" w:cs="宋体"/>
          <w:szCs w:val="21"/>
          <w:highlight w:val="none"/>
        </w:rPr>
        <w:t>个工作日内纠正。基金管理人对基金托管人通知的违规事项未能在</w:t>
      </w:r>
      <w:r>
        <w:rPr>
          <w:rFonts w:ascii="宋体" w:hAnsi="宋体" w:cs="宋体"/>
          <w:szCs w:val="21"/>
          <w:highlight w:val="none"/>
        </w:rPr>
        <w:t xml:space="preserve">10 </w:t>
      </w:r>
      <w:r>
        <w:rPr>
          <w:rFonts w:hint="eastAsia" w:ascii="宋体" w:hAnsi="宋体" w:cs="宋体"/>
          <w:szCs w:val="21"/>
          <w:highlight w:val="none"/>
        </w:rPr>
        <w:t>个工作日内纠正的，基金托管人应报告中国证监会。基金托管人发现基金管理人有重大违规行为，应立即报告中国证监会，同时通知基金管理人在</w:t>
      </w:r>
      <w:r>
        <w:rPr>
          <w:rFonts w:ascii="宋体" w:hAnsi="宋体" w:cs="宋体"/>
          <w:szCs w:val="21"/>
          <w:highlight w:val="none"/>
        </w:rPr>
        <w:t xml:space="preserve">10 </w:t>
      </w:r>
      <w:r>
        <w:rPr>
          <w:rFonts w:hint="eastAsia" w:ascii="宋体" w:hAnsi="宋体" w:cs="宋体"/>
          <w:szCs w:val="21"/>
          <w:highlight w:val="none"/>
        </w:rPr>
        <w:t>个工作日内纠正或拒绝结算，若因基金管理人拒不执行造成基金财产损失的，相关损失由基金管理人承担，基金托管人不承担任何责任。</w:t>
      </w:r>
    </w:p>
    <w:p w14:paraId="373303B7">
      <w:pPr>
        <w:spacing w:line="360" w:lineRule="auto"/>
        <w:ind w:firstLine="420"/>
        <w:rPr>
          <w:rFonts w:ascii="宋体" w:hAnsi="宋体" w:cs="宋体"/>
          <w:szCs w:val="21"/>
          <w:highlight w:val="none"/>
        </w:rPr>
      </w:pPr>
      <w:r>
        <w:rPr>
          <w:rFonts w:ascii="宋体" w:hAnsi="宋体" w:cs="宋体"/>
          <w:szCs w:val="21"/>
          <w:highlight w:val="none"/>
        </w:rPr>
        <w:t>（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w:t>
      </w:r>
      <w:r>
        <w:rPr>
          <w:rFonts w:hint="eastAsia" w:ascii="宋体" w:hAnsi="宋体" w:cs="宋体"/>
          <w:szCs w:val="21"/>
          <w:highlight w:val="none"/>
        </w:rPr>
        <w:t>如基金管理人在基金投资运作之前未向基金托管人提供银行间债券市场交易对手名单的，视为基金管理人认可全市场交易对手。</w:t>
      </w:r>
      <w:r>
        <w:rPr>
          <w:rFonts w:ascii="宋体" w:hAnsi="宋体" w:cs="宋体"/>
          <w:szCs w:val="21"/>
          <w:highlight w:val="none"/>
        </w:rPr>
        <w:t>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3个交易日内与基金托管人协商解决。</w:t>
      </w:r>
    </w:p>
    <w:p w14:paraId="008A4466">
      <w:pPr>
        <w:spacing w:line="360" w:lineRule="auto"/>
        <w:ind w:firstLine="420"/>
        <w:rPr>
          <w:rFonts w:ascii="宋体" w:hAnsi="宋体" w:cs="宋体"/>
          <w:szCs w:val="21"/>
          <w:highlight w:val="none"/>
        </w:rPr>
      </w:pPr>
      <w:r>
        <w:rPr>
          <w:rFonts w:hint="eastAsia" w:ascii="宋体" w:hAnsi="宋体" w:cs="宋体"/>
          <w:szCs w:val="21"/>
          <w:highlight w:val="none"/>
        </w:rPr>
        <w:t>基金管理人负责对交易对手的资信控制，按银行间债券市场的交易规则进行交易，并负责处理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14:paraId="606E6F87">
      <w:pPr>
        <w:spacing w:line="360" w:lineRule="auto"/>
        <w:ind w:firstLine="420"/>
        <w:rPr>
          <w:rFonts w:ascii="宋体" w:hAnsi="宋体" w:cs="宋体"/>
          <w:szCs w:val="21"/>
          <w:highlight w:val="none"/>
        </w:rPr>
      </w:pPr>
      <w:r>
        <w:rPr>
          <w:rFonts w:hint="eastAsia" w:ascii="宋体" w:hAnsi="宋体" w:cs="宋体"/>
          <w:szCs w:val="21"/>
          <w:highlight w:val="none"/>
        </w:rPr>
        <w:t>（五）基金管理人应当对投资中期票据业务进行研究，认真评估中期票据投资业务的风险，本着审慎、勤勉尽责的原则进行中期票据的投资业务，并应符合法律法规及监管机构的相关规定。</w:t>
      </w:r>
    </w:p>
    <w:p w14:paraId="357E286D">
      <w:pPr>
        <w:spacing w:line="360" w:lineRule="auto"/>
        <w:ind w:firstLine="420"/>
        <w:rPr>
          <w:rFonts w:ascii="宋体" w:hAnsi="宋体" w:cs="宋体"/>
          <w:bCs/>
          <w:color w:val="000000"/>
          <w:szCs w:val="21"/>
          <w:highlight w:val="none"/>
        </w:rPr>
      </w:pPr>
      <w:r>
        <w:rPr>
          <w:rFonts w:hint="eastAsia" w:ascii="宋体" w:hAnsi="宋体" w:cs="宋体"/>
          <w:szCs w:val="21"/>
          <w:highlight w:val="none"/>
        </w:rPr>
        <w:t>（六）</w:t>
      </w:r>
      <w:r>
        <w:rPr>
          <w:rFonts w:hint="eastAsia" w:ascii="宋体" w:hAnsi="宋体" w:cs="宋体"/>
          <w:bCs/>
          <w:color w:val="000000" w:themeColor="text1"/>
          <w:szCs w:val="21"/>
          <w:highlight w:val="none"/>
          <w14:textFill>
            <w14:solidFill>
              <w14:schemeClr w14:val="tx1"/>
            </w14:solidFill>
          </w14:textFill>
        </w:rPr>
        <w:t>基金参与转融通证券出借业务，基金管理人应当遵守审慎经营的原则，配备技术系统和专业人员，制定科学合理的投资策略和风险管理制度，完善业务流程，有效防范和控制风险，基金托管人将对基金参与出借业务进行监督与复核。</w:t>
      </w:r>
    </w:p>
    <w:p w14:paraId="59B7B150">
      <w:pPr>
        <w:spacing w:line="360" w:lineRule="auto"/>
        <w:ind w:firstLine="420"/>
        <w:rPr>
          <w:rFonts w:ascii="宋体" w:hAnsi="宋体" w:cs="宋体"/>
          <w:szCs w:val="21"/>
          <w:highlight w:val="none"/>
        </w:rPr>
      </w:pPr>
      <w:r>
        <w:rPr>
          <w:rFonts w:hint="eastAsia" w:ascii="宋体" w:hAnsi="宋体" w:cs="宋体"/>
          <w:szCs w:val="21"/>
          <w:highlight w:val="none"/>
        </w:rPr>
        <w:t>（七）基金托管人根据有关法律法规的规定及《基金合同》的约定，对</w:t>
      </w:r>
      <w:r>
        <w:rPr>
          <w:rFonts w:hint="eastAsia" w:asciiTheme="minorEastAsia" w:hAnsiTheme="minorEastAsia" w:cstheme="minorEastAsia"/>
          <w:bCs/>
          <w:highlight w:val="none"/>
        </w:rPr>
        <w:t>基金管理人提交的</w:t>
      </w:r>
      <w:r>
        <w:rPr>
          <w:rFonts w:hint="eastAsia" w:ascii="宋体" w:hAnsi="宋体" w:cs="宋体"/>
          <w:szCs w:val="21"/>
          <w:highlight w:val="none"/>
        </w:rPr>
        <w:t>基金资产净值计算、基金份额净值计算、基金费用开支及收入确定、基金收益分配、相关信息披露、基金宣传推介材料中登载基金业绩表现数据等进行监督和核查。</w:t>
      </w:r>
    </w:p>
    <w:p w14:paraId="0A51AB9A">
      <w:pPr>
        <w:spacing w:line="360" w:lineRule="auto"/>
        <w:ind w:firstLine="420"/>
        <w:rPr>
          <w:rFonts w:ascii="宋体" w:hAnsi="宋体" w:cs="宋体"/>
          <w:highlight w:val="none"/>
        </w:rPr>
      </w:pPr>
      <w:r>
        <w:rPr>
          <w:rFonts w:hint="eastAsia" w:ascii="宋体" w:hAnsi="宋体" w:cs="宋体"/>
          <w:szCs w:val="21"/>
          <w:highlight w:val="none"/>
        </w:rPr>
        <w:t>（八）</w:t>
      </w:r>
      <w:r>
        <w:rPr>
          <w:rFonts w:ascii="宋体" w:hAnsi="宋体" w:cs="宋体"/>
          <w:highlight w:val="none"/>
        </w:rPr>
        <w:t>基金托管人发现基金管理人的上述事项及投资指令或实际投资运作违反法律法规、《基金合同》和本托管协议的规定，应及时以电话、邮件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14:paraId="024BC93A">
      <w:pPr>
        <w:spacing w:line="360" w:lineRule="auto"/>
        <w:ind w:firstLine="420"/>
        <w:rPr>
          <w:rFonts w:ascii="宋体" w:hAnsi="宋体" w:cs="宋体"/>
          <w:szCs w:val="21"/>
          <w:highlight w:val="none"/>
        </w:rPr>
      </w:pPr>
      <w:r>
        <w:rPr>
          <w:rFonts w:hint="eastAsia" w:ascii="宋体" w:hAnsi="宋体" w:cs="宋体"/>
          <w:szCs w:val="21"/>
          <w:highlight w:val="none"/>
        </w:rPr>
        <w:t>（九）基金管理人有义务配合和协助基金托管人依照法律法规、《基金合同》和本托管协议对基金业务执行核查。包括但不限于：对基金托管人发出的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14:paraId="1D8346C5">
      <w:pPr>
        <w:spacing w:line="360" w:lineRule="auto"/>
        <w:ind w:firstLine="420"/>
        <w:rPr>
          <w:rFonts w:ascii="宋体" w:hAnsi="宋体" w:cs="宋体"/>
          <w:szCs w:val="21"/>
          <w:highlight w:val="none"/>
        </w:rPr>
      </w:pPr>
      <w:r>
        <w:rPr>
          <w:rFonts w:hint="eastAsia" w:ascii="宋体" w:hAnsi="宋体" w:cs="宋体"/>
          <w:szCs w:val="21"/>
          <w:highlight w:val="none"/>
        </w:rPr>
        <w:t>（十）若基金托管人发现基金管理人依据交易程序已经生效的指令违反法律、行政法规和其他有关规定，或者违反基金合同约定的，应当立即通知基金管理人及时纠正，由此造成的损失由基金管理人承担，基金托管人在履行其通知义务后，予以免责。</w:t>
      </w:r>
    </w:p>
    <w:p w14:paraId="13761EE9">
      <w:pPr>
        <w:spacing w:line="360" w:lineRule="auto"/>
        <w:ind w:firstLine="420"/>
        <w:rPr>
          <w:rFonts w:ascii="宋体" w:hAnsi="宋体" w:cs="宋体"/>
          <w:szCs w:val="21"/>
          <w:highlight w:val="none"/>
        </w:rPr>
      </w:pPr>
      <w:r>
        <w:rPr>
          <w:rFonts w:hint="eastAsia" w:ascii="宋体" w:hAnsi="宋体" w:cs="宋体"/>
          <w:szCs w:val="21"/>
          <w:highlight w:val="none"/>
        </w:rPr>
        <w:t>（十一）基金托管人发现基金管理人有重大违规行为，应及时报告中国证监会，同时通知基金管理人限期纠正。</w:t>
      </w:r>
    </w:p>
    <w:p w14:paraId="64C3F18A">
      <w:pPr>
        <w:spacing w:line="360" w:lineRule="auto"/>
        <w:ind w:firstLine="422" w:firstLineChars="200"/>
        <w:rPr>
          <w:rFonts w:ascii="宋体" w:hAnsi="宋体" w:cs="Arial"/>
          <w:b/>
          <w:szCs w:val="21"/>
          <w:highlight w:val="none"/>
        </w:rPr>
      </w:pPr>
      <w:r>
        <w:rPr>
          <w:rFonts w:ascii="宋体" w:hAnsi="宋体" w:cs="Arial"/>
          <w:b/>
          <w:szCs w:val="21"/>
          <w:highlight w:val="none"/>
        </w:rPr>
        <w:t>三、</w:t>
      </w:r>
      <w:bookmarkEnd w:id="172"/>
      <w:bookmarkEnd w:id="173"/>
      <w:bookmarkEnd w:id="174"/>
      <w:bookmarkEnd w:id="175"/>
      <w:bookmarkEnd w:id="176"/>
      <w:bookmarkEnd w:id="177"/>
      <w:bookmarkEnd w:id="178"/>
      <w:r>
        <w:rPr>
          <w:rFonts w:hint="eastAsia" w:ascii="宋体" w:hAnsi="宋体" w:cs="Arial"/>
          <w:b/>
          <w:szCs w:val="21"/>
          <w:highlight w:val="none"/>
        </w:rPr>
        <w:t>基金管理人对基金托管人的业务核查</w:t>
      </w:r>
    </w:p>
    <w:p w14:paraId="6D2A70F0">
      <w:pPr>
        <w:snapToGrid w:val="0"/>
        <w:spacing w:line="360" w:lineRule="auto"/>
        <w:ind w:firstLine="420"/>
        <w:rPr>
          <w:rFonts w:ascii="宋体" w:hAnsi="宋体" w:cs="宋体"/>
          <w:szCs w:val="21"/>
          <w:highlight w:val="none"/>
        </w:rPr>
      </w:pPr>
      <w:bookmarkStart w:id="179" w:name="_Toc287014244"/>
      <w:bookmarkStart w:id="180" w:name="_Toc288639817"/>
      <w:bookmarkStart w:id="181" w:name="_Toc278986892"/>
      <w:bookmarkStart w:id="182" w:name="_Toc278986832"/>
      <w:bookmarkStart w:id="183" w:name="_Toc278986607"/>
      <w:bookmarkStart w:id="184" w:name="_Toc286319595"/>
      <w:r>
        <w:rPr>
          <w:rFonts w:hint="eastAsia" w:ascii="宋体" w:hAnsi="宋体" w:cs="宋体"/>
          <w:szCs w:val="21"/>
          <w:highlight w:val="none"/>
        </w:rPr>
        <w:t>（一）基金管理人对基金托管人履行托管职责情况进行核查，核查事项包括基金托管人安全保管基金财产、开设基金财产的资金账户、证券账户等投资所需账户、复核基金管理人计算的基金资产净值和基金份额净值、根据基金管理人指令办理清算交收、相关信息披露和监督基金投资运作等行为。</w:t>
      </w:r>
    </w:p>
    <w:p w14:paraId="4713A7AF">
      <w:pPr>
        <w:snapToGrid w:val="0"/>
        <w:spacing w:line="360" w:lineRule="auto"/>
        <w:ind w:firstLine="420"/>
        <w:rPr>
          <w:rFonts w:ascii="宋体" w:hAnsi="宋体" w:cs="宋体"/>
          <w:szCs w:val="21"/>
          <w:highlight w:val="none"/>
        </w:rPr>
      </w:pPr>
      <w:r>
        <w:rPr>
          <w:rFonts w:hint="eastAsia" w:ascii="宋体" w:hAnsi="宋体" w:cs="宋体"/>
          <w:szCs w:val="21"/>
          <w:highlight w:val="none"/>
        </w:rPr>
        <w:t>（二）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因基金托管人原因造成基金财产损失的，基金托管人应承担相应的责任。</w:t>
      </w:r>
    </w:p>
    <w:p w14:paraId="3CA7794A">
      <w:pPr>
        <w:spacing w:line="360" w:lineRule="auto"/>
        <w:ind w:firstLine="420"/>
        <w:rPr>
          <w:rFonts w:ascii="宋体" w:hAnsi="宋体" w:cs="宋体"/>
          <w:szCs w:val="21"/>
          <w:highlight w:val="none"/>
        </w:rPr>
      </w:pPr>
      <w:r>
        <w:rPr>
          <w:rFonts w:hint="eastAsia" w:ascii="宋体" w:hAnsi="宋体" w:cs="宋体"/>
          <w:szCs w:val="21"/>
          <w:highlight w:val="none"/>
        </w:rPr>
        <w:t>（三）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w:t>
      </w:r>
    </w:p>
    <w:p w14:paraId="1FCAAAF9">
      <w:pPr>
        <w:snapToGrid w:val="0"/>
        <w:spacing w:line="360" w:lineRule="auto"/>
        <w:ind w:firstLine="420"/>
        <w:rPr>
          <w:rFonts w:ascii="宋体" w:hAnsi="宋体" w:cs="宋体"/>
          <w:szCs w:val="21"/>
          <w:highlight w:val="none"/>
        </w:rPr>
      </w:pPr>
      <w:r>
        <w:rPr>
          <w:rFonts w:hint="eastAsia" w:ascii="宋体" w:hAnsi="宋体" w:cs="宋体"/>
          <w:szCs w:val="21"/>
          <w:highlight w:val="none"/>
        </w:rPr>
        <w:t>（四）基金管理人发现基金托管人有重大违规行为，应及时报告中国证监会，同时通知基金托管人限期纠正，并将纠正结果报告中国证监会。</w:t>
      </w:r>
    </w:p>
    <w:p w14:paraId="51667A46">
      <w:pPr>
        <w:spacing w:line="360" w:lineRule="auto"/>
        <w:ind w:firstLine="422" w:firstLineChars="200"/>
        <w:rPr>
          <w:rFonts w:ascii="宋体" w:hAnsi="宋体" w:cs="Arial"/>
          <w:b/>
          <w:szCs w:val="21"/>
          <w:highlight w:val="none"/>
        </w:rPr>
      </w:pPr>
      <w:r>
        <w:rPr>
          <w:rFonts w:ascii="宋体" w:hAnsi="宋体" w:cs="Arial"/>
          <w:b/>
          <w:szCs w:val="21"/>
          <w:highlight w:val="none"/>
        </w:rPr>
        <w:t>四、基金财产保管</w:t>
      </w:r>
      <w:bookmarkEnd w:id="179"/>
      <w:bookmarkEnd w:id="180"/>
      <w:bookmarkEnd w:id="181"/>
      <w:bookmarkEnd w:id="182"/>
      <w:bookmarkEnd w:id="183"/>
      <w:bookmarkEnd w:id="184"/>
    </w:p>
    <w:p w14:paraId="3B231D5E">
      <w:pPr>
        <w:snapToGrid w:val="0"/>
        <w:spacing w:line="360" w:lineRule="auto"/>
        <w:ind w:firstLine="420"/>
        <w:rPr>
          <w:rFonts w:ascii="宋体" w:hAnsi="宋体" w:cs="宋体"/>
          <w:szCs w:val="21"/>
          <w:highlight w:val="none"/>
        </w:rPr>
      </w:pPr>
      <w:bookmarkStart w:id="185" w:name="_Toc278986608"/>
      <w:bookmarkStart w:id="186" w:name="_Toc287014245"/>
      <w:bookmarkStart w:id="187" w:name="_Toc278986833"/>
      <w:bookmarkStart w:id="188" w:name="_Toc286319596"/>
      <w:bookmarkStart w:id="189" w:name="_Toc116900103"/>
      <w:bookmarkStart w:id="190" w:name="_Toc288639818"/>
      <w:bookmarkStart w:id="191" w:name="_Toc252355962"/>
      <w:bookmarkStart w:id="192" w:name="_Toc278986893"/>
      <w:r>
        <w:rPr>
          <w:rFonts w:hint="eastAsia" w:ascii="宋体" w:hAnsi="宋体" w:cs="宋体"/>
          <w:szCs w:val="21"/>
          <w:highlight w:val="none"/>
        </w:rPr>
        <w:t>（一）基金财产保管的原则</w:t>
      </w:r>
    </w:p>
    <w:p w14:paraId="0DD2DDEE">
      <w:pPr>
        <w:snapToGrid w:val="0"/>
        <w:spacing w:line="360" w:lineRule="auto"/>
        <w:ind w:firstLine="420"/>
        <w:rPr>
          <w:rFonts w:ascii="宋体" w:hAnsi="宋体" w:cs="宋体"/>
          <w:szCs w:val="21"/>
          <w:highlight w:val="none"/>
        </w:rPr>
      </w:pPr>
      <w:r>
        <w:rPr>
          <w:rFonts w:hint="eastAsia" w:ascii="宋体" w:hAnsi="宋体" w:cs="宋体"/>
          <w:szCs w:val="21"/>
          <w:highlight w:val="none"/>
        </w:rPr>
        <w:t>1.基金财产应独立于基金管理人、基金托管人的固有财产。</w:t>
      </w:r>
    </w:p>
    <w:p w14:paraId="77C8F474">
      <w:pPr>
        <w:snapToGrid w:val="0"/>
        <w:spacing w:line="360" w:lineRule="auto"/>
        <w:ind w:firstLine="420"/>
        <w:rPr>
          <w:rFonts w:ascii="宋体" w:hAnsi="宋体" w:cs="宋体"/>
          <w:szCs w:val="21"/>
          <w:highlight w:val="none"/>
        </w:rPr>
      </w:pPr>
      <w:r>
        <w:rPr>
          <w:rFonts w:hint="eastAsia" w:ascii="宋体" w:hAnsi="宋体" w:cs="宋体"/>
          <w:szCs w:val="21"/>
          <w:highlight w:val="none"/>
        </w:rPr>
        <w:t>2.基金托管人应安全保管基金财产。</w:t>
      </w:r>
    </w:p>
    <w:p w14:paraId="2971ACED">
      <w:pPr>
        <w:snapToGrid w:val="0"/>
        <w:spacing w:line="360" w:lineRule="auto"/>
        <w:ind w:firstLine="420"/>
        <w:rPr>
          <w:rFonts w:ascii="宋体" w:hAnsi="宋体" w:cs="宋体"/>
          <w:szCs w:val="21"/>
          <w:highlight w:val="none"/>
        </w:rPr>
      </w:pPr>
      <w:r>
        <w:rPr>
          <w:rFonts w:hint="eastAsia" w:ascii="宋体" w:hAnsi="宋体" w:cs="宋体"/>
          <w:szCs w:val="21"/>
          <w:highlight w:val="none"/>
        </w:rPr>
        <w:t>3.基金托管人按照规定开设基金财产投资所需的相关账户。</w:t>
      </w:r>
    </w:p>
    <w:p w14:paraId="5380DD6A">
      <w:pPr>
        <w:snapToGrid w:val="0"/>
        <w:spacing w:line="360" w:lineRule="auto"/>
        <w:ind w:firstLine="420"/>
        <w:rPr>
          <w:rFonts w:ascii="宋体" w:hAnsi="宋体" w:cs="宋体"/>
          <w:szCs w:val="21"/>
          <w:highlight w:val="none"/>
        </w:rPr>
      </w:pPr>
      <w:r>
        <w:rPr>
          <w:rFonts w:hint="eastAsia" w:ascii="宋体" w:hAnsi="宋体" w:cs="宋体"/>
          <w:szCs w:val="21"/>
          <w:highlight w:val="none"/>
        </w:rPr>
        <w:t>4.基金托管人对所托管的不同基金财产分别设置账户，确保基金财产的完整与独立。</w:t>
      </w:r>
    </w:p>
    <w:p w14:paraId="6DA447EA">
      <w:pPr>
        <w:snapToGrid w:val="0"/>
        <w:spacing w:line="360" w:lineRule="auto"/>
        <w:ind w:firstLine="420"/>
        <w:rPr>
          <w:rFonts w:ascii="宋体" w:hAnsi="宋体" w:cs="宋体"/>
          <w:szCs w:val="21"/>
          <w:highlight w:val="none"/>
        </w:rPr>
      </w:pPr>
      <w:r>
        <w:rPr>
          <w:rFonts w:hint="eastAsia" w:ascii="宋体" w:hAnsi="宋体" w:cs="宋体"/>
          <w:szCs w:val="21"/>
          <w:highlight w:val="none"/>
        </w:rPr>
        <w:t>5.基金托管人根据基金管理人的指令，按照基金合同和本协议的约定保管基金财产。未经基金管理人的正当指令，不得自行运用、处分、分配基金的任何资产。</w:t>
      </w:r>
    </w:p>
    <w:p w14:paraId="423BA278">
      <w:pPr>
        <w:snapToGrid w:val="0"/>
        <w:spacing w:line="360" w:lineRule="auto"/>
        <w:ind w:firstLine="420"/>
        <w:rPr>
          <w:rFonts w:ascii="宋体" w:hAnsi="宋体" w:cs="宋体"/>
          <w:szCs w:val="21"/>
          <w:highlight w:val="none"/>
        </w:rPr>
      </w:pPr>
      <w:r>
        <w:rPr>
          <w:rFonts w:hint="eastAsia" w:ascii="宋体" w:hAnsi="宋体" w:cs="宋体"/>
          <w:szCs w:val="21"/>
          <w:highlight w:val="none"/>
        </w:rPr>
        <w:t>6.对于因为基金投资产生的应收资产，如基金托管人无法从公开信息或基金管理人提供的书面资料中获取到账日期信息的，应由基金管理人负责与有关当事人确定到账日期并通知基金托管人，到账日基金财产没有到达基金资金账户的，基金托管人应及时通知基金管理人采取措施进行催收，基金管理人应负责向有关当事人追偿基金财产的损失。</w:t>
      </w:r>
    </w:p>
    <w:p w14:paraId="03BFF8BE">
      <w:pPr>
        <w:snapToGrid w:val="0"/>
        <w:spacing w:line="360" w:lineRule="auto"/>
        <w:ind w:firstLine="420"/>
        <w:rPr>
          <w:rFonts w:ascii="宋体" w:hAnsi="宋体" w:cs="宋体"/>
          <w:szCs w:val="21"/>
          <w:highlight w:val="none"/>
        </w:rPr>
      </w:pPr>
      <w:r>
        <w:rPr>
          <w:rFonts w:hint="eastAsia" w:ascii="宋体" w:hAnsi="宋体" w:cs="宋体"/>
          <w:szCs w:val="21"/>
          <w:highlight w:val="none"/>
        </w:rPr>
        <w:t>7.基金托管人对因为基金管理人投资产生的存放或存管在基金托管人以外机构的基金资产，或交由期货公司或证券公司负责清算交收的基金资产（包括但不限于期货保证金账户内的资金、期货合约等）及其收益，由于该等机构或该机构会员单位等本协议当事人外第三方的欺诈、疏忽、过失或破产等原因给基金资产造成的损失等不承担责任。</w:t>
      </w:r>
    </w:p>
    <w:p w14:paraId="0B2E58C2">
      <w:pPr>
        <w:snapToGrid w:val="0"/>
        <w:spacing w:line="360" w:lineRule="auto"/>
        <w:ind w:firstLine="420"/>
        <w:rPr>
          <w:rFonts w:ascii="宋体" w:hAnsi="宋体" w:cs="宋体"/>
          <w:szCs w:val="21"/>
          <w:highlight w:val="none"/>
        </w:rPr>
      </w:pPr>
      <w:r>
        <w:rPr>
          <w:rFonts w:hint="eastAsia" w:ascii="宋体" w:hAnsi="宋体" w:cs="宋体"/>
          <w:szCs w:val="21"/>
          <w:highlight w:val="none"/>
        </w:rPr>
        <w:t>8.除依据法律法规和基金合同的规定外，基金托管人不得委托第三人托管基金财产。</w:t>
      </w:r>
    </w:p>
    <w:p w14:paraId="12FA1E97">
      <w:pPr>
        <w:snapToGrid w:val="0"/>
        <w:spacing w:line="360" w:lineRule="auto"/>
        <w:ind w:firstLine="420"/>
        <w:rPr>
          <w:szCs w:val="21"/>
          <w:highlight w:val="none"/>
        </w:rPr>
      </w:pPr>
      <w:r>
        <w:rPr>
          <w:szCs w:val="21"/>
          <w:highlight w:val="none"/>
        </w:rPr>
        <w:t>（二）基金募集期间及募集资金、股票的验资</w:t>
      </w:r>
    </w:p>
    <w:p w14:paraId="3874CD9D">
      <w:pPr>
        <w:snapToGrid w:val="0"/>
        <w:spacing w:line="360" w:lineRule="auto"/>
        <w:ind w:firstLine="420"/>
        <w:rPr>
          <w:szCs w:val="21"/>
          <w:highlight w:val="none"/>
        </w:rPr>
      </w:pPr>
      <w:r>
        <w:rPr>
          <w:szCs w:val="21"/>
          <w:highlight w:val="none"/>
        </w:rPr>
        <w:t>1.基金募集期间募集的资金应</w:t>
      </w:r>
      <w:r>
        <w:rPr>
          <w:rFonts w:hint="eastAsia" w:ascii="宋体" w:hAnsi="宋体" w:cs="Arial"/>
          <w:szCs w:val="21"/>
          <w:highlight w:val="none"/>
        </w:rPr>
        <w:t>存放于专用账户，募集的股票按照交易所和登记结算机构的规则和流程办理股票的冻结与过户</w:t>
      </w:r>
      <w:r>
        <w:rPr>
          <w:szCs w:val="21"/>
          <w:highlight w:val="none"/>
        </w:rPr>
        <w:t>。</w:t>
      </w:r>
    </w:p>
    <w:p w14:paraId="7FE0B1C6">
      <w:pPr>
        <w:snapToGrid w:val="0"/>
        <w:spacing w:line="360" w:lineRule="auto"/>
        <w:ind w:firstLine="420"/>
        <w:rPr>
          <w:szCs w:val="21"/>
          <w:highlight w:val="none"/>
        </w:rPr>
      </w:pPr>
      <w:r>
        <w:rPr>
          <w:szCs w:val="21"/>
          <w:highlight w:val="none"/>
        </w:rPr>
        <w:t>2.基金募集期满或基金停止募集时，募集的基金份额总额、基金募集金额</w:t>
      </w:r>
      <w:r>
        <w:rPr>
          <w:rFonts w:hint="eastAsia"/>
          <w:szCs w:val="21"/>
          <w:highlight w:val="none"/>
        </w:rPr>
        <w:t>（含募集的股票市值）</w:t>
      </w:r>
      <w:r>
        <w:rPr>
          <w:szCs w:val="21"/>
          <w:highlight w:val="none"/>
        </w:rPr>
        <w:t>、基金份额持有人人数符合《基金法》、《运作办法》等有关规定后，属于基金财产的全部资金</w:t>
      </w:r>
      <w:r>
        <w:rPr>
          <w:rFonts w:hint="eastAsia"/>
          <w:szCs w:val="21"/>
          <w:highlight w:val="none"/>
        </w:rPr>
        <w:t>应</w:t>
      </w:r>
      <w:r>
        <w:rPr>
          <w:szCs w:val="21"/>
          <w:highlight w:val="none"/>
        </w:rPr>
        <w:t>划入基金托管人为基金开立的基金资金账户，</w:t>
      </w:r>
      <w:r>
        <w:rPr>
          <w:rFonts w:hint="eastAsia"/>
          <w:szCs w:val="21"/>
          <w:highlight w:val="none"/>
        </w:rPr>
        <w:t>登记结算公司应将网下股票认购所募集到的股票划入以基金托管人和基金联名方式开立的证券账户下，</w:t>
      </w:r>
      <w:r>
        <w:rPr>
          <w:szCs w:val="21"/>
          <w:highlight w:val="none"/>
        </w:rPr>
        <w:t>同时在规定时间内，基金管理人应聘请符合《证券法》规定的会计师事务所进行验资，出具验资报告。出具的验资报告由参加验资的2名或2名以上中国注册会计师签字方为有效。</w:t>
      </w:r>
    </w:p>
    <w:p w14:paraId="5B389F5B">
      <w:pPr>
        <w:snapToGrid w:val="0"/>
        <w:spacing w:line="360" w:lineRule="auto"/>
        <w:ind w:firstLine="420"/>
        <w:rPr>
          <w:rFonts w:ascii="宋体" w:hAnsi="宋体" w:cs="宋体"/>
          <w:szCs w:val="21"/>
          <w:highlight w:val="none"/>
        </w:rPr>
      </w:pPr>
      <w:r>
        <w:rPr>
          <w:szCs w:val="21"/>
          <w:highlight w:val="none"/>
        </w:rPr>
        <w:t>3.若基金募集期限届满，未能达到基金合同生效的条件，由基金管理人按规定办理退款等事宜。</w:t>
      </w:r>
    </w:p>
    <w:p w14:paraId="12E535DA">
      <w:pPr>
        <w:snapToGrid w:val="0"/>
        <w:spacing w:line="360" w:lineRule="auto"/>
        <w:ind w:firstLine="420"/>
        <w:rPr>
          <w:rFonts w:ascii="宋体" w:hAnsi="宋体" w:cs="宋体"/>
          <w:szCs w:val="21"/>
          <w:highlight w:val="none"/>
        </w:rPr>
      </w:pPr>
      <w:r>
        <w:rPr>
          <w:rFonts w:hint="eastAsia" w:ascii="宋体" w:hAnsi="宋体" w:cs="宋体"/>
          <w:szCs w:val="21"/>
          <w:highlight w:val="none"/>
        </w:rPr>
        <w:t>（三）基金资金账户的开立和管理</w:t>
      </w:r>
    </w:p>
    <w:p w14:paraId="20A579DA">
      <w:pPr>
        <w:snapToGrid w:val="0"/>
        <w:spacing w:line="360" w:lineRule="auto"/>
        <w:ind w:firstLine="420"/>
        <w:rPr>
          <w:rFonts w:ascii="宋体" w:hAnsi="宋体" w:cs="宋体"/>
          <w:szCs w:val="21"/>
          <w:highlight w:val="none"/>
        </w:rPr>
      </w:pPr>
      <w:r>
        <w:rPr>
          <w:rFonts w:hint="eastAsia" w:ascii="宋体" w:hAnsi="宋体" w:cs="宋体"/>
          <w:szCs w:val="21"/>
          <w:highlight w:val="none"/>
        </w:rPr>
        <w:t>1.基金托管人以本基金的名义在其营业机构开立基金的资金账户（也可称为“托管账户”），保管基金的银行存款，并根据基金管理人的指令办理资金收付。托管账户名称应为“博时恒生港股通</w:t>
      </w:r>
      <w:r>
        <w:rPr>
          <w:rFonts w:hint="eastAsia" w:ascii="宋体" w:hAnsi="宋体" w:cs="宋体"/>
          <w:szCs w:val="21"/>
          <w:highlight w:val="none"/>
          <w:lang w:eastAsia="zh-CN"/>
        </w:rPr>
        <w:t>红利</w:t>
      </w:r>
      <w:r>
        <w:rPr>
          <w:rFonts w:hint="eastAsia" w:ascii="宋体" w:hAnsi="宋体" w:cs="宋体"/>
          <w:szCs w:val="21"/>
          <w:highlight w:val="none"/>
        </w:rPr>
        <w:t>低波动交易型开放式指数证券投资基金”，预留印鉴为管理人法定代表人/单位负责人或其授权人名章和广发银行股份有限公司资产托管业务专用章。</w:t>
      </w:r>
    </w:p>
    <w:p w14:paraId="5CE4C5A6">
      <w:pPr>
        <w:snapToGrid w:val="0"/>
        <w:spacing w:line="360" w:lineRule="auto"/>
        <w:ind w:firstLine="420"/>
        <w:rPr>
          <w:rFonts w:ascii="宋体" w:hAnsi="宋体" w:cs="宋体"/>
          <w:szCs w:val="21"/>
          <w:highlight w:val="none"/>
        </w:rPr>
      </w:pPr>
      <w:r>
        <w:rPr>
          <w:rFonts w:hint="eastAsia" w:ascii="宋体" w:hAnsi="宋体" w:cs="宋体"/>
          <w:szCs w:val="21"/>
          <w:highlight w:val="none"/>
        </w:rPr>
        <w:t>2.基金资金账户的开立和使用，限于满足开展本基金业务的需要。基金托管人和基金管理人不得假借本基金的名义开立任何其他银行账户；亦不得使用基金的任何账户进行本基金业务以外的活动。</w:t>
      </w:r>
    </w:p>
    <w:p w14:paraId="78C113AC">
      <w:pPr>
        <w:snapToGrid w:val="0"/>
        <w:spacing w:line="360" w:lineRule="auto"/>
        <w:ind w:firstLine="420"/>
        <w:rPr>
          <w:rFonts w:ascii="宋体" w:hAnsi="宋体" w:cs="宋体"/>
          <w:szCs w:val="21"/>
          <w:highlight w:val="none"/>
        </w:rPr>
      </w:pPr>
      <w:r>
        <w:rPr>
          <w:rFonts w:hint="eastAsia" w:ascii="宋体" w:hAnsi="宋体" w:cs="宋体"/>
          <w:szCs w:val="21"/>
          <w:highlight w:val="none"/>
        </w:rPr>
        <w:t>3.基金资金账户的开立和管理应符合法律法规及银行业监督管理机构的有关规定。</w:t>
      </w:r>
    </w:p>
    <w:p w14:paraId="7159A4B0">
      <w:pPr>
        <w:snapToGrid w:val="0"/>
        <w:spacing w:line="360" w:lineRule="auto"/>
        <w:ind w:firstLine="420"/>
        <w:rPr>
          <w:rFonts w:ascii="宋体" w:hAnsi="宋体" w:cs="宋体"/>
          <w:szCs w:val="21"/>
          <w:highlight w:val="none"/>
        </w:rPr>
      </w:pPr>
      <w:r>
        <w:rPr>
          <w:rFonts w:hint="eastAsia" w:ascii="宋体" w:hAnsi="宋体" w:cs="宋体"/>
          <w:szCs w:val="21"/>
          <w:highlight w:val="none"/>
        </w:rPr>
        <w:t>（四）基金证券账户和结算备付金账户的开立和管理</w:t>
      </w:r>
    </w:p>
    <w:p w14:paraId="6FE38CF8">
      <w:pPr>
        <w:snapToGrid w:val="0"/>
        <w:spacing w:line="360" w:lineRule="auto"/>
        <w:ind w:firstLine="420"/>
        <w:rPr>
          <w:rFonts w:ascii="宋体" w:hAnsi="宋体" w:cs="宋体"/>
          <w:szCs w:val="21"/>
          <w:highlight w:val="none"/>
        </w:rPr>
      </w:pPr>
      <w:r>
        <w:rPr>
          <w:rFonts w:hint="eastAsia" w:ascii="宋体" w:hAnsi="宋体" w:cs="宋体"/>
          <w:szCs w:val="21"/>
          <w:highlight w:val="none"/>
        </w:rPr>
        <w:t>1.基金托管人在中国证券登记结算有限责任公司为基金开立基金托管人与基金联名的证券账户。</w:t>
      </w:r>
    </w:p>
    <w:p w14:paraId="24DA6F70">
      <w:pPr>
        <w:snapToGrid w:val="0"/>
        <w:spacing w:line="360" w:lineRule="auto"/>
        <w:ind w:firstLine="420"/>
        <w:rPr>
          <w:rFonts w:ascii="宋体" w:hAnsi="宋体" w:cs="宋体"/>
          <w:szCs w:val="21"/>
          <w:highlight w:val="none"/>
        </w:rPr>
      </w:pPr>
      <w:r>
        <w:rPr>
          <w:rFonts w:hint="eastAsia" w:ascii="宋体" w:hAnsi="宋体" w:cs="宋体"/>
          <w:szCs w:val="21"/>
          <w:highlight w:val="none"/>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14:paraId="2209D895">
      <w:pPr>
        <w:snapToGrid w:val="0"/>
        <w:spacing w:line="360" w:lineRule="auto"/>
        <w:ind w:firstLine="420"/>
        <w:rPr>
          <w:rFonts w:ascii="宋体" w:hAnsi="宋体" w:cs="宋体"/>
          <w:szCs w:val="21"/>
          <w:highlight w:val="none"/>
        </w:rPr>
      </w:pPr>
      <w:r>
        <w:rPr>
          <w:rFonts w:hint="eastAsia" w:ascii="宋体" w:hAnsi="宋体" w:cs="宋体"/>
          <w:szCs w:val="21"/>
          <w:highlight w:val="none"/>
        </w:rPr>
        <w:t>3.基金证券账户的开立和证券账户卡的保管由基金托管人负责，账户资产的管理和运用由基金管理人负责。</w:t>
      </w:r>
    </w:p>
    <w:p w14:paraId="0B211DAB">
      <w:pPr>
        <w:snapToGrid w:val="0"/>
        <w:spacing w:line="360" w:lineRule="auto"/>
        <w:ind w:firstLine="420"/>
        <w:rPr>
          <w:rFonts w:ascii="宋体" w:hAnsi="宋体" w:cs="宋体"/>
          <w:szCs w:val="21"/>
          <w:highlight w:val="none"/>
        </w:rPr>
      </w:pPr>
      <w:r>
        <w:rPr>
          <w:rFonts w:hint="eastAsia" w:ascii="宋体" w:hAnsi="宋体" w:cs="宋体"/>
          <w:szCs w:val="21"/>
          <w:highlight w:val="none"/>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等的收取按照中国证券登记结算有限责任公司的规定执行。</w:t>
      </w:r>
    </w:p>
    <w:p w14:paraId="6644B554">
      <w:pPr>
        <w:snapToGrid w:val="0"/>
        <w:spacing w:line="360" w:lineRule="auto"/>
        <w:ind w:firstLine="420"/>
        <w:rPr>
          <w:rFonts w:ascii="宋体" w:hAnsi="宋体" w:cs="宋体"/>
          <w:szCs w:val="21"/>
          <w:highlight w:val="none"/>
        </w:rPr>
      </w:pPr>
      <w:r>
        <w:rPr>
          <w:rFonts w:hint="eastAsia" w:ascii="宋体" w:hAnsi="宋体" w:cs="宋体"/>
          <w:szCs w:val="21"/>
          <w:highlight w:val="none"/>
        </w:rPr>
        <w:t>5.若中国证监会或其他监管机构在本托管协议订立日之后允许基金从事其他投资品种的投资业务，涉及相关账户的开立、使用的，</w:t>
      </w:r>
      <w:r>
        <w:rPr>
          <w:rFonts w:hint="eastAsia" w:ascii="宋体" w:hAnsi="宋体" w:cs="宋体"/>
          <w:color w:val="000000"/>
          <w:szCs w:val="21"/>
          <w:highlight w:val="none"/>
        </w:rPr>
        <w:t>按有关规定开立、使用并管理；</w:t>
      </w:r>
      <w:r>
        <w:rPr>
          <w:rFonts w:hint="eastAsia" w:ascii="宋体" w:hAnsi="宋体" w:cs="宋体"/>
          <w:szCs w:val="21"/>
          <w:highlight w:val="none"/>
        </w:rPr>
        <w:t>若无相关规定，则基金托管人比照上述关于账户开立、使用的规定执行。</w:t>
      </w:r>
    </w:p>
    <w:p w14:paraId="7B8AF3AB">
      <w:pPr>
        <w:snapToGrid w:val="0"/>
        <w:spacing w:line="360" w:lineRule="auto"/>
        <w:ind w:firstLine="420"/>
        <w:rPr>
          <w:rFonts w:ascii="宋体" w:hAnsi="宋体" w:cs="宋体"/>
          <w:szCs w:val="21"/>
          <w:highlight w:val="none"/>
        </w:rPr>
      </w:pPr>
      <w:r>
        <w:rPr>
          <w:rFonts w:hint="eastAsia" w:ascii="宋体" w:hAnsi="宋体" w:cs="宋体"/>
          <w:szCs w:val="21"/>
          <w:highlight w:val="none"/>
        </w:rPr>
        <w:t>（五）债券托管账户的开设和管理</w:t>
      </w:r>
    </w:p>
    <w:p w14:paraId="267AE8B5">
      <w:pPr>
        <w:snapToGrid w:val="0"/>
        <w:spacing w:line="360" w:lineRule="auto"/>
        <w:ind w:firstLine="420"/>
        <w:rPr>
          <w:rFonts w:ascii="宋体" w:hAnsi="宋体" w:cs="宋体"/>
          <w:szCs w:val="21"/>
          <w:highlight w:val="none"/>
        </w:rPr>
      </w:pPr>
      <w:r>
        <w:rPr>
          <w:rFonts w:hint="eastAsia" w:ascii="宋体" w:hAnsi="宋体" w:cs="宋体"/>
          <w:szCs w:val="21"/>
          <w:highlight w:val="none"/>
        </w:rPr>
        <w:t>基金合同生效后，基金托管人根据中国人民银行、中央国债登记结算有限责任公司和银行间市场清算所股份有限公司的有关规定，以基金的名义在</w:t>
      </w:r>
      <w:r>
        <w:rPr>
          <w:rFonts w:hint="eastAsia" w:ascii="宋体" w:hAnsi="宋体" w:cs="宋体"/>
          <w:highlight w:val="none"/>
        </w:rPr>
        <w:t>银行间市场登记结算机构</w:t>
      </w:r>
      <w:r>
        <w:rPr>
          <w:rFonts w:hint="eastAsia" w:ascii="宋体" w:hAnsi="宋体" w:cs="宋体"/>
          <w:szCs w:val="21"/>
          <w:highlight w:val="none"/>
        </w:rPr>
        <w:t>开立债券托管账户，并代表基金进行银行间市场债券的结算。</w:t>
      </w:r>
    </w:p>
    <w:p w14:paraId="783A1E25">
      <w:pPr>
        <w:snapToGrid w:val="0"/>
        <w:spacing w:line="360" w:lineRule="auto"/>
        <w:ind w:firstLine="420"/>
        <w:rPr>
          <w:rFonts w:ascii="宋体" w:hAnsi="宋体" w:cs="宋体"/>
          <w:szCs w:val="21"/>
          <w:highlight w:val="none"/>
        </w:rPr>
      </w:pPr>
      <w:r>
        <w:rPr>
          <w:rFonts w:hint="eastAsia" w:ascii="宋体" w:hAnsi="宋体" w:cs="宋体"/>
          <w:szCs w:val="21"/>
          <w:highlight w:val="none"/>
        </w:rPr>
        <w:t>（六）其他账户的开立和管理</w:t>
      </w:r>
    </w:p>
    <w:p w14:paraId="39AD25A5">
      <w:pPr>
        <w:snapToGrid w:val="0"/>
        <w:spacing w:line="360" w:lineRule="auto"/>
        <w:ind w:firstLine="420"/>
        <w:rPr>
          <w:rFonts w:ascii="宋体" w:hAnsi="宋体" w:cs="宋体"/>
          <w:szCs w:val="21"/>
          <w:highlight w:val="none"/>
        </w:rPr>
      </w:pPr>
      <w:r>
        <w:rPr>
          <w:rFonts w:hint="eastAsia" w:ascii="宋体" w:hAnsi="宋体" w:cs="宋体"/>
          <w:szCs w:val="21"/>
          <w:highlight w:val="none"/>
        </w:rPr>
        <w:t>1.基金管理人根据投资需要按照规定开立期货保证金账户及期货交易编码等，基金托管人按照规定开立期货结算账户等投资所需账户。完成上述账户开立后，基金管理人应以书面形式将期货公司提供的期货保证金账户的初始资金密码和市场监控中心的登录用户名及密码告知基金托管人。资金密码和市场监控中心登录密码重置由基金管理人进行，重置后务必及时通知基金托管人。</w:t>
      </w:r>
    </w:p>
    <w:p w14:paraId="67E9A673">
      <w:pPr>
        <w:snapToGrid w:val="0"/>
        <w:spacing w:line="360" w:lineRule="auto"/>
        <w:ind w:firstLine="420"/>
        <w:rPr>
          <w:rFonts w:ascii="宋体" w:hAnsi="宋体" w:cs="宋体"/>
          <w:szCs w:val="21"/>
          <w:highlight w:val="none"/>
        </w:rPr>
      </w:pPr>
      <w:r>
        <w:rPr>
          <w:rFonts w:hint="eastAsia" w:ascii="宋体" w:hAnsi="宋体" w:cs="宋体"/>
          <w:szCs w:val="21"/>
          <w:highlight w:val="none"/>
        </w:rPr>
        <w:t>基金托管人和基金管理人应当在开户过程中相互配合，并提供所需资料。基金管理人保证所提供的账户开户材料的真实性和有效性，且在相关资料变更后及时将变更的资料提供给基金托管人。</w:t>
      </w:r>
    </w:p>
    <w:p w14:paraId="14E5A3C2">
      <w:pPr>
        <w:snapToGrid w:val="0"/>
        <w:spacing w:line="360" w:lineRule="auto"/>
        <w:ind w:firstLine="420"/>
        <w:rPr>
          <w:rFonts w:ascii="宋体" w:hAnsi="宋体" w:cs="宋体"/>
          <w:szCs w:val="21"/>
          <w:highlight w:val="none"/>
        </w:rPr>
      </w:pPr>
      <w:r>
        <w:rPr>
          <w:rFonts w:hint="eastAsia" w:ascii="宋体" w:hAnsi="宋体" w:cs="宋体"/>
          <w:szCs w:val="21"/>
          <w:highlight w:val="none"/>
        </w:rPr>
        <w:t>2.因业务发展需要而开立的其他账户，可以根据法律法规和基金合同的规定，由基金管理人协助基金托管人按照有关法律法规和本协议的约定协商后开立。新账户按有关规定使用并管理。</w:t>
      </w:r>
    </w:p>
    <w:p w14:paraId="3E9E00CE">
      <w:pPr>
        <w:snapToGrid w:val="0"/>
        <w:spacing w:line="360" w:lineRule="auto"/>
        <w:ind w:firstLine="420"/>
        <w:rPr>
          <w:rFonts w:ascii="宋体" w:hAnsi="宋体" w:cs="宋体"/>
          <w:szCs w:val="21"/>
          <w:highlight w:val="none"/>
        </w:rPr>
      </w:pPr>
      <w:r>
        <w:rPr>
          <w:rFonts w:hint="eastAsia" w:ascii="宋体" w:hAnsi="宋体" w:cs="宋体"/>
          <w:szCs w:val="21"/>
          <w:highlight w:val="none"/>
        </w:rPr>
        <w:t>3.法律法规等有关规定对相关账户的开立和管理另有规定的，从其规定办理。</w:t>
      </w:r>
    </w:p>
    <w:p w14:paraId="7FE033F8">
      <w:pPr>
        <w:snapToGrid w:val="0"/>
        <w:spacing w:line="360" w:lineRule="auto"/>
        <w:ind w:firstLine="420"/>
        <w:rPr>
          <w:rFonts w:ascii="宋体" w:hAnsi="宋体" w:cs="宋体"/>
          <w:szCs w:val="21"/>
          <w:highlight w:val="none"/>
        </w:rPr>
      </w:pPr>
      <w:r>
        <w:rPr>
          <w:rFonts w:hint="eastAsia" w:ascii="宋体" w:hAnsi="宋体" w:cs="宋体"/>
          <w:szCs w:val="21"/>
          <w:highlight w:val="none"/>
        </w:rPr>
        <w:t>（七）基金财产投资的有关有价凭证等的保管</w:t>
      </w:r>
    </w:p>
    <w:p w14:paraId="127B6E39">
      <w:pPr>
        <w:snapToGrid w:val="0"/>
        <w:spacing w:line="360" w:lineRule="auto"/>
        <w:ind w:firstLine="420"/>
        <w:rPr>
          <w:rFonts w:ascii="宋体" w:hAnsi="宋体" w:cs="宋体"/>
          <w:szCs w:val="21"/>
          <w:highlight w:val="none"/>
        </w:rPr>
      </w:pPr>
      <w:r>
        <w:rPr>
          <w:rFonts w:hint="eastAsia" w:ascii="宋体" w:hAnsi="宋体" w:cs="宋体"/>
          <w:szCs w:val="21"/>
          <w:highlight w:val="none"/>
        </w:rPr>
        <w:t>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基金托管人以外机构实际有效控制的有价凭证不承担保管责任。</w:t>
      </w:r>
    </w:p>
    <w:p w14:paraId="5142E7FA">
      <w:pPr>
        <w:snapToGrid w:val="0"/>
        <w:spacing w:line="360" w:lineRule="auto"/>
        <w:ind w:firstLine="420"/>
        <w:rPr>
          <w:rFonts w:ascii="宋体" w:hAnsi="宋体" w:cs="宋体"/>
          <w:szCs w:val="21"/>
          <w:highlight w:val="none"/>
        </w:rPr>
      </w:pPr>
      <w:r>
        <w:rPr>
          <w:rFonts w:hint="eastAsia" w:ascii="宋体" w:hAnsi="宋体" w:cs="宋体"/>
          <w:szCs w:val="21"/>
          <w:highlight w:val="none"/>
        </w:rPr>
        <w:t>（八）与基金财产有关的重大合同的保管</w:t>
      </w:r>
    </w:p>
    <w:p w14:paraId="36AB82C1">
      <w:pPr>
        <w:snapToGrid w:val="0"/>
        <w:spacing w:line="360" w:lineRule="auto"/>
        <w:ind w:firstLine="420"/>
        <w:rPr>
          <w:rFonts w:ascii="宋体" w:hAnsi="宋体" w:cs="宋体"/>
          <w:szCs w:val="21"/>
          <w:highlight w:val="none"/>
        </w:rPr>
      </w:pPr>
      <w:r>
        <w:rPr>
          <w:rFonts w:hint="eastAsia" w:ascii="宋体" w:hAnsi="宋体" w:cs="宋体"/>
          <w:szCs w:val="21"/>
          <w:highlight w:val="none"/>
        </w:rPr>
        <w:t>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为基金合同终止后不少于</w:t>
      </w:r>
      <w:r>
        <w:rPr>
          <w:rFonts w:ascii="宋体" w:hAnsi="宋体" w:cs="宋体"/>
          <w:szCs w:val="21"/>
          <w:highlight w:val="none"/>
        </w:rPr>
        <w:t>20</w:t>
      </w:r>
      <w:r>
        <w:rPr>
          <w:rFonts w:hint="eastAsia" w:ascii="宋体" w:hAnsi="宋体" w:cs="宋体"/>
          <w:szCs w:val="21"/>
          <w:highlight w:val="none"/>
        </w:rPr>
        <w:t>年。</w:t>
      </w:r>
    </w:p>
    <w:p w14:paraId="6A0219CE">
      <w:pPr>
        <w:snapToGrid w:val="0"/>
        <w:spacing w:line="360" w:lineRule="auto"/>
        <w:ind w:firstLine="420"/>
        <w:rPr>
          <w:rFonts w:ascii="宋体" w:hAnsi="宋体" w:cs="宋体"/>
          <w:szCs w:val="21"/>
          <w:highlight w:val="none"/>
        </w:rPr>
      </w:pPr>
      <w:r>
        <w:rPr>
          <w:rFonts w:hint="eastAsia" w:ascii="宋体" w:hAnsi="宋体" w:cs="宋体"/>
          <w:szCs w:val="21"/>
          <w:highlight w:val="none"/>
        </w:rPr>
        <w:t>对于无法取得二份以上的正本的，基金管理人应向基金托管人提供加盖公章的合同传真件，未经双方协商一致，合同原件不得转移。基金管理人向基金托管人提供的合同传真件与基金管理人留存原件不一致的，以传真件为准。</w:t>
      </w:r>
    </w:p>
    <w:p w14:paraId="496D35F4">
      <w:pPr>
        <w:spacing w:line="360" w:lineRule="auto"/>
        <w:ind w:firstLine="422" w:firstLineChars="200"/>
        <w:rPr>
          <w:rFonts w:ascii="宋体" w:hAnsi="宋体" w:cs="Arial"/>
          <w:b/>
          <w:szCs w:val="21"/>
          <w:highlight w:val="none"/>
        </w:rPr>
      </w:pPr>
      <w:r>
        <w:rPr>
          <w:rFonts w:ascii="宋体" w:hAnsi="宋体" w:cs="Arial"/>
          <w:b/>
          <w:szCs w:val="21"/>
          <w:highlight w:val="none"/>
        </w:rPr>
        <w:t>五、</w:t>
      </w:r>
      <w:bookmarkEnd w:id="185"/>
      <w:bookmarkEnd w:id="186"/>
      <w:bookmarkEnd w:id="187"/>
      <w:bookmarkEnd w:id="188"/>
      <w:bookmarkEnd w:id="189"/>
      <w:bookmarkEnd w:id="190"/>
      <w:bookmarkEnd w:id="191"/>
      <w:bookmarkEnd w:id="192"/>
      <w:r>
        <w:rPr>
          <w:rFonts w:hint="eastAsia" w:ascii="宋体" w:hAnsi="宋体" w:cs="Arial"/>
          <w:b/>
          <w:szCs w:val="21"/>
          <w:highlight w:val="none"/>
        </w:rPr>
        <w:t>基金资产净值计算和会计核算</w:t>
      </w:r>
    </w:p>
    <w:p w14:paraId="34780C45">
      <w:pPr>
        <w:snapToGrid w:val="0"/>
        <w:spacing w:line="360" w:lineRule="auto"/>
        <w:ind w:firstLine="420"/>
        <w:rPr>
          <w:rFonts w:ascii="宋体" w:hAnsi="宋体" w:cs="宋体"/>
          <w:szCs w:val="21"/>
          <w:highlight w:val="none"/>
        </w:rPr>
      </w:pPr>
      <w:bookmarkStart w:id="193" w:name="_Toc278986609"/>
      <w:bookmarkStart w:id="194" w:name="_Toc286319597"/>
      <w:bookmarkStart w:id="195" w:name="_Toc252355966"/>
      <w:bookmarkStart w:id="196" w:name="_Toc278986894"/>
      <w:bookmarkStart w:id="197" w:name="_Toc287014246"/>
      <w:bookmarkStart w:id="198" w:name="_Toc288639819"/>
      <w:bookmarkStart w:id="199" w:name="_Toc278986834"/>
      <w:r>
        <w:rPr>
          <w:rFonts w:hint="eastAsia" w:ascii="宋体" w:hAnsi="宋体" w:cs="宋体"/>
          <w:szCs w:val="21"/>
          <w:highlight w:val="none"/>
        </w:rPr>
        <w:t>（一）基金资产净值的计算、复核与完成的时间及程序</w:t>
      </w:r>
    </w:p>
    <w:p w14:paraId="08830CA0">
      <w:pPr>
        <w:snapToGrid w:val="0"/>
        <w:spacing w:line="360" w:lineRule="auto"/>
        <w:ind w:firstLine="420"/>
        <w:rPr>
          <w:rFonts w:ascii="宋体" w:hAnsi="宋体" w:cs="宋体"/>
          <w:szCs w:val="21"/>
          <w:highlight w:val="none"/>
        </w:rPr>
      </w:pPr>
      <w:r>
        <w:rPr>
          <w:rFonts w:hint="eastAsia" w:ascii="宋体" w:hAnsi="宋体" w:cs="宋体"/>
          <w:szCs w:val="21"/>
          <w:highlight w:val="none"/>
        </w:rPr>
        <w:t>1.基金资产净值</w:t>
      </w:r>
    </w:p>
    <w:p w14:paraId="62463F5A">
      <w:pPr>
        <w:snapToGrid w:val="0"/>
        <w:spacing w:line="360" w:lineRule="auto"/>
        <w:ind w:firstLine="420"/>
        <w:rPr>
          <w:rFonts w:ascii="宋体" w:hAnsi="宋体" w:cs="宋体"/>
          <w:szCs w:val="21"/>
          <w:highlight w:val="none"/>
        </w:rPr>
      </w:pPr>
      <w:r>
        <w:rPr>
          <w:rFonts w:hint="eastAsia" w:ascii="宋体" w:hAnsi="宋体" w:cs="宋体"/>
          <w:szCs w:val="21"/>
          <w:highlight w:val="none"/>
        </w:rPr>
        <w:t>基金资产净值是指基金资产总值减去基金负债后的价值。</w:t>
      </w:r>
    </w:p>
    <w:p w14:paraId="6DD3E5DE">
      <w:pPr>
        <w:snapToGrid w:val="0"/>
        <w:spacing w:line="360" w:lineRule="auto"/>
        <w:ind w:firstLine="420"/>
        <w:rPr>
          <w:rFonts w:ascii="宋体" w:hAnsi="宋体" w:cs="宋体"/>
          <w:szCs w:val="21"/>
          <w:highlight w:val="none"/>
        </w:rPr>
      </w:pPr>
      <w:r>
        <w:rPr>
          <w:rFonts w:hint="eastAsia" w:ascii="宋体" w:hAnsi="宋体" w:cs="宋体"/>
          <w:szCs w:val="21"/>
          <w:highlight w:val="none"/>
        </w:rPr>
        <w:t>基金份额净值是指估值日基金资产净值除以估值日基金份额余额数量，基金份额净值的计算，精确到0.0001元，小数点后第五位四舍五入，由此产生的误差计入基金财产。基金管理人可以设立大额赎回情形下的净值精度应急调整机制，国家另有规定的，从其规定。</w:t>
      </w:r>
    </w:p>
    <w:p w14:paraId="45407601">
      <w:pPr>
        <w:snapToGrid w:val="0"/>
        <w:spacing w:line="360" w:lineRule="auto"/>
        <w:ind w:firstLine="420"/>
        <w:rPr>
          <w:rFonts w:ascii="宋体" w:hAnsi="宋体" w:cs="宋体"/>
          <w:szCs w:val="21"/>
          <w:highlight w:val="none"/>
        </w:rPr>
      </w:pPr>
      <w:r>
        <w:rPr>
          <w:rFonts w:hint="eastAsia" w:ascii="宋体" w:hAnsi="宋体" w:cs="宋体"/>
          <w:szCs w:val="21"/>
          <w:highlight w:val="none"/>
        </w:rPr>
        <w:t>基金管理人每个估值日计算基金资产净值、基金份额净值，经基金托管人复核，按规定公告。</w:t>
      </w:r>
    </w:p>
    <w:p w14:paraId="0BC529CE">
      <w:pPr>
        <w:snapToGrid w:val="0"/>
        <w:spacing w:line="360" w:lineRule="auto"/>
        <w:ind w:firstLine="420"/>
        <w:rPr>
          <w:rFonts w:ascii="宋体" w:hAnsi="宋体" w:cs="宋体"/>
          <w:szCs w:val="21"/>
          <w:highlight w:val="none"/>
        </w:rPr>
      </w:pPr>
      <w:r>
        <w:rPr>
          <w:rFonts w:hint="eastAsia" w:ascii="宋体" w:hAnsi="宋体" w:cs="宋体"/>
          <w:szCs w:val="21"/>
          <w:highlight w:val="none"/>
        </w:rPr>
        <w:t>2.复核程序</w:t>
      </w:r>
    </w:p>
    <w:p w14:paraId="0A59EC46">
      <w:pPr>
        <w:snapToGrid w:val="0"/>
        <w:spacing w:line="360" w:lineRule="auto"/>
        <w:ind w:firstLine="420"/>
        <w:rPr>
          <w:rFonts w:ascii="宋体" w:hAnsi="宋体" w:cs="宋体"/>
          <w:szCs w:val="21"/>
          <w:highlight w:val="none"/>
        </w:rPr>
      </w:pPr>
      <w:r>
        <w:rPr>
          <w:rFonts w:hint="eastAsia" w:ascii="宋体" w:hAnsi="宋体" w:cs="宋体"/>
          <w:szCs w:val="21"/>
          <w:highlight w:val="none"/>
        </w:rPr>
        <w:t>基金管理人每估值日对基金资产进行估值后，将基金资产净值、基金份额净值发送基金托管人，经基金托管人复核无误后，由基金管理人按规定对外公布。</w:t>
      </w:r>
    </w:p>
    <w:p w14:paraId="30BA0868">
      <w:pPr>
        <w:snapToGrid w:val="0"/>
        <w:spacing w:line="360" w:lineRule="auto"/>
        <w:ind w:firstLine="420"/>
        <w:rPr>
          <w:rFonts w:ascii="宋体" w:hAnsi="宋体" w:cs="宋体"/>
          <w:szCs w:val="21"/>
          <w:highlight w:val="none"/>
        </w:rPr>
      </w:pPr>
      <w:r>
        <w:rPr>
          <w:rFonts w:hint="eastAsia" w:ascii="宋体" w:hAnsi="宋体" w:cs="宋体"/>
          <w:szCs w:val="21"/>
          <w:highlight w:val="none"/>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资产净值的计算结果对外予以公布。</w:t>
      </w:r>
    </w:p>
    <w:p w14:paraId="47DBC083">
      <w:pPr>
        <w:snapToGrid w:val="0"/>
        <w:spacing w:line="360" w:lineRule="auto"/>
        <w:ind w:firstLine="420"/>
        <w:rPr>
          <w:rFonts w:ascii="宋体" w:hAnsi="宋体" w:cs="宋体"/>
          <w:szCs w:val="21"/>
          <w:highlight w:val="none"/>
        </w:rPr>
      </w:pPr>
      <w:r>
        <w:rPr>
          <w:rFonts w:hint="eastAsia" w:ascii="宋体" w:hAnsi="宋体" w:cs="宋体"/>
          <w:szCs w:val="21"/>
          <w:highlight w:val="none"/>
        </w:rPr>
        <w:t>（二）基金资产的估值</w:t>
      </w:r>
    </w:p>
    <w:p w14:paraId="7B3659F0">
      <w:pPr>
        <w:snapToGrid w:val="0"/>
        <w:spacing w:line="360" w:lineRule="auto"/>
        <w:ind w:firstLine="420"/>
        <w:rPr>
          <w:rStyle w:val="77"/>
          <w:rFonts w:ascii="宋体" w:hAnsi="宋体" w:cs="宋体"/>
          <w:szCs w:val="21"/>
          <w:highlight w:val="none"/>
        </w:rPr>
      </w:pPr>
      <w:r>
        <w:rPr>
          <w:rFonts w:hint="eastAsia" w:ascii="宋体" w:hAnsi="宋体" w:cs="宋体"/>
          <w:szCs w:val="21"/>
          <w:highlight w:val="none"/>
        </w:rPr>
        <w:t>基金管理人及基金托管人应当按照《基金合同》的约定进行估值。</w:t>
      </w:r>
    </w:p>
    <w:p w14:paraId="05D9370F">
      <w:pPr>
        <w:snapToGrid w:val="0"/>
        <w:spacing w:line="360" w:lineRule="auto"/>
        <w:ind w:firstLine="420"/>
        <w:rPr>
          <w:rFonts w:ascii="宋体" w:hAnsi="宋体" w:cs="宋体"/>
          <w:szCs w:val="21"/>
          <w:highlight w:val="none"/>
        </w:rPr>
      </w:pPr>
      <w:r>
        <w:rPr>
          <w:rFonts w:hint="eastAsia" w:ascii="宋体" w:hAnsi="宋体" w:cs="宋体"/>
          <w:szCs w:val="21"/>
          <w:highlight w:val="none"/>
        </w:rPr>
        <w:t>（三）基金份额净值错误的处理方式</w:t>
      </w:r>
    </w:p>
    <w:p w14:paraId="2C6CB925">
      <w:pPr>
        <w:snapToGrid w:val="0"/>
        <w:spacing w:line="360" w:lineRule="auto"/>
        <w:ind w:firstLine="420"/>
        <w:rPr>
          <w:rFonts w:ascii="宋体" w:hAnsi="宋体" w:cs="宋体"/>
          <w:szCs w:val="21"/>
          <w:highlight w:val="none"/>
        </w:rPr>
      </w:pPr>
      <w:r>
        <w:rPr>
          <w:rFonts w:hint="eastAsia" w:ascii="宋体" w:hAnsi="宋体" w:cs="宋体"/>
          <w:szCs w:val="21"/>
          <w:highlight w:val="none"/>
        </w:rPr>
        <w:t>基金管理人及基金托管人应当按照《基金合同》的约定处理份额净值错误。</w:t>
      </w:r>
    </w:p>
    <w:p w14:paraId="79E975B7">
      <w:pPr>
        <w:snapToGrid w:val="0"/>
        <w:spacing w:line="360" w:lineRule="auto"/>
        <w:ind w:firstLine="420"/>
        <w:rPr>
          <w:rFonts w:ascii="宋体" w:hAnsi="宋体" w:cs="宋体"/>
          <w:szCs w:val="21"/>
          <w:highlight w:val="none"/>
        </w:rPr>
      </w:pPr>
      <w:r>
        <w:rPr>
          <w:rFonts w:hint="eastAsia" w:ascii="宋体" w:hAnsi="宋体" w:cs="宋体"/>
          <w:szCs w:val="21"/>
          <w:highlight w:val="none"/>
        </w:rPr>
        <w:t>（四）基金会计制度</w:t>
      </w:r>
    </w:p>
    <w:p w14:paraId="2D1F8AD5">
      <w:pPr>
        <w:snapToGrid w:val="0"/>
        <w:spacing w:line="360" w:lineRule="auto"/>
        <w:ind w:firstLine="420"/>
        <w:rPr>
          <w:rFonts w:ascii="宋体" w:hAnsi="宋体" w:cs="宋体"/>
          <w:szCs w:val="21"/>
          <w:highlight w:val="none"/>
        </w:rPr>
      </w:pPr>
      <w:r>
        <w:rPr>
          <w:rFonts w:hint="eastAsia" w:ascii="宋体" w:hAnsi="宋体" w:cs="宋体"/>
          <w:szCs w:val="21"/>
          <w:highlight w:val="none"/>
        </w:rPr>
        <w:t>按国家有关部门规定的会计制度执行。</w:t>
      </w:r>
    </w:p>
    <w:p w14:paraId="577CC78E">
      <w:pPr>
        <w:snapToGrid w:val="0"/>
        <w:spacing w:line="360" w:lineRule="auto"/>
        <w:ind w:firstLine="420"/>
        <w:rPr>
          <w:rFonts w:ascii="宋体" w:hAnsi="宋体" w:cs="宋体"/>
          <w:szCs w:val="21"/>
          <w:highlight w:val="none"/>
        </w:rPr>
      </w:pPr>
      <w:r>
        <w:rPr>
          <w:rFonts w:hint="eastAsia" w:ascii="宋体" w:hAnsi="宋体" w:cs="宋体"/>
          <w:szCs w:val="21"/>
          <w:highlight w:val="none"/>
        </w:rPr>
        <w:t>（五）基金账册的建立</w:t>
      </w:r>
    </w:p>
    <w:p w14:paraId="19D85F03">
      <w:pPr>
        <w:snapToGrid w:val="0"/>
        <w:spacing w:line="360" w:lineRule="auto"/>
        <w:ind w:firstLine="420"/>
        <w:rPr>
          <w:rFonts w:ascii="宋体" w:hAnsi="宋体" w:cs="宋体"/>
          <w:szCs w:val="21"/>
          <w:highlight w:val="none"/>
        </w:rPr>
      </w:pPr>
      <w:r>
        <w:rPr>
          <w:rFonts w:hint="eastAsia" w:ascii="宋体" w:hAnsi="宋体" w:cs="宋体"/>
          <w:szCs w:val="21"/>
          <w:highlight w:val="none"/>
        </w:rPr>
        <w:t>基金管理人和基金托管人在基金合同生效后，应按照双方约定的同一记账方法和会计处理原则，分别独立地设置、记录和保管本基金的全套账册，对相关各方各自的账册定期进行核对，互相监督，以保证基金资产的安全。</w:t>
      </w:r>
    </w:p>
    <w:p w14:paraId="4BDB5F9E">
      <w:pPr>
        <w:snapToGrid w:val="0"/>
        <w:spacing w:line="360" w:lineRule="auto"/>
        <w:ind w:firstLine="420"/>
        <w:rPr>
          <w:rFonts w:ascii="宋体" w:hAnsi="宋体" w:cs="宋体"/>
          <w:szCs w:val="21"/>
          <w:highlight w:val="none"/>
        </w:rPr>
      </w:pPr>
      <w:r>
        <w:rPr>
          <w:rFonts w:hint="eastAsia" w:ascii="宋体" w:hAnsi="宋体" w:cs="宋体"/>
          <w:szCs w:val="21"/>
          <w:highlight w:val="none"/>
        </w:rPr>
        <w:t>（六）基金财务报表与报告的编制和复核</w:t>
      </w:r>
    </w:p>
    <w:p w14:paraId="0DB10DB4">
      <w:pPr>
        <w:snapToGrid w:val="0"/>
        <w:spacing w:line="360" w:lineRule="auto"/>
        <w:ind w:firstLine="420"/>
        <w:rPr>
          <w:rFonts w:ascii="宋体" w:hAnsi="宋体" w:cs="宋体"/>
          <w:szCs w:val="21"/>
          <w:highlight w:val="none"/>
        </w:rPr>
      </w:pPr>
      <w:r>
        <w:rPr>
          <w:rFonts w:hint="eastAsia" w:ascii="宋体" w:hAnsi="宋体" w:cs="宋体"/>
          <w:szCs w:val="21"/>
          <w:highlight w:val="none"/>
        </w:rPr>
        <w:t>1.财务报表的编制</w:t>
      </w:r>
    </w:p>
    <w:p w14:paraId="38530A10">
      <w:pPr>
        <w:snapToGrid w:val="0"/>
        <w:spacing w:line="360" w:lineRule="auto"/>
        <w:ind w:firstLine="420"/>
        <w:rPr>
          <w:rFonts w:ascii="宋体" w:hAnsi="宋体" w:cs="宋体"/>
          <w:szCs w:val="21"/>
          <w:highlight w:val="none"/>
        </w:rPr>
      </w:pPr>
      <w:r>
        <w:rPr>
          <w:rFonts w:hint="eastAsia" w:ascii="宋体" w:hAnsi="宋体" w:cs="宋体"/>
          <w:szCs w:val="21"/>
          <w:highlight w:val="none"/>
        </w:rPr>
        <w:t>基金财务报表由基金管理人编制，基金托管人复核。</w:t>
      </w:r>
    </w:p>
    <w:p w14:paraId="1DC8659B">
      <w:pPr>
        <w:snapToGrid w:val="0"/>
        <w:spacing w:line="360" w:lineRule="auto"/>
        <w:ind w:firstLine="420"/>
        <w:rPr>
          <w:rFonts w:ascii="宋体" w:hAnsi="宋体" w:cs="宋体"/>
          <w:szCs w:val="21"/>
          <w:highlight w:val="none"/>
        </w:rPr>
      </w:pPr>
      <w:r>
        <w:rPr>
          <w:rFonts w:hint="eastAsia" w:ascii="宋体" w:hAnsi="宋体" w:cs="宋体"/>
          <w:szCs w:val="21"/>
          <w:highlight w:val="none"/>
        </w:rPr>
        <w:t>2.报表复核</w:t>
      </w:r>
    </w:p>
    <w:p w14:paraId="4E546B06">
      <w:pPr>
        <w:snapToGrid w:val="0"/>
        <w:spacing w:line="360" w:lineRule="auto"/>
        <w:ind w:firstLine="420"/>
        <w:rPr>
          <w:rFonts w:ascii="宋体" w:hAnsi="宋体" w:cs="宋体"/>
          <w:szCs w:val="21"/>
          <w:highlight w:val="none"/>
        </w:rPr>
      </w:pPr>
      <w:r>
        <w:rPr>
          <w:rFonts w:hint="eastAsia" w:ascii="宋体" w:hAnsi="宋体" w:cs="宋体"/>
          <w:szCs w:val="21"/>
          <w:highlight w:val="none"/>
        </w:rPr>
        <w:t>基金托管人在收到基金管理人编制的基金财务报表后，进行独立的复核。核对不符时，应及时通知基金管理人共同查出原因，进行调整，直至双方数据完全一致。</w:t>
      </w:r>
    </w:p>
    <w:p w14:paraId="5208E4BE">
      <w:pPr>
        <w:snapToGrid w:val="0"/>
        <w:spacing w:line="360" w:lineRule="auto"/>
        <w:ind w:firstLine="420"/>
        <w:rPr>
          <w:rFonts w:ascii="宋体" w:hAnsi="宋体" w:cs="宋体"/>
          <w:szCs w:val="21"/>
          <w:highlight w:val="none"/>
        </w:rPr>
      </w:pPr>
      <w:r>
        <w:rPr>
          <w:rFonts w:hint="eastAsia" w:ascii="宋体" w:hAnsi="宋体" w:cs="宋体"/>
          <w:szCs w:val="21"/>
          <w:highlight w:val="none"/>
        </w:rPr>
        <w:t>3.财务报表的编制与复核时间安排</w:t>
      </w:r>
    </w:p>
    <w:p w14:paraId="15953604">
      <w:pPr>
        <w:snapToGrid w:val="0"/>
        <w:spacing w:line="360" w:lineRule="auto"/>
        <w:ind w:firstLine="420"/>
        <w:rPr>
          <w:rFonts w:ascii="宋体" w:hAnsi="宋体" w:cs="宋体"/>
          <w:szCs w:val="21"/>
          <w:highlight w:val="none"/>
        </w:rPr>
      </w:pPr>
      <w:r>
        <w:rPr>
          <w:rFonts w:hint="eastAsia" w:ascii="宋体" w:hAnsi="宋体" w:cs="宋体"/>
          <w:szCs w:val="21"/>
          <w:highlight w:val="none"/>
        </w:rPr>
        <w:t>基金管理人、基金托管人应当在每月结束后5个工作日内完成月度报表的编制及复核；在每个季度结束之日起15个工作日内完成基金季度报告的编制及复核；在上半年结束之日起2个月内完成基金中期报告的编制及复核；在每年结束之日起三个月内完成基金年度报告的编制及复核。基金托管人在复核过程中，发现双方的报表存在不符时，基金管理人和基金托管人应共同查明原因，进行调整，调整以国家有关规定为准。基金年度报告的财务会计报告应当经过符合《中华人民共和国证券法》规定的会计师事务所审计。基金合同生效不足两个月的，基金管理人可以不编制当期季度报告、中期报告或者年度报告。</w:t>
      </w:r>
    </w:p>
    <w:p w14:paraId="3043E299">
      <w:pPr>
        <w:snapToGrid w:val="0"/>
        <w:spacing w:line="360" w:lineRule="auto"/>
        <w:ind w:firstLine="420"/>
        <w:rPr>
          <w:rFonts w:ascii="宋体" w:hAnsi="宋体" w:cs="宋体"/>
          <w:szCs w:val="21"/>
          <w:highlight w:val="none"/>
        </w:rPr>
      </w:pPr>
      <w:r>
        <w:rPr>
          <w:rFonts w:hint="eastAsia" w:ascii="宋体" w:hAnsi="宋体" w:cs="宋体"/>
          <w:szCs w:val="21"/>
          <w:highlight w:val="none"/>
        </w:rPr>
        <w:t>（七）在有需要时，基金管理人应每季度向基金托管人提供基金业绩比较基准的基础数据和编制结果。</w:t>
      </w:r>
    </w:p>
    <w:p w14:paraId="5C1B8428">
      <w:pPr>
        <w:spacing w:line="360" w:lineRule="auto"/>
        <w:ind w:firstLine="422" w:firstLineChars="200"/>
        <w:rPr>
          <w:rFonts w:ascii="宋体" w:hAnsi="宋体" w:cs="Arial"/>
          <w:b/>
          <w:szCs w:val="21"/>
          <w:highlight w:val="none"/>
        </w:rPr>
      </w:pPr>
      <w:r>
        <w:rPr>
          <w:rFonts w:ascii="宋体" w:hAnsi="宋体" w:cs="Arial"/>
          <w:b/>
          <w:szCs w:val="21"/>
          <w:highlight w:val="none"/>
        </w:rPr>
        <w:t>六、</w:t>
      </w:r>
      <w:bookmarkEnd w:id="193"/>
      <w:bookmarkEnd w:id="194"/>
      <w:bookmarkEnd w:id="195"/>
      <w:bookmarkEnd w:id="196"/>
      <w:bookmarkEnd w:id="197"/>
      <w:bookmarkEnd w:id="198"/>
      <w:bookmarkEnd w:id="199"/>
      <w:r>
        <w:rPr>
          <w:rFonts w:hint="eastAsia" w:ascii="宋体" w:hAnsi="宋体" w:cs="Arial"/>
          <w:b/>
          <w:szCs w:val="21"/>
          <w:highlight w:val="none"/>
        </w:rPr>
        <w:t>基金份额持有人名册的保管</w:t>
      </w:r>
    </w:p>
    <w:p w14:paraId="7A0DA957">
      <w:pPr>
        <w:snapToGrid w:val="0"/>
        <w:spacing w:line="360" w:lineRule="auto"/>
        <w:ind w:firstLine="420"/>
        <w:rPr>
          <w:rFonts w:ascii="宋体" w:hAnsi="宋体" w:cs="宋体"/>
          <w:szCs w:val="21"/>
          <w:highlight w:val="none"/>
        </w:rPr>
      </w:pPr>
      <w:bookmarkStart w:id="200" w:name="_Toc287014247"/>
      <w:bookmarkStart w:id="201" w:name="_Toc278986895"/>
      <w:bookmarkStart w:id="202" w:name="_Toc286319598"/>
      <w:bookmarkStart w:id="203" w:name="_Toc288639820"/>
      <w:bookmarkStart w:id="204" w:name="_Toc278986610"/>
      <w:bookmarkStart w:id="205" w:name="_Toc278986835"/>
      <w:r>
        <w:rPr>
          <w:rFonts w:ascii="宋体" w:hAnsi="宋体" w:cs="宋体"/>
          <w:szCs w:val="21"/>
          <w:highlight w:val="none"/>
        </w:rPr>
        <w:t>基金份额持有人名册至少应包括基金份额持有人的名称</w:t>
      </w:r>
      <w:r>
        <w:rPr>
          <w:rFonts w:hint="eastAsia" w:ascii="宋体" w:hAnsi="宋体" w:cs="宋体"/>
          <w:szCs w:val="21"/>
          <w:highlight w:val="none"/>
        </w:rPr>
        <w:t>、证件号码和持有的基金份额。基金份额持有人名册由基金登记结算机构根据基金管理人的指令编制和保管，基金管理人和基金托管人应分别保管基金份额持有人名册，保存期不少于</w:t>
      </w:r>
      <w:r>
        <w:rPr>
          <w:rFonts w:ascii="宋体" w:hAnsi="宋体" w:cs="宋体"/>
          <w:szCs w:val="21"/>
          <w:highlight w:val="none"/>
        </w:rPr>
        <w:t>20</w:t>
      </w:r>
      <w:r>
        <w:rPr>
          <w:rFonts w:hint="eastAsia" w:ascii="宋体" w:hAnsi="宋体" w:cs="宋体"/>
          <w:szCs w:val="21"/>
          <w:highlight w:val="none"/>
        </w:rPr>
        <w:t>年。如不能妥善保管，则按相关法律法规承担责任。</w:t>
      </w:r>
    </w:p>
    <w:p w14:paraId="71E7034F">
      <w:pPr>
        <w:snapToGrid w:val="0"/>
        <w:spacing w:line="360" w:lineRule="auto"/>
        <w:ind w:firstLine="420"/>
        <w:rPr>
          <w:rFonts w:ascii="宋体" w:hAnsi="宋体" w:cs="宋体"/>
          <w:szCs w:val="21"/>
          <w:highlight w:val="none"/>
        </w:rPr>
      </w:pPr>
      <w:r>
        <w:rPr>
          <w:rFonts w:hint="eastAsia" w:ascii="宋体" w:hAnsi="宋体" w:cs="宋体"/>
          <w:szCs w:val="21"/>
          <w:highlight w:val="none"/>
        </w:rPr>
        <w:t>在基金托管人要求或编制中期报告和年度报告前，基金管理人应将有关资料送交基金托管人，不得无故拒绝或延误提供，并保证其的真实性、准确性和完整性。基金管理人和基金托管人不得将所保管的基金份额持有人名册用于基金托管业务以外的其他用途，并应遵守保密义务。</w:t>
      </w:r>
    </w:p>
    <w:p w14:paraId="4F7D8A52">
      <w:pPr>
        <w:spacing w:line="360" w:lineRule="auto"/>
        <w:ind w:firstLine="422" w:firstLineChars="200"/>
        <w:rPr>
          <w:rFonts w:ascii="宋体" w:hAnsi="宋体" w:cs="Arial"/>
          <w:b/>
          <w:szCs w:val="21"/>
          <w:highlight w:val="none"/>
        </w:rPr>
      </w:pPr>
      <w:r>
        <w:rPr>
          <w:rFonts w:ascii="宋体" w:hAnsi="宋体" w:cs="Arial"/>
          <w:b/>
          <w:szCs w:val="21"/>
          <w:highlight w:val="none"/>
        </w:rPr>
        <w:t>七、争议解决方式</w:t>
      </w:r>
      <w:bookmarkEnd w:id="200"/>
      <w:bookmarkEnd w:id="201"/>
      <w:bookmarkEnd w:id="202"/>
      <w:bookmarkEnd w:id="203"/>
      <w:bookmarkEnd w:id="204"/>
      <w:bookmarkEnd w:id="205"/>
    </w:p>
    <w:p w14:paraId="2AA84CDE">
      <w:pPr>
        <w:spacing w:line="360" w:lineRule="auto"/>
        <w:ind w:firstLine="420" w:firstLineChars="200"/>
        <w:rPr>
          <w:rFonts w:ascii="宋体" w:hAnsi="宋体" w:cs="宋体"/>
          <w:szCs w:val="21"/>
          <w:highlight w:val="none"/>
        </w:rPr>
      </w:pPr>
      <w:bookmarkStart w:id="206" w:name="_Toc278986836"/>
      <w:bookmarkStart w:id="207" w:name="_Toc278986611"/>
      <w:bookmarkStart w:id="208" w:name="_Toc287014248"/>
      <w:bookmarkStart w:id="209" w:name="_Toc288639821"/>
      <w:bookmarkStart w:id="210" w:name="_Toc252355970"/>
      <w:bookmarkStart w:id="211" w:name="_Toc278986896"/>
      <w:bookmarkStart w:id="212" w:name="_Toc286319599"/>
      <w:r>
        <w:rPr>
          <w:rFonts w:hint="eastAsia" w:ascii="宋体" w:hAnsi="宋体" w:cs="宋体"/>
          <w:szCs w:val="21"/>
          <w:highlight w:val="none"/>
        </w:rPr>
        <w:t>双方当事人同意，因本协议而产生的或与本协议有关的一切争议，如经友好协商未能解决的，任何一方均有权将争议提交深圳国际仲裁院（深圳仲裁委员会），按照深圳国际仲裁院（深圳仲裁委员会）届时有效的仲裁规则进行仲裁。仲裁地点为深圳市。仲裁裁决是终局的，对各方当事人均有约束力。除非仲裁裁决另有决定，仲裁费用由败诉方承担。</w:t>
      </w:r>
    </w:p>
    <w:p w14:paraId="1599A7C2">
      <w:pPr>
        <w:spacing w:line="360" w:lineRule="auto"/>
        <w:ind w:firstLine="420" w:firstLineChars="200"/>
        <w:rPr>
          <w:rFonts w:ascii="宋体" w:hAnsi="宋体" w:cs="宋体"/>
          <w:szCs w:val="21"/>
          <w:highlight w:val="none"/>
        </w:rPr>
      </w:pPr>
      <w:r>
        <w:rPr>
          <w:rFonts w:hint="eastAsia" w:ascii="宋体" w:hAnsi="宋体" w:cs="宋体"/>
          <w:szCs w:val="21"/>
          <w:highlight w:val="none"/>
        </w:rPr>
        <w:t>争议处理期间，双方当事人应恪守基金管理人和基金托管人职责，各自继续忠实、勤勉、尽责地履行基金合同和本托管协议规定的义务，维护基金份额持有人的合法权益。</w:t>
      </w:r>
    </w:p>
    <w:p w14:paraId="3460355A">
      <w:pPr>
        <w:snapToGrid w:val="0"/>
        <w:spacing w:line="360" w:lineRule="auto"/>
        <w:ind w:firstLine="420"/>
        <w:rPr>
          <w:rFonts w:ascii="宋体" w:hAnsi="宋体" w:cs="宋体"/>
          <w:szCs w:val="21"/>
          <w:highlight w:val="none"/>
        </w:rPr>
      </w:pPr>
      <w:r>
        <w:rPr>
          <w:rFonts w:hint="eastAsia" w:ascii="宋体" w:hAnsi="宋体" w:cs="宋体"/>
          <w:szCs w:val="21"/>
          <w:highlight w:val="none"/>
        </w:rPr>
        <w:t>本协议受中华人民共和国法律（不包括香港、澳门特别行政区法律和台湾地区的有关规定）管辖并从其解释。</w:t>
      </w:r>
    </w:p>
    <w:p w14:paraId="7DDCD35A">
      <w:pPr>
        <w:spacing w:line="360" w:lineRule="auto"/>
        <w:ind w:firstLine="422" w:firstLineChars="200"/>
        <w:rPr>
          <w:rFonts w:ascii="宋体" w:hAnsi="宋体" w:cs="Arial"/>
          <w:b/>
          <w:szCs w:val="21"/>
          <w:highlight w:val="none"/>
        </w:rPr>
      </w:pPr>
      <w:r>
        <w:rPr>
          <w:rFonts w:ascii="宋体" w:hAnsi="宋体" w:cs="Arial"/>
          <w:b/>
          <w:szCs w:val="21"/>
          <w:highlight w:val="none"/>
        </w:rPr>
        <w:t>八、</w:t>
      </w:r>
      <w:bookmarkEnd w:id="206"/>
      <w:bookmarkEnd w:id="207"/>
      <w:bookmarkEnd w:id="208"/>
      <w:bookmarkEnd w:id="209"/>
      <w:bookmarkEnd w:id="210"/>
      <w:bookmarkEnd w:id="211"/>
      <w:bookmarkEnd w:id="212"/>
      <w:bookmarkStart w:id="213" w:name="_Toc147463123"/>
      <w:bookmarkStart w:id="214" w:name="_Toc12357176"/>
      <w:bookmarkStart w:id="215" w:name="_Toc21073396"/>
      <w:bookmarkStart w:id="216" w:name="_Toc214873621"/>
      <w:r>
        <w:rPr>
          <w:rFonts w:hint="eastAsia" w:ascii="宋体" w:hAnsi="宋体" w:cs="Arial"/>
          <w:b/>
          <w:szCs w:val="21"/>
          <w:highlight w:val="none"/>
        </w:rPr>
        <w:t>托管协议的变更、终止与基金财产的清算</w:t>
      </w:r>
    </w:p>
    <w:p w14:paraId="2452D130">
      <w:pPr>
        <w:snapToGrid w:val="0"/>
        <w:spacing w:line="360" w:lineRule="auto"/>
        <w:ind w:firstLine="420"/>
        <w:rPr>
          <w:rFonts w:ascii="宋体" w:hAnsi="宋体" w:cs="宋体"/>
          <w:szCs w:val="21"/>
          <w:highlight w:val="none"/>
        </w:rPr>
      </w:pPr>
      <w:r>
        <w:rPr>
          <w:rFonts w:hint="eastAsia" w:ascii="宋体" w:hAnsi="宋体" w:cs="宋体"/>
          <w:szCs w:val="21"/>
          <w:highlight w:val="none"/>
        </w:rPr>
        <w:t>（一）托管协议的变更程序</w:t>
      </w:r>
    </w:p>
    <w:p w14:paraId="325CDF06">
      <w:pPr>
        <w:snapToGrid w:val="0"/>
        <w:spacing w:line="360" w:lineRule="auto"/>
        <w:ind w:firstLine="420"/>
        <w:rPr>
          <w:rFonts w:ascii="宋体" w:hAnsi="宋体" w:cs="宋体"/>
          <w:szCs w:val="21"/>
          <w:highlight w:val="none"/>
        </w:rPr>
      </w:pPr>
      <w:r>
        <w:rPr>
          <w:rFonts w:hint="eastAsia" w:ascii="宋体" w:hAnsi="宋体" w:cs="宋体"/>
          <w:szCs w:val="21"/>
          <w:highlight w:val="none"/>
        </w:rPr>
        <w:t>本协议双方当事人经协商一致，可以对协议进行修改。修改后的新协议，其内容不得与基金合同的规定有任何冲突。</w:t>
      </w:r>
    </w:p>
    <w:p w14:paraId="6A0295CB">
      <w:pPr>
        <w:snapToGrid w:val="0"/>
        <w:spacing w:line="360" w:lineRule="auto"/>
        <w:ind w:firstLine="420"/>
        <w:rPr>
          <w:rFonts w:ascii="宋体" w:hAnsi="宋体" w:cs="宋体"/>
          <w:szCs w:val="21"/>
          <w:highlight w:val="none"/>
        </w:rPr>
      </w:pPr>
      <w:r>
        <w:rPr>
          <w:rFonts w:hint="eastAsia" w:ascii="宋体" w:hAnsi="宋体" w:cs="宋体"/>
          <w:szCs w:val="21"/>
          <w:highlight w:val="none"/>
        </w:rPr>
        <w:t>（二）基金托管协议终止的情形</w:t>
      </w:r>
    </w:p>
    <w:p w14:paraId="77D73D2D">
      <w:pPr>
        <w:snapToGrid w:val="0"/>
        <w:spacing w:line="360" w:lineRule="auto"/>
        <w:ind w:firstLine="420"/>
        <w:rPr>
          <w:rFonts w:ascii="宋体" w:hAnsi="宋体" w:cs="宋体"/>
          <w:szCs w:val="21"/>
          <w:highlight w:val="none"/>
        </w:rPr>
      </w:pPr>
      <w:r>
        <w:rPr>
          <w:rFonts w:hint="eastAsia" w:ascii="宋体" w:hAnsi="宋体" w:cs="宋体"/>
          <w:szCs w:val="21"/>
          <w:highlight w:val="none"/>
        </w:rPr>
        <w:t>1.《基金合同》终止；</w:t>
      </w:r>
    </w:p>
    <w:p w14:paraId="49573222">
      <w:pPr>
        <w:snapToGrid w:val="0"/>
        <w:spacing w:line="360" w:lineRule="auto"/>
        <w:ind w:firstLine="420"/>
        <w:rPr>
          <w:rFonts w:ascii="宋体" w:hAnsi="宋体" w:cs="宋体"/>
          <w:szCs w:val="21"/>
          <w:highlight w:val="none"/>
        </w:rPr>
      </w:pPr>
      <w:r>
        <w:rPr>
          <w:rFonts w:hint="eastAsia" w:ascii="宋体" w:hAnsi="宋体" w:cs="宋体"/>
          <w:szCs w:val="21"/>
          <w:highlight w:val="none"/>
        </w:rPr>
        <w:t>2.基金托管人因解散、破产、撤销等事由，不能继续担任基金托管人的职务，而在6个月内无其他适当的托管机构承接其原有权利义务；</w:t>
      </w:r>
    </w:p>
    <w:p w14:paraId="538234F9">
      <w:pPr>
        <w:snapToGrid w:val="0"/>
        <w:spacing w:line="360" w:lineRule="auto"/>
        <w:ind w:firstLine="420"/>
        <w:rPr>
          <w:rFonts w:ascii="宋体" w:hAnsi="宋体" w:cs="宋体"/>
          <w:szCs w:val="21"/>
          <w:highlight w:val="none"/>
        </w:rPr>
      </w:pPr>
      <w:r>
        <w:rPr>
          <w:rFonts w:hint="eastAsia" w:ascii="宋体" w:hAnsi="宋体" w:cs="宋体"/>
          <w:szCs w:val="21"/>
          <w:highlight w:val="none"/>
        </w:rPr>
        <w:t>3.基金管理人因解散、破产、撤销等事由，不能继续担任基金管理人的职务，而在6个月内无其他适当的基金管理公司承接其原有权利义务；</w:t>
      </w:r>
    </w:p>
    <w:p w14:paraId="6F28A6B3">
      <w:pPr>
        <w:snapToGrid w:val="0"/>
        <w:spacing w:line="360" w:lineRule="auto"/>
        <w:ind w:firstLine="420"/>
        <w:rPr>
          <w:rFonts w:ascii="宋体" w:hAnsi="宋体" w:cs="宋体"/>
          <w:szCs w:val="21"/>
          <w:highlight w:val="none"/>
        </w:rPr>
      </w:pPr>
      <w:r>
        <w:rPr>
          <w:rFonts w:hint="eastAsia" w:ascii="宋体" w:hAnsi="宋体" w:cs="宋体"/>
          <w:szCs w:val="21"/>
          <w:highlight w:val="none"/>
        </w:rPr>
        <w:t>4.发生法律法规或《基金合同》规定的其他终止事项。</w:t>
      </w:r>
    </w:p>
    <w:p w14:paraId="57A12834">
      <w:pPr>
        <w:snapToGrid w:val="0"/>
        <w:spacing w:line="360" w:lineRule="auto"/>
        <w:ind w:firstLine="420"/>
        <w:rPr>
          <w:rFonts w:ascii="宋体" w:hAnsi="宋体" w:cs="宋体"/>
          <w:szCs w:val="21"/>
          <w:highlight w:val="none"/>
        </w:rPr>
      </w:pPr>
      <w:r>
        <w:rPr>
          <w:rFonts w:hint="eastAsia" w:ascii="宋体" w:hAnsi="宋体" w:cs="宋体"/>
          <w:szCs w:val="21"/>
          <w:highlight w:val="none"/>
        </w:rPr>
        <w:t>（三）基金财产的清算</w:t>
      </w:r>
    </w:p>
    <w:p w14:paraId="6421673B">
      <w:pPr>
        <w:snapToGrid w:val="0"/>
        <w:spacing w:line="360" w:lineRule="auto"/>
        <w:ind w:firstLine="420"/>
        <w:rPr>
          <w:rFonts w:ascii="宋体" w:hAnsi="宋体" w:cs="宋体"/>
          <w:szCs w:val="21"/>
          <w:highlight w:val="none"/>
        </w:rPr>
      </w:pPr>
      <w:r>
        <w:rPr>
          <w:rFonts w:hint="eastAsia" w:ascii="宋体" w:hAnsi="宋体" w:cs="宋体"/>
          <w:szCs w:val="21"/>
          <w:highlight w:val="none"/>
        </w:rPr>
        <w:t>基金管理人与基金托管人按照《基金合同》的约定处理基金财产的清算。</w:t>
      </w:r>
    </w:p>
    <w:p w14:paraId="733359C5">
      <w:pPr>
        <w:adjustRightInd w:val="0"/>
        <w:snapToGrid w:val="0"/>
        <w:spacing w:line="360" w:lineRule="auto"/>
        <w:ind w:firstLine="422" w:firstLineChars="201"/>
        <w:rPr>
          <w:rFonts w:ascii="宋体" w:hAnsi="宋体" w:cs="Arial"/>
          <w:szCs w:val="21"/>
          <w:highlight w:val="none"/>
        </w:rPr>
      </w:pPr>
    </w:p>
    <w:p w14:paraId="650D86B5">
      <w:pPr>
        <w:adjustRightInd w:val="0"/>
        <w:snapToGrid w:val="0"/>
        <w:spacing w:line="360" w:lineRule="auto"/>
        <w:ind w:firstLine="422" w:firstLineChars="201"/>
        <w:rPr>
          <w:rFonts w:ascii="宋体" w:hAnsi="宋体" w:cs="Arial"/>
          <w:szCs w:val="21"/>
          <w:highlight w:val="none"/>
        </w:rPr>
        <w:sectPr>
          <w:footerReference r:id="rId50" w:type="first"/>
          <w:footerReference r:id="rId49" w:type="default"/>
          <w:pgSz w:w="11906" w:h="16838"/>
          <w:pgMar w:top="1440" w:right="1800" w:bottom="1440" w:left="1800" w:header="851" w:footer="992" w:gutter="0"/>
          <w:pgNumType w:start="1"/>
          <w:cols w:space="720" w:num="1"/>
          <w:docGrid w:linePitch="312" w:charSpace="0"/>
        </w:sectPr>
      </w:pPr>
    </w:p>
    <w:p w14:paraId="3FAD75BD">
      <w:pPr>
        <w:pStyle w:val="2"/>
        <w:snapToGrid w:val="0"/>
        <w:spacing w:before="0" w:after="0" w:line="360" w:lineRule="auto"/>
        <w:ind w:firstLine="422" w:firstLineChars="150"/>
        <w:rPr>
          <w:rFonts w:hAnsi="宋体" w:eastAsia="宋体" w:cs="Arial"/>
          <w:b/>
          <w:bCs/>
          <w:sz w:val="28"/>
          <w:szCs w:val="28"/>
          <w:highlight w:val="none"/>
        </w:rPr>
      </w:pPr>
      <w:bookmarkStart w:id="217" w:name="_Toc32672"/>
      <w:r>
        <w:rPr>
          <w:rFonts w:hAnsi="宋体" w:eastAsia="宋体" w:cs="Arial"/>
          <w:b/>
          <w:bCs/>
          <w:sz w:val="28"/>
          <w:szCs w:val="28"/>
          <w:highlight w:val="none"/>
        </w:rPr>
        <w:t>第二十</w:t>
      </w:r>
      <w:r>
        <w:rPr>
          <w:rFonts w:hint="eastAsia" w:hAnsi="宋体" w:eastAsia="宋体" w:cs="Arial"/>
          <w:b/>
          <w:bCs/>
          <w:sz w:val="28"/>
          <w:szCs w:val="28"/>
          <w:highlight w:val="none"/>
        </w:rPr>
        <w:t>二</w:t>
      </w:r>
      <w:r>
        <w:rPr>
          <w:rFonts w:hAnsi="宋体" w:eastAsia="宋体" w:cs="Arial"/>
          <w:b/>
          <w:bCs/>
          <w:sz w:val="28"/>
          <w:szCs w:val="28"/>
          <w:highlight w:val="none"/>
        </w:rPr>
        <w:t xml:space="preserve">部分  </w:t>
      </w:r>
      <w:bookmarkEnd w:id="213"/>
      <w:bookmarkEnd w:id="214"/>
      <w:bookmarkEnd w:id="215"/>
      <w:r>
        <w:rPr>
          <w:rFonts w:hAnsi="宋体" w:eastAsia="宋体" w:cs="Arial"/>
          <w:b/>
          <w:bCs/>
          <w:sz w:val="28"/>
          <w:szCs w:val="28"/>
          <w:highlight w:val="none"/>
        </w:rPr>
        <w:t>对基金份额持有人的服务</w:t>
      </w:r>
      <w:bookmarkEnd w:id="216"/>
      <w:bookmarkEnd w:id="217"/>
    </w:p>
    <w:p w14:paraId="1BF43CDC">
      <w:pPr>
        <w:adjustRightInd w:val="0"/>
        <w:snapToGrid w:val="0"/>
        <w:spacing w:line="360" w:lineRule="auto"/>
        <w:ind w:firstLine="420" w:firstLineChars="200"/>
        <w:rPr>
          <w:rFonts w:ascii="宋体" w:hAnsi="宋体" w:cs="Arial"/>
          <w:highlight w:val="none"/>
        </w:rPr>
      </w:pPr>
    </w:p>
    <w:p w14:paraId="68BE5E97">
      <w:pPr>
        <w:adjustRightInd w:val="0"/>
        <w:snapToGrid w:val="0"/>
        <w:spacing w:line="360" w:lineRule="auto"/>
        <w:ind w:firstLine="420" w:firstLineChars="200"/>
        <w:rPr>
          <w:rFonts w:ascii="宋体" w:hAnsi="宋体"/>
          <w:kern w:val="0"/>
          <w:highlight w:val="none"/>
        </w:rPr>
      </w:pPr>
      <w:r>
        <w:rPr>
          <w:rFonts w:ascii="宋体" w:hAnsi="宋体"/>
          <w:kern w:val="0"/>
          <w:highlight w:val="none"/>
        </w:rPr>
        <w:t>对本基金份额持有人的服务主要由基金管理人、发售代理机构、申购赎回代理券商提供。基金管理人承诺为基金份额持有人提供一系列的服务，以下是主要的服务内容。基金管理人根据基金份额持有人的需要和市场的变化，有权增加和修改服务项目。</w:t>
      </w:r>
    </w:p>
    <w:p w14:paraId="585C76E0">
      <w:pPr>
        <w:adjustRightInd w:val="0"/>
        <w:snapToGrid w:val="0"/>
        <w:spacing w:line="360" w:lineRule="auto"/>
        <w:ind w:firstLine="420" w:firstLineChars="200"/>
        <w:rPr>
          <w:rFonts w:ascii="宋体" w:hAnsi="宋体"/>
          <w:kern w:val="0"/>
          <w:highlight w:val="none"/>
        </w:rPr>
      </w:pPr>
      <w:r>
        <w:rPr>
          <w:rFonts w:ascii="宋体" w:hAnsi="宋体"/>
          <w:kern w:val="0"/>
          <w:highlight w:val="none"/>
        </w:rPr>
        <w:t>基金管理人提供的服务内容如下：</w:t>
      </w:r>
    </w:p>
    <w:p w14:paraId="14438EF7">
      <w:pPr>
        <w:adjustRightInd w:val="0"/>
        <w:snapToGrid w:val="0"/>
        <w:spacing w:line="360" w:lineRule="auto"/>
        <w:ind w:firstLine="422" w:firstLineChars="200"/>
        <w:rPr>
          <w:rFonts w:ascii="宋体" w:hAnsi="宋体"/>
          <w:b/>
          <w:kern w:val="0"/>
          <w:highlight w:val="none"/>
        </w:rPr>
      </w:pPr>
      <w:r>
        <w:rPr>
          <w:rFonts w:ascii="宋体" w:hAnsi="宋体"/>
          <w:b/>
          <w:kern w:val="0"/>
          <w:highlight w:val="none"/>
        </w:rPr>
        <w:t>一、客户服务电话</w:t>
      </w:r>
    </w:p>
    <w:p w14:paraId="29A9322F">
      <w:pPr>
        <w:adjustRightInd w:val="0"/>
        <w:snapToGrid w:val="0"/>
        <w:spacing w:line="360" w:lineRule="auto"/>
        <w:ind w:firstLine="420" w:firstLineChars="200"/>
        <w:rPr>
          <w:rFonts w:ascii="宋体" w:hAnsi="宋体"/>
          <w:kern w:val="0"/>
          <w:highlight w:val="none"/>
        </w:rPr>
      </w:pPr>
      <w:r>
        <w:rPr>
          <w:rFonts w:ascii="宋体" w:hAnsi="宋体"/>
          <w:kern w:val="0"/>
          <w:highlight w:val="none"/>
        </w:rPr>
        <w:t>客户服务中心自动语音系统提供每周七天、每天24小时的自动语音服务和查询服务，客户可以通过电话查询基金份额净值。同时，客服中心提供工作日每天9:00-21:00、节假日（十一和春节除外）9:00-17:00 的电话人工服务。</w:t>
      </w:r>
    </w:p>
    <w:p w14:paraId="1BE75F8D">
      <w:pPr>
        <w:adjustRightInd w:val="0"/>
        <w:snapToGrid w:val="0"/>
        <w:spacing w:line="360" w:lineRule="auto"/>
        <w:ind w:firstLine="420" w:firstLineChars="200"/>
        <w:rPr>
          <w:rFonts w:ascii="宋体" w:hAnsi="宋体"/>
          <w:kern w:val="0"/>
          <w:highlight w:val="none"/>
        </w:rPr>
      </w:pPr>
      <w:r>
        <w:rPr>
          <w:rFonts w:hint="eastAsia" w:ascii="宋体" w:hAnsi="宋体"/>
          <w:kern w:val="0"/>
          <w:highlight w:val="none"/>
        </w:rPr>
        <w:t>博时一线通</w:t>
      </w:r>
      <w:r>
        <w:rPr>
          <w:rFonts w:ascii="宋体" w:hAnsi="宋体"/>
          <w:kern w:val="0"/>
          <w:highlight w:val="none"/>
        </w:rPr>
        <w:t>：95105568（免长途话费）</w:t>
      </w:r>
    </w:p>
    <w:p w14:paraId="77961011">
      <w:pPr>
        <w:adjustRightInd w:val="0"/>
        <w:snapToGrid w:val="0"/>
        <w:spacing w:line="360" w:lineRule="auto"/>
        <w:ind w:firstLine="422" w:firstLineChars="200"/>
        <w:rPr>
          <w:rFonts w:ascii="宋体" w:hAnsi="宋体"/>
          <w:b/>
          <w:kern w:val="0"/>
          <w:highlight w:val="none"/>
        </w:rPr>
      </w:pPr>
      <w:r>
        <w:rPr>
          <w:rFonts w:ascii="宋体" w:hAnsi="宋体"/>
          <w:b/>
          <w:kern w:val="0"/>
          <w:highlight w:val="none"/>
        </w:rPr>
        <w:t>二、网上客户服务中心</w:t>
      </w:r>
    </w:p>
    <w:p w14:paraId="333113FD">
      <w:pPr>
        <w:adjustRightInd w:val="0"/>
        <w:snapToGrid w:val="0"/>
        <w:spacing w:line="360" w:lineRule="auto"/>
        <w:ind w:firstLine="420" w:firstLineChars="200"/>
        <w:rPr>
          <w:rFonts w:ascii="宋体" w:hAnsi="宋体"/>
          <w:kern w:val="0"/>
          <w:highlight w:val="none"/>
        </w:rPr>
      </w:pPr>
      <w:r>
        <w:rPr>
          <w:rFonts w:ascii="宋体" w:hAnsi="宋体"/>
          <w:kern w:val="0"/>
          <w:highlight w:val="none"/>
        </w:rPr>
        <w:t>网上客户服务为投资人提供查询服务、资讯服务以及在线</w:t>
      </w:r>
      <w:r>
        <w:rPr>
          <w:rFonts w:hint="eastAsia" w:ascii="宋体" w:hAnsi="宋体"/>
          <w:kern w:val="0"/>
          <w:highlight w:val="none"/>
        </w:rPr>
        <w:t>咨询</w:t>
      </w:r>
      <w:r>
        <w:rPr>
          <w:rFonts w:ascii="宋体" w:hAnsi="宋体"/>
          <w:kern w:val="0"/>
          <w:highlight w:val="none"/>
        </w:rPr>
        <w:t>的平台。登陆网站后，投资人可以查询基金相关信息，享受资讯服务；投资人还可以</w:t>
      </w:r>
      <w:r>
        <w:rPr>
          <w:rFonts w:hint="eastAsia" w:ascii="宋体" w:hAnsi="宋体"/>
          <w:kern w:val="0"/>
          <w:highlight w:val="none"/>
        </w:rPr>
        <w:t>使用</w:t>
      </w:r>
      <w:r>
        <w:rPr>
          <w:rFonts w:ascii="宋体" w:hAnsi="宋体"/>
          <w:kern w:val="0"/>
          <w:highlight w:val="none"/>
        </w:rPr>
        <w:t>“在线客服”</w:t>
      </w:r>
      <w:r>
        <w:rPr>
          <w:rFonts w:hint="eastAsia" w:ascii="宋体" w:hAnsi="宋体"/>
          <w:kern w:val="0"/>
          <w:highlight w:val="none"/>
        </w:rPr>
        <w:t>功能</w:t>
      </w:r>
      <w:r>
        <w:rPr>
          <w:rFonts w:ascii="宋体" w:hAnsi="宋体"/>
          <w:kern w:val="0"/>
          <w:highlight w:val="none"/>
        </w:rPr>
        <w:t>进行在线咨询</w:t>
      </w:r>
      <w:r>
        <w:rPr>
          <w:rFonts w:hint="eastAsia" w:ascii="宋体" w:hAnsi="宋体"/>
          <w:kern w:val="0"/>
          <w:highlight w:val="none"/>
        </w:rPr>
        <w:t>以及</w:t>
      </w:r>
      <w:r>
        <w:rPr>
          <w:rFonts w:ascii="宋体" w:hAnsi="宋体"/>
          <w:kern w:val="0"/>
          <w:highlight w:val="none"/>
        </w:rPr>
        <w:t>查询热点问题及其解答，并提交投诉与建议。</w:t>
      </w:r>
    </w:p>
    <w:p w14:paraId="7D030BED">
      <w:pPr>
        <w:adjustRightInd w:val="0"/>
        <w:snapToGrid w:val="0"/>
        <w:spacing w:line="360" w:lineRule="auto"/>
        <w:ind w:firstLine="420" w:firstLineChars="200"/>
        <w:rPr>
          <w:rFonts w:ascii="宋体" w:hAnsi="宋体"/>
          <w:kern w:val="0"/>
          <w:highlight w:val="none"/>
        </w:rPr>
      </w:pPr>
      <w:r>
        <w:rPr>
          <w:rFonts w:hint="eastAsia" w:ascii="宋体" w:hAnsi="宋体"/>
          <w:kern w:val="0"/>
          <w:highlight w:val="none"/>
        </w:rPr>
        <w:t>基金管理人</w:t>
      </w:r>
      <w:r>
        <w:rPr>
          <w:rFonts w:ascii="宋体" w:hAnsi="宋体"/>
          <w:kern w:val="0"/>
          <w:highlight w:val="none"/>
        </w:rPr>
        <w:t xml:space="preserve">网址： </w:t>
      </w:r>
      <w:r>
        <w:rPr>
          <w:highlight w:val="none"/>
        </w:rPr>
        <w:fldChar w:fldCharType="begin"/>
      </w:r>
      <w:r>
        <w:rPr>
          <w:highlight w:val="none"/>
        </w:rPr>
        <w:instrText xml:space="preserve"> HYPERLINK "http://www.bosera.com" </w:instrText>
      </w:r>
      <w:r>
        <w:rPr>
          <w:highlight w:val="none"/>
        </w:rPr>
        <w:fldChar w:fldCharType="separate"/>
      </w:r>
      <w:r>
        <w:rPr>
          <w:rFonts w:ascii="宋体" w:hAnsi="宋体"/>
          <w:kern w:val="0"/>
          <w:highlight w:val="none"/>
        </w:rPr>
        <w:t>www.bosera.com</w:t>
      </w:r>
      <w:r>
        <w:rPr>
          <w:rFonts w:ascii="宋体" w:hAnsi="宋体"/>
          <w:kern w:val="0"/>
          <w:highlight w:val="none"/>
        </w:rPr>
        <w:fldChar w:fldCharType="end"/>
      </w:r>
    </w:p>
    <w:p w14:paraId="35B61464">
      <w:pPr>
        <w:adjustRightInd w:val="0"/>
        <w:snapToGrid w:val="0"/>
        <w:spacing w:line="360" w:lineRule="auto"/>
        <w:ind w:firstLine="420" w:firstLineChars="200"/>
        <w:rPr>
          <w:rFonts w:ascii="宋体" w:hAnsi="宋体"/>
          <w:kern w:val="0"/>
          <w:highlight w:val="none"/>
        </w:rPr>
      </w:pPr>
      <w:r>
        <w:rPr>
          <w:rFonts w:ascii="宋体" w:hAnsi="宋体"/>
          <w:kern w:val="0"/>
          <w:highlight w:val="none"/>
        </w:rPr>
        <w:t>电子邮箱：</w:t>
      </w:r>
      <w:r>
        <w:rPr>
          <w:highlight w:val="none"/>
        </w:rPr>
        <w:fldChar w:fldCharType="begin"/>
      </w:r>
      <w:r>
        <w:rPr>
          <w:highlight w:val="none"/>
        </w:rPr>
        <w:instrText xml:space="preserve"> HYPERLINK "mailto:service@bosera.com" </w:instrText>
      </w:r>
      <w:r>
        <w:rPr>
          <w:highlight w:val="none"/>
        </w:rPr>
        <w:fldChar w:fldCharType="separate"/>
      </w:r>
      <w:r>
        <w:rPr>
          <w:rFonts w:ascii="宋体" w:hAnsi="宋体"/>
          <w:kern w:val="0"/>
          <w:highlight w:val="none"/>
        </w:rPr>
        <w:t>service@bosera.com</w:t>
      </w:r>
      <w:r>
        <w:rPr>
          <w:rFonts w:ascii="宋体" w:hAnsi="宋体"/>
          <w:kern w:val="0"/>
          <w:highlight w:val="none"/>
        </w:rPr>
        <w:fldChar w:fldCharType="end"/>
      </w:r>
    </w:p>
    <w:p w14:paraId="689F0137">
      <w:pPr>
        <w:adjustRightInd w:val="0"/>
        <w:snapToGrid w:val="0"/>
        <w:spacing w:line="360" w:lineRule="auto"/>
        <w:ind w:firstLine="422" w:firstLineChars="200"/>
        <w:rPr>
          <w:rFonts w:ascii="宋体" w:hAnsi="宋体"/>
          <w:b/>
          <w:kern w:val="0"/>
          <w:highlight w:val="none"/>
        </w:rPr>
      </w:pPr>
      <w:r>
        <w:rPr>
          <w:rFonts w:ascii="宋体" w:hAnsi="宋体"/>
          <w:b/>
          <w:kern w:val="0"/>
          <w:highlight w:val="none"/>
        </w:rPr>
        <w:t>三、客户投诉处理</w:t>
      </w:r>
    </w:p>
    <w:p w14:paraId="1350833C">
      <w:pPr>
        <w:adjustRightInd w:val="0"/>
        <w:snapToGrid w:val="0"/>
        <w:spacing w:line="360" w:lineRule="auto"/>
        <w:ind w:firstLine="420" w:firstLineChars="200"/>
        <w:rPr>
          <w:rFonts w:ascii="宋体" w:hAnsi="宋体"/>
          <w:kern w:val="0"/>
          <w:highlight w:val="none"/>
        </w:rPr>
      </w:pPr>
      <w:r>
        <w:rPr>
          <w:rFonts w:ascii="宋体" w:hAnsi="宋体"/>
          <w:kern w:val="0"/>
          <w:highlight w:val="none"/>
        </w:rPr>
        <w:t>投资者可以通过博时基金网站、客服中心IVR自动语音留言、客服中心电话人工坐席、书信、电子邮件、传真等渠道对基金管理人提供的服务进行投诉。投资者还可以通过发售代理机构、申购赎回代理券商的服务电话对该代理机构提供的服务进行投诉</w:t>
      </w:r>
      <w:r>
        <w:rPr>
          <w:rFonts w:hint="eastAsia" w:ascii="宋体" w:hAnsi="宋体"/>
          <w:kern w:val="0"/>
          <w:highlight w:val="none"/>
        </w:rPr>
        <w:t>。</w:t>
      </w:r>
    </w:p>
    <w:p w14:paraId="2C85ABB8">
      <w:pPr>
        <w:adjustRightInd w:val="0"/>
        <w:snapToGrid w:val="0"/>
        <w:spacing w:line="360" w:lineRule="auto"/>
        <w:ind w:firstLine="422" w:firstLineChars="200"/>
        <w:rPr>
          <w:rFonts w:ascii="宋体" w:hAnsi="宋体" w:cs="Arial"/>
          <w:szCs w:val="21"/>
          <w:highlight w:val="none"/>
        </w:rPr>
        <w:sectPr>
          <w:footerReference r:id="rId52" w:type="first"/>
          <w:footerReference r:id="rId51" w:type="default"/>
          <w:pgSz w:w="11906" w:h="16838"/>
          <w:pgMar w:top="1440" w:right="1800" w:bottom="1440" w:left="1800" w:header="851" w:footer="992" w:gutter="0"/>
          <w:pgNumType w:start="1"/>
          <w:cols w:space="720" w:num="1"/>
          <w:docGrid w:linePitch="312" w:charSpace="0"/>
        </w:sectPr>
      </w:pPr>
      <w:r>
        <w:rPr>
          <w:rFonts w:hint="eastAsia" w:ascii="宋体" w:hAnsi="宋体"/>
          <w:b/>
          <w:kern w:val="0"/>
          <w:highlight w:val="none"/>
        </w:rPr>
        <w:t>如本招募说明书存在任何您/贵机构无法理解的内容，请通过上述方式联系基金管理人。请确保投资前，您/贵机构已经全面理解了本招募说明书。</w:t>
      </w:r>
    </w:p>
    <w:p w14:paraId="24B195C8">
      <w:pPr>
        <w:snapToGrid w:val="0"/>
        <w:spacing w:line="360" w:lineRule="auto"/>
        <w:ind w:firstLine="420" w:firstLineChars="200"/>
        <w:rPr>
          <w:rFonts w:ascii="宋体" w:hAnsi="宋体" w:cs="Arial"/>
          <w:szCs w:val="21"/>
        </w:rPr>
      </w:pPr>
    </w:p>
    <w:p w14:paraId="77FE5D93">
      <w:pPr>
        <w:pStyle w:val="2"/>
        <w:snapToGrid w:val="0"/>
        <w:spacing w:before="0" w:after="0" w:line="360" w:lineRule="auto"/>
        <w:ind w:firstLine="422" w:firstLineChars="150"/>
        <w:rPr>
          <w:rFonts w:hAnsi="宋体" w:eastAsia="宋体" w:cs="Arial"/>
          <w:b/>
          <w:bCs/>
          <w:sz w:val="28"/>
          <w:szCs w:val="28"/>
        </w:rPr>
      </w:pPr>
      <w:bookmarkStart w:id="218" w:name="_Toc530223198"/>
      <w:bookmarkStart w:id="219" w:name="_Toc214873622"/>
      <w:bookmarkStart w:id="220" w:name="_Toc6418"/>
      <w:bookmarkStart w:id="221" w:name="_Toc484165614"/>
      <w:r>
        <w:rPr>
          <w:rFonts w:hAnsi="宋体" w:eastAsia="宋体" w:cs="Arial"/>
          <w:b/>
          <w:bCs/>
          <w:sz w:val="28"/>
          <w:szCs w:val="28"/>
        </w:rPr>
        <w:t>第二十</w:t>
      </w:r>
      <w:r>
        <w:rPr>
          <w:rFonts w:hint="eastAsia" w:hAnsi="宋体" w:eastAsia="宋体" w:cs="Arial"/>
          <w:b/>
          <w:bCs/>
          <w:sz w:val="28"/>
          <w:szCs w:val="28"/>
        </w:rPr>
        <w:t>三</w:t>
      </w:r>
      <w:r>
        <w:rPr>
          <w:rFonts w:hAnsi="宋体" w:eastAsia="宋体" w:cs="Arial"/>
          <w:b/>
          <w:bCs/>
          <w:sz w:val="28"/>
          <w:szCs w:val="28"/>
        </w:rPr>
        <w:t>部分  招募说明书存放及查阅方式</w:t>
      </w:r>
      <w:bookmarkEnd w:id="218"/>
      <w:bookmarkEnd w:id="219"/>
      <w:bookmarkEnd w:id="220"/>
    </w:p>
    <w:p w14:paraId="3AFB90DE">
      <w:pPr>
        <w:adjustRightInd w:val="0"/>
        <w:snapToGrid w:val="0"/>
        <w:spacing w:line="360" w:lineRule="auto"/>
        <w:ind w:firstLine="420" w:firstLineChars="200"/>
        <w:rPr>
          <w:rFonts w:ascii="宋体" w:hAnsi="宋体"/>
          <w:kern w:val="0"/>
        </w:rPr>
      </w:pPr>
      <w:r>
        <w:rPr>
          <w:rFonts w:hint="eastAsia" w:ascii="宋体" w:hAnsi="宋体"/>
          <w:kern w:val="0"/>
        </w:rPr>
        <w:t>依法必须披露的信息发布后，基金管理人、基金托管人应当按照相关法律法规规定将信息置备于公司住所、基金上市交易的证券交易所，以供社会公众查阅、复制。</w:t>
      </w:r>
      <w:r>
        <w:rPr>
          <w:rFonts w:ascii="宋体" w:hAnsi="宋体"/>
          <w:kern w:val="0"/>
        </w:rPr>
        <w:t>投资人可在办公时间查阅；投资人在支付工本费后，可在合理时间内取得上述文件复制件或复印件。对投资人按此种方式所获得的文件及其复印件，基金管理人保证文本的内容与所公告的内容完全一致。</w:t>
      </w:r>
    </w:p>
    <w:p w14:paraId="5FE29A5F">
      <w:pPr>
        <w:ind w:firstLine="480"/>
        <w:rPr>
          <w:rFonts w:ascii="宋体" w:hAnsi="宋体"/>
        </w:rPr>
      </w:pPr>
      <w:r>
        <w:rPr>
          <w:rFonts w:ascii="宋体" w:hAnsi="宋体"/>
          <w:kern w:val="0"/>
        </w:rPr>
        <w:t>投资人还可以直接登录基金管理人的网站（www.bosera.com）查阅和下载招募说明书。</w:t>
      </w:r>
    </w:p>
    <w:p w14:paraId="051D691F">
      <w:pPr>
        <w:ind w:firstLine="480"/>
        <w:rPr>
          <w:rFonts w:ascii="宋体" w:hAnsi="宋体"/>
        </w:rPr>
      </w:pPr>
    </w:p>
    <w:p w14:paraId="2AA1EB73">
      <w:pPr>
        <w:ind w:firstLine="360"/>
        <w:rPr>
          <w:rFonts w:ascii="宋体" w:hAnsi="宋体"/>
        </w:rPr>
      </w:pPr>
    </w:p>
    <w:p w14:paraId="7D46F04D">
      <w:pPr>
        <w:rPr>
          <w:rFonts w:ascii="宋体" w:hAnsi="宋体"/>
        </w:rPr>
        <w:sectPr>
          <w:footerReference r:id="rId54" w:type="first"/>
          <w:footerReference r:id="rId53" w:type="default"/>
          <w:pgSz w:w="11906" w:h="16838"/>
          <w:pgMar w:top="1440" w:right="1800" w:bottom="1440" w:left="1800" w:header="851" w:footer="992" w:gutter="0"/>
          <w:pgNumType w:start="1"/>
          <w:cols w:space="720" w:num="1"/>
          <w:docGrid w:linePitch="312" w:charSpace="0"/>
        </w:sectPr>
      </w:pPr>
    </w:p>
    <w:bookmarkEnd w:id="221"/>
    <w:p w14:paraId="0E53CCA9">
      <w:pPr>
        <w:pStyle w:val="2"/>
        <w:snapToGrid w:val="0"/>
        <w:spacing w:before="0" w:after="0" w:line="360" w:lineRule="auto"/>
        <w:ind w:firstLine="422" w:firstLineChars="150"/>
        <w:rPr>
          <w:rFonts w:hAnsi="宋体" w:eastAsia="宋体" w:cs="Arial"/>
          <w:b/>
          <w:bCs/>
          <w:sz w:val="28"/>
          <w:szCs w:val="28"/>
        </w:rPr>
      </w:pPr>
      <w:bookmarkStart w:id="222" w:name="_Toc317088167"/>
      <w:bookmarkStart w:id="223" w:name="_Toc530223199"/>
      <w:bookmarkStart w:id="224" w:name="_Toc27433"/>
      <w:bookmarkStart w:id="225" w:name="_Toc386115319"/>
      <w:bookmarkStart w:id="226" w:name="_Toc465240490"/>
      <w:bookmarkStart w:id="227" w:name="_Toc335232710"/>
      <w:bookmarkStart w:id="228" w:name="_Toc317088556"/>
      <w:bookmarkStart w:id="229" w:name="_Toc517169204"/>
      <w:bookmarkStart w:id="230" w:name="_Toc214873623"/>
      <w:bookmarkStart w:id="231" w:name="_Toc320887661"/>
      <w:r>
        <w:rPr>
          <w:rFonts w:hint="eastAsia" w:hAnsi="宋体" w:eastAsia="宋体" w:cs="Arial"/>
          <w:b/>
          <w:bCs/>
          <w:sz w:val="28"/>
          <w:szCs w:val="28"/>
        </w:rPr>
        <w:t xml:space="preserve">第二十四部分  </w:t>
      </w:r>
      <w:r>
        <w:rPr>
          <w:rFonts w:hAnsi="宋体" w:eastAsia="宋体" w:cs="Arial"/>
          <w:b/>
          <w:bCs/>
          <w:sz w:val="28"/>
          <w:szCs w:val="28"/>
        </w:rPr>
        <w:t>备查文件</w:t>
      </w:r>
      <w:bookmarkEnd w:id="222"/>
      <w:bookmarkEnd w:id="223"/>
      <w:bookmarkEnd w:id="224"/>
      <w:bookmarkEnd w:id="225"/>
      <w:bookmarkEnd w:id="226"/>
      <w:bookmarkEnd w:id="227"/>
      <w:bookmarkEnd w:id="228"/>
      <w:bookmarkEnd w:id="229"/>
      <w:bookmarkEnd w:id="230"/>
      <w:bookmarkEnd w:id="231"/>
    </w:p>
    <w:p w14:paraId="280F6172">
      <w:pPr>
        <w:rPr>
          <w:lang w:val="zh-CN"/>
        </w:rPr>
      </w:pPr>
    </w:p>
    <w:p w14:paraId="512F254F">
      <w:pPr>
        <w:autoSpaceDE w:val="0"/>
        <w:autoSpaceDN w:val="0"/>
        <w:adjustRightInd w:val="0"/>
        <w:snapToGrid w:val="0"/>
        <w:spacing w:line="360" w:lineRule="auto"/>
        <w:ind w:firstLine="420" w:firstLineChars="200"/>
        <w:rPr>
          <w:kern w:val="0"/>
          <w:szCs w:val="21"/>
        </w:rPr>
      </w:pPr>
      <w:r>
        <w:rPr>
          <w:kern w:val="0"/>
          <w:szCs w:val="21"/>
        </w:rPr>
        <w:t>以下备查文件存放在基金管理人的办公场所，在办公时间可供免费查阅。</w:t>
      </w:r>
    </w:p>
    <w:p w14:paraId="76058A87">
      <w:pPr>
        <w:autoSpaceDE w:val="0"/>
        <w:autoSpaceDN w:val="0"/>
        <w:adjustRightInd w:val="0"/>
        <w:snapToGrid w:val="0"/>
        <w:spacing w:line="360" w:lineRule="auto"/>
        <w:ind w:firstLine="420" w:firstLineChars="200"/>
        <w:rPr>
          <w:kern w:val="0"/>
          <w:szCs w:val="21"/>
        </w:rPr>
      </w:pPr>
      <w:r>
        <w:rPr>
          <w:kern w:val="0"/>
          <w:szCs w:val="21"/>
        </w:rPr>
        <w:t>（一）中国证监会准予</w:t>
      </w:r>
      <w:r>
        <w:rPr>
          <w:rFonts w:hint="eastAsia"/>
          <w:kern w:val="0"/>
          <w:szCs w:val="21"/>
        </w:rPr>
        <w:t>博时恒生港股通</w:t>
      </w:r>
      <w:r>
        <w:rPr>
          <w:rFonts w:hint="eastAsia"/>
          <w:kern w:val="0"/>
          <w:szCs w:val="21"/>
          <w:lang w:val="en-US" w:eastAsia="zh-CN"/>
        </w:rPr>
        <w:t>高股息</w:t>
      </w:r>
      <w:r>
        <w:rPr>
          <w:rFonts w:hint="eastAsia"/>
          <w:kern w:val="0"/>
          <w:szCs w:val="21"/>
        </w:rPr>
        <w:t>低波动交易型开放式指数证券投资基金</w:t>
      </w:r>
      <w:r>
        <w:rPr>
          <w:kern w:val="0"/>
          <w:szCs w:val="21"/>
        </w:rPr>
        <w:t>注册的文件</w:t>
      </w:r>
    </w:p>
    <w:p w14:paraId="2DE20A05">
      <w:pPr>
        <w:autoSpaceDE w:val="0"/>
        <w:autoSpaceDN w:val="0"/>
        <w:adjustRightInd w:val="0"/>
        <w:snapToGrid w:val="0"/>
        <w:spacing w:line="360" w:lineRule="auto"/>
        <w:ind w:firstLine="420" w:firstLineChars="200"/>
        <w:rPr>
          <w:kern w:val="0"/>
          <w:szCs w:val="21"/>
        </w:rPr>
      </w:pPr>
      <w:r>
        <w:rPr>
          <w:kern w:val="0"/>
          <w:szCs w:val="21"/>
        </w:rPr>
        <w:t>（二）《</w:t>
      </w:r>
      <w:r>
        <w:rPr>
          <w:rFonts w:hint="eastAsia"/>
          <w:kern w:val="0"/>
          <w:szCs w:val="21"/>
        </w:rPr>
        <w:t>博时恒生港股通</w:t>
      </w:r>
      <w:r>
        <w:rPr>
          <w:rFonts w:hint="eastAsia"/>
          <w:kern w:val="0"/>
          <w:szCs w:val="21"/>
          <w:lang w:eastAsia="zh-CN"/>
        </w:rPr>
        <w:t>红利</w:t>
      </w:r>
      <w:r>
        <w:rPr>
          <w:rFonts w:hint="eastAsia"/>
          <w:kern w:val="0"/>
          <w:szCs w:val="21"/>
        </w:rPr>
        <w:t>低波动交易型开放式指数证券投资基金</w:t>
      </w:r>
      <w:r>
        <w:rPr>
          <w:kern w:val="0"/>
          <w:szCs w:val="21"/>
        </w:rPr>
        <w:t>基金合同》</w:t>
      </w:r>
    </w:p>
    <w:p w14:paraId="4315005E">
      <w:pPr>
        <w:autoSpaceDE w:val="0"/>
        <w:autoSpaceDN w:val="0"/>
        <w:adjustRightInd w:val="0"/>
        <w:snapToGrid w:val="0"/>
        <w:spacing w:line="360" w:lineRule="auto"/>
        <w:ind w:firstLine="420" w:firstLineChars="200"/>
        <w:rPr>
          <w:kern w:val="0"/>
          <w:szCs w:val="21"/>
        </w:rPr>
      </w:pPr>
      <w:r>
        <w:rPr>
          <w:kern w:val="0"/>
          <w:szCs w:val="21"/>
        </w:rPr>
        <w:t>（三）《</w:t>
      </w:r>
      <w:r>
        <w:rPr>
          <w:rFonts w:hint="eastAsia"/>
          <w:kern w:val="0"/>
          <w:szCs w:val="21"/>
        </w:rPr>
        <w:t>博时恒生港股通</w:t>
      </w:r>
      <w:r>
        <w:rPr>
          <w:rFonts w:hint="eastAsia"/>
          <w:kern w:val="0"/>
          <w:szCs w:val="21"/>
          <w:lang w:eastAsia="zh-CN"/>
        </w:rPr>
        <w:t>红利</w:t>
      </w:r>
      <w:r>
        <w:rPr>
          <w:rFonts w:hint="eastAsia"/>
          <w:kern w:val="0"/>
          <w:szCs w:val="21"/>
        </w:rPr>
        <w:t>低波动交易型开放式指数证券投资基金</w:t>
      </w:r>
      <w:r>
        <w:rPr>
          <w:kern w:val="0"/>
          <w:szCs w:val="21"/>
        </w:rPr>
        <w:t>托管协议》</w:t>
      </w:r>
    </w:p>
    <w:p w14:paraId="6BCD9539">
      <w:pPr>
        <w:autoSpaceDE w:val="0"/>
        <w:autoSpaceDN w:val="0"/>
        <w:adjustRightInd w:val="0"/>
        <w:snapToGrid w:val="0"/>
        <w:spacing w:line="360" w:lineRule="auto"/>
        <w:ind w:firstLine="420" w:firstLineChars="200"/>
        <w:rPr>
          <w:kern w:val="0"/>
          <w:szCs w:val="21"/>
        </w:rPr>
      </w:pPr>
      <w:r>
        <w:rPr>
          <w:kern w:val="0"/>
          <w:szCs w:val="21"/>
        </w:rPr>
        <w:t>（四）基金管理人业务资格批件、营业执照</w:t>
      </w:r>
    </w:p>
    <w:p w14:paraId="32A78866">
      <w:pPr>
        <w:autoSpaceDE w:val="0"/>
        <w:autoSpaceDN w:val="0"/>
        <w:adjustRightInd w:val="0"/>
        <w:snapToGrid w:val="0"/>
        <w:spacing w:line="360" w:lineRule="auto"/>
        <w:ind w:firstLine="420" w:firstLineChars="200"/>
        <w:rPr>
          <w:kern w:val="0"/>
          <w:szCs w:val="21"/>
        </w:rPr>
      </w:pPr>
      <w:r>
        <w:rPr>
          <w:kern w:val="0"/>
          <w:szCs w:val="21"/>
        </w:rPr>
        <w:t>（五）基金托管人业务资格批件、营业执照</w:t>
      </w:r>
    </w:p>
    <w:p w14:paraId="6B838139">
      <w:pPr>
        <w:autoSpaceDE w:val="0"/>
        <w:autoSpaceDN w:val="0"/>
        <w:adjustRightInd w:val="0"/>
        <w:snapToGrid w:val="0"/>
        <w:spacing w:line="360" w:lineRule="auto"/>
        <w:ind w:firstLine="420" w:firstLineChars="200"/>
        <w:rPr>
          <w:kern w:val="0"/>
          <w:szCs w:val="21"/>
        </w:rPr>
      </w:pPr>
      <w:r>
        <w:rPr>
          <w:kern w:val="0"/>
          <w:szCs w:val="21"/>
        </w:rPr>
        <w:t>（六）法律意见书</w:t>
      </w:r>
    </w:p>
    <w:p w14:paraId="41ADBB69">
      <w:pPr>
        <w:autoSpaceDE w:val="0"/>
        <w:autoSpaceDN w:val="0"/>
        <w:adjustRightInd w:val="0"/>
        <w:snapToGrid w:val="0"/>
        <w:spacing w:line="360" w:lineRule="auto"/>
        <w:ind w:firstLine="420" w:firstLineChars="200"/>
        <w:rPr>
          <w:kern w:val="0"/>
          <w:szCs w:val="21"/>
        </w:rPr>
      </w:pPr>
      <w:r>
        <w:rPr>
          <w:kern w:val="0"/>
          <w:szCs w:val="21"/>
        </w:rPr>
        <w:t>（七）中国证监会要求的其他文件</w:t>
      </w:r>
    </w:p>
    <w:p w14:paraId="089F9131">
      <w:pPr>
        <w:autoSpaceDE w:val="0"/>
        <w:autoSpaceDN w:val="0"/>
        <w:adjustRightInd w:val="0"/>
        <w:snapToGrid w:val="0"/>
        <w:spacing w:line="360" w:lineRule="auto"/>
        <w:ind w:firstLine="420" w:firstLineChars="200"/>
        <w:rPr>
          <w:kern w:val="0"/>
          <w:szCs w:val="21"/>
        </w:rPr>
      </w:pPr>
      <w:r>
        <w:rPr>
          <w:kern w:val="0"/>
          <w:szCs w:val="21"/>
        </w:rPr>
        <w:t>查阅方式：投资者可在营业时间免费查阅，也可按工本费购买复印件。</w:t>
      </w:r>
    </w:p>
    <w:p w14:paraId="74D8457A">
      <w:pPr>
        <w:autoSpaceDE w:val="0"/>
        <w:autoSpaceDN w:val="0"/>
        <w:adjustRightInd w:val="0"/>
        <w:snapToGrid w:val="0"/>
        <w:spacing w:line="360" w:lineRule="auto"/>
        <w:ind w:firstLine="420" w:firstLineChars="200"/>
        <w:rPr>
          <w:szCs w:val="20"/>
        </w:rPr>
      </w:pPr>
    </w:p>
    <w:p w14:paraId="3E42F4A2">
      <w:pPr>
        <w:autoSpaceDE w:val="0"/>
        <w:autoSpaceDN w:val="0"/>
        <w:adjustRightInd w:val="0"/>
        <w:snapToGrid w:val="0"/>
        <w:spacing w:line="360" w:lineRule="auto"/>
        <w:rPr>
          <w:szCs w:val="20"/>
        </w:rPr>
      </w:pPr>
    </w:p>
    <w:p w14:paraId="60D7D5BA">
      <w:pPr>
        <w:autoSpaceDE w:val="0"/>
        <w:autoSpaceDN w:val="0"/>
        <w:adjustRightInd w:val="0"/>
        <w:snapToGrid w:val="0"/>
        <w:spacing w:line="360" w:lineRule="auto"/>
        <w:ind w:firstLine="420" w:firstLineChars="200"/>
        <w:jc w:val="right"/>
        <w:rPr>
          <w:kern w:val="0"/>
          <w:szCs w:val="21"/>
        </w:rPr>
      </w:pPr>
    </w:p>
    <w:p w14:paraId="11840DC6">
      <w:pPr>
        <w:autoSpaceDE w:val="0"/>
        <w:autoSpaceDN w:val="0"/>
        <w:adjustRightInd w:val="0"/>
        <w:snapToGrid w:val="0"/>
        <w:spacing w:line="360" w:lineRule="auto"/>
        <w:ind w:firstLine="420" w:firstLineChars="200"/>
        <w:jc w:val="right"/>
        <w:rPr>
          <w:kern w:val="0"/>
          <w:szCs w:val="21"/>
        </w:rPr>
      </w:pPr>
    </w:p>
    <w:p w14:paraId="3DFC50FA">
      <w:pPr>
        <w:autoSpaceDE w:val="0"/>
        <w:autoSpaceDN w:val="0"/>
        <w:adjustRightInd w:val="0"/>
        <w:snapToGrid w:val="0"/>
        <w:spacing w:line="360" w:lineRule="auto"/>
        <w:ind w:firstLine="420" w:firstLineChars="200"/>
        <w:jc w:val="right"/>
        <w:rPr>
          <w:kern w:val="0"/>
          <w:szCs w:val="21"/>
        </w:rPr>
      </w:pPr>
      <w:r>
        <w:rPr>
          <w:kern w:val="0"/>
          <w:szCs w:val="21"/>
        </w:rPr>
        <w:t>博时基金管理有限公司</w:t>
      </w:r>
    </w:p>
    <w:p w14:paraId="53590CE4">
      <w:pPr>
        <w:wordWrap w:val="0"/>
        <w:autoSpaceDE w:val="0"/>
        <w:autoSpaceDN w:val="0"/>
        <w:adjustRightInd w:val="0"/>
        <w:snapToGrid w:val="0"/>
        <w:spacing w:line="360" w:lineRule="auto"/>
        <w:ind w:firstLine="420" w:firstLineChars="200"/>
        <w:jc w:val="right"/>
      </w:pPr>
      <w:r>
        <w:rPr>
          <w:kern w:val="0"/>
          <w:szCs w:val="21"/>
        </w:rPr>
        <w:t>20</w:t>
      </w:r>
      <w:r>
        <w:rPr>
          <w:rFonts w:hint="eastAsia"/>
          <w:kern w:val="0"/>
          <w:szCs w:val="21"/>
          <w:lang w:val="en-US" w:eastAsia="zh-CN"/>
        </w:rPr>
        <w:t>26</w:t>
      </w:r>
      <w:r>
        <w:rPr>
          <w:kern w:val="0"/>
          <w:szCs w:val="21"/>
        </w:rPr>
        <w:t>年</w:t>
      </w:r>
      <w:r>
        <w:rPr>
          <w:rFonts w:hint="eastAsia"/>
          <w:kern w:val="0"/>
          <w:szCs w:val="21"/>
          <w:lang w:val="en-US" w:eastAsia="zh-CN"/>
        </w:rPr>
        <w:t>10</w:t>
      </w:r>
      <w:r>
        <w:rPr>
          <w:kern w:val="0"/>
          <w:szCs w:val="21"/>
        </w:rPr>
        <w:t>月</w:t>
      </w:r>
      <w:r>
        <w:rPr>
          <w:rFonts w:hint="eastAsia"/>
          <w:kern w:val="0"/>
          <w:szCs w:val="21"/>
          <w:lang w:val="en-US" w:eastAsia="zh-CN"/>
        </w:rPr>
        <w:t>9日</w:t>
      </w:r>
    </w:p>
    <w:p w14:paraId="2C354028">
      <w:pPr>
        <w:bidi w:val="0"/>
      </w:pPr>
    </w:p>
    <w:p w14:paraId="2BD8F09A">
      <w:pPr>
        <w:bidi w:val="0"/>
      </w:pPr>
    </w:p>
    <w:p w14:paraId="7F1440A9">
      <w:pPr>
        <w:bidi w:val="0"/>
      </w:pPr>
    </w:p>
    <w:p w14:paraId="375A68A5">
      <w:pPr>
        <w:bidi w:val="0"/>
      </w:pPr>
    </w:p>
    <w:p w14:paraId="2A3BEDB7">
      <w:pPr>
        <w:tabs>
          <w:tab w:val="left" w:pos="3708"/>
        </w:tabs>
        <w:bidi w:val="0"/>
        <w:jc w:val="left"/>
        <w:rPr>
          <w:rFonts w:hint="eastAsia" w:eastAsia="宋体"/>
          <w:lang w:eastAsia="zh-CN"/>
        </w:rPr>
      </w:pPr>
      <w:r>
        <w:rPr>
          <w:rFonts w:hint="eastAsia"/>
          <w:lang w:eastAsia="zh-CN"/>
        </w:rPr>
        <w:tab/>
      </w:r>
    </w:p>
    <w:sectPr>
      <w:headerReference r:id="rId55" w:type="default"/>
      <w:footerReference r:id="rId56"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Malgun Gothic Semilight"/>
    <w:panose1 w:val="020B0604020202020204"/>
    <w:charset w:val="86"/>
    <w:family w:val="swiss"/>
    <w:pitch w:val="default"/>
    <w:sig w:usb0="00000000" w:usb1="00000000" w:usb2="0000003F" w:usb3="00000000" w:csb0="001F00FF" w:csb1="00000000"/>
  </w:font>
  <w:font w:name="楷体_GB2312">
    <w:altName w:val="楷体"/>
    <w:panose1 w:val="00000000000000000000"/>
    <w:charset w:val="86"/>
    <w:family w:val="modern"/>
    <w:pitch w:val="default"/>
    <w:sig w:usb0="00000000" w:usb1="00000000" w:usb2="00000010" w:usb3="00000000" w:csb0="00040000" w:csb1="00000000"/>
  </w:font>
  <w:font w:name="@楷体_GB2312">
    <w:altName w:val="宋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LucidaSans">
    <w:altName w:val="Times New Roman"/>
    <w:panose1 w:val="00000000000000000000"/>
    <w:charset w:val="00"/>
    <w:family w:val="auto"/>
    <w:pitch w:val="default"/>
    <w:sig w:usb0="00000000" w:usb1="00000000" w:usb2="00000000" w:usb3="00000000" w:csb0="00000001" w:csb1="00000000"/>
  </w:font>
  <w:font w:name="MicrosoftJhengHeiRegular">
    <w:altName w:val="Segoe Print"/>
    <w:panose1 w:val="00000000000000000000"/>
    <w:charset w:val="00"/>
    <w:family w:val="auto"/>
    <w:pitch w:val="default"/>
    <w:sig w:usb0="00000000" w:usb1="00000000" w:usb2="00000000" w:usb3="00000000" w:csb0="00000000" w:csb1="00000000"/>
  </w:font>
  <w:font w:name="Malgun Gothic Semilight">
    <w:panose1 w:val="020B0502040204020203"/>
    <w:charset w:val="86"/>
    <w:family w:val="auto"/>
    <w:pitch w:val="default"/>
    <w:sig w:usb0="900002AF" w:usb1="01D77CFB" w:usb2="00000012" w:usb3="00000000" w:csb0="203E01BD" w:csb1="D7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53D2D0">
    <w:pPr>
      <w:pStyle w:val="26"/>
      <w:jc w:val="center"/>
      <w:rPr>
        <w:rFonts w:ascii="Arial" w:hAnsi="Arial" w:cs="Arial"/>
        <w:sz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ED8DA">
    <w:pPr>
      <w:pStyle w:val="26"/>
      <w:jc w:val="center"/>
      <w:rPr>
        <w:rFonts w:ascii="Arial" w:hAnsi="Arial" w:cs="Arial"/>
        <w:sz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ED50E7">
    <w:pPr>
      <w:pStyle w:val="26"/>
      <w:jc w:val="center"/>
      <w:rPr>
        <w:rFonts w:ascii="Arial" w:hAnsi="Arial" w:cs="Arial"/>
        <w:sz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F98C9">
    <w:pPr>
      <w:pStyle w:val="26"/>
      <w:jc w:val="center"/>
      <w:rPr>
        <w:rFonts w:ascii="Arial" w:hAnsi="Arial" w:cs="Arial"/>
        <w:szCs w:val="21"/>
      </w:rPr>
    </w:pP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2</w:t>
    </w:r>
    <w:r>
      <w:rPr>
        <w:rFonts w:ascii="Arial" w:hAnsi="Arial" w:cs="Arial"/>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29FEA">
    <w:pPr>
      <w:pStyle w:val="26"/>
      <w:jc w:val="center"/>
      <w:rPr>
        <w:rFonts w:ascii="Arial" w:hAnsi="Arial" w:cs="Arial"/>
        <w:sz w:val="21"/>
        <w:szCs w:val="21"/>
      </w:rPr>
    </w:pPr>
    <w:r>
      <w:rPr>
        <w:rFonts w:ascii="Arial" w:hAnsi="Arial" w:cs="Arial"/>
        <w:sz w:val="21"/>
        <w:szCs w:val="21"/>
      </w:rPr>
      <w:t>5-</w:t>
    </w:r>
    <w:r>
      <w:rPr>
        <w:rStyle w:val="51"/>
        <w:rFonts w:ascii="Arial" w:hAnsi="Arial" w:cs="Arial"/>
        <w:sz w:val="21"/>
        <w:szCs w:val="21"/>
      </w:rPr>
      <w:fldChar w:fldCharType="begin"/>
    </w:r>
    <w:r>
      <w:rPr>
        <w:rStyle w:val="51"/>
        <w:rFonts w:ascii="Arial" w:hAnsi="Arial" w:cs="Arial"/>
        <w:sz w:val="21"/>
        <w:szCs w:val="21"/>
      </w:rPr>
      <w:instrText xml:space="preserve"> PAGE </w:instrText>
    </w:r>
    <w:r>
      <w:rPr>
        <w:rStyle w:val="51"/>
        <w:rFonts w:ascii="Arial" w:hAnsi="Arial" w:cs="Arial"/>
        <w:sz w:val="21"/>
        <w:szCs w:val="21"/>
      </w:rPr>
      <w:fldChar w:fldCharType="separate"/>
    </w:r>
    <w:r>
      <w:rPr>
        <w:rStyle w:val="51"/>
        <w:rFonts w:ascii="Arial" w:hAnsi="Arial" w:cs="Arial"/>
        <w:sz w:val="21"/>
        <w:szCs w:val="21"/>
      </w:rPr>
      <w:t>3</w:t>
    </w:r>
    <w:r>
      <w:rPr>
        <w:rStyle w:val="51"/>
        <w:rFonts w:ascii="Arial" w:hAnsi="Arial" w:cs="Arial"/>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CA6B5">
    <w:pPr>
      <w:pStyle w:val="26"/>
      <w:jc w:val="center"/>
      <w:rPr>
        <w:rFonts w:ascii="Arial" w:hAnsi="Arial" w:cs="Arial"/>
        <w:szCs w:val="21"/>
      </w:rPr>
    </w:pPr>
    <w:r>
      <w:rPr>
        <w:rStyle w:val="51"/>
        <w:rFonts w:hint="eastAsia" w:ascii="Arial" w:hAnsi="Arial" w:cs="Arial"/>
        <w:szCs w:val="21"/>
      </w:rPr>
      <w:t>1-</w:t>
    </w:r>
    <w:r>
      <w:rPr>
        <w:rStyle w:val="51"/>
        <w:rFonts w:ascii="Arial" w:hAnsi="Arial" w:cs="Arial"/>
        <w:szCs w:val="21"/>
      </w:rPr>
      <w:fldChar w:fldCharType="begin"/>
    </w:r>
    <w:r>
      <w:rPr>
        <w:rStyle w:val="51"/>
        <w:rFonts w:ascii="Arial" w:hAnsi="Arial" w:cs="Arial"/>
        <w:szCs w:val="21"/>
      </w:rPr>
      <w:instrText xml:space="preserve"> PAGE </w:instrText>
    </w:r>
    <w:r>
      <w:rPr>
        <w:rStyle w:val="51"/>
        <w:rFonts w:ascii="Arial" w:hAnsi="Arial" w:cs="Arial"/>
        <w:szCs w:val="21"/>
      </w:rPr>
      <w:fldChar w:fldCharType="separate"/>
    </w:r>
    <w:r>
      <w:rPr>
        <w:rStyle w:val="51"/>
        <w:rFonts w:ascii="Arial" w:hAnsi="Arial" w:cs="Arial"/>
        <w:szCs w:val="21"/>
      </w:rPr>
      <w:t>1</w:t>
    </w:r>
    <w:r>
      <w:rPr>
        <w:rStyle w:val="51"/>
        <w:rFonts w:ascii="Arial" w:hAnsi="Arial" w:cs="Arial"/>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38809A">
    <w:pPr>
      <w:pStyle w:val="26"/>
      <w:jc w:val="center"/>
      <w:rPr>
        <w:rFonts w:ascii="Arial" w:hAnsi="Arial" w:cs="Arial"/>
        <w:szCs w:val="21"/>
      </w:rPr>
    </w:pPr>
    <w:r>
      <w:rPr>
        <w:rFonts w:hint="eastAsia" w:ascii="Arial" w:hAnsi="Arial" w:cs="Arial"/>
        <w:szCs w:val="21"/>
      </w:rPr>
      <w:t>2-</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5</w:t>
    </w:r>
    <w:r>
      <w:rPr>
        <w:rFonts w:ascii="Arial" w:hAnsi="Arial" w:cs="Arial"/>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70B4B2">
    <w:pPr>
      <w:pStyle w:val="26"/>
      <w:jc w:val="center"/>
      <w:rPr>
        <w:rFonts w:ascii="Arial" w:hAnsi="Arial" w:cs="Arial"/>
        <w:szCs w:val="21"/>
      </w:rPr>
    </w:pPr>
    <w:r>
      <w:rPr>
        <w:rStyle w:val="51"/>
        <w:rFonts w:hint="eastAsia" w:ascii="Arial" w:hAnsi="Arial" w:cs="Arial"/>
        <w:szCs w:val="21"/>
      </w:rPr>
      <w:t>2-</w:t>
    </w:r>
    <w:r>
      <w:rPr>
        <w:rStyle w:val="51"/>
        <w:rFonts w:ascii="Arial" w:hAnsi="Arial" w:cs="Arial"/>
        <w:szCs w:val="21"/>
      </w:rPr>
      <w:fldChar w:fldCharType="begin"/>
    </w:r>
    <w:r>
      <w:rPr>
        <w:rStyle w:val="51"/>
        <w:rFonts w:ascii="Arial" w:hAnsi="Arial" w:cs="Arial"/>
        <w:szCs w:val="21"/>
      </w:rPr>
      <w:instrText xml:space="preserve"> PAGE </w:instrText>
    </w:r>
    <w:r>
      <w:rPr>
        <w:rStyle w:val="51"/>
        <w:rFonts w:ascii="Arial" w:hAnsi="Arial" w:cs="Arial"/>
        <w:szCs w:val="21"/>
      </w:rPr>
      <w:fldChar w:fldCharType="separate"/>
    </w:r>
    <w:r>
      <w:rPr>
        <w:rStyle w:val="51"/>
        <w:rFonts w:ascii="Arial" w:hAnsi="Arial" w:cs="Arial"/>
        <w:szCs w:val="21"/>
      </w:rPr>
      <w:t>1</w:t>
    </w:r>
    <w:r>
      <w:rPr>
        <w:rStyle w:val="51"/>
        <w:rFonts w:ascii="Arial" w:hAnsi="Arial" w:cs="Arial"/>
        <w:szCs w:val="21"/>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A02884">
    <w:pPr>
      <w:pStyle w:val="26"/>
      <w:jc w:val="center"/>
      <w:rPr>
        <w:rFonts w:ascii="Arial" w:hAnsi="Arial" w:cs="Arial"/>
        <w:szCs w:val="21"/>
      </w:rPr>
    </w:pPr>
    <w:r>
      <w:rPr>
        <w:rFonts w:hint="eastAsia" w:ascii="Arial" w:hAnsi="Arial" w:cs="Arial"/>
        <w:szCs w:val="21"/>
      </w:rPr>
      <w:t>3-</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13</w:t>
    </w:r>
    <w:r>
      <w:rPr>
        <w:rFonts w:ascii="Arial" w:hAnsi="Arial" w:cs="Arial"/>
        <w:szCs w:val="21"/>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6748C">
    <w:pPr>
      <w:pStyle w:val="26"/>
      <w:jc w:val="center"/>
      <w:rPr>
        <w:rFonts w:ascii="Arial" w:hAnsi="Arial" w:cs="Arial"/>
        <w:szCs w:val="21"/>
      </w:rPr>
    </w:pPr>
    <w:r>
      <w:rPr>
        <w:rStyle w:val="51"/>
        <w:rFonts w:hint="eastAsia" w:ascii="Arial" w:hAnsi="Arial" w:cs="Arial"/>
        <w:szCs w:val="21"/>
      </w:rPr>
      <w:t>3-</w:t>
    </w:r>
    <w:r>
      <w:rPr>
        <w:rStyle w:val="51"/>
        <w:rFonts w:ascii="Arial" w:hAnsi="Arial" w:cs="Arial"/>
        <w:szCs w:val="21"/>
      </w:rPr>
      <w:fldChar w:fldCharType="begin"/>
    </w:r>
    <w:r>
      <w:rPr>
        <w:rStyle w:val="51"/>
        <w:rFonts w:ascii="Arial" w:hAnsi="Arial" w:cs="Arial"/>
        <w:szCs w:val="21"/>
      </w:rPr>
      <w:instrText xml:space="preserve"> PAGE </w:instrText>
    </w:r>
    <w:r>
      <w:rPr>
        <w:rStyle w:val="51"/>
        <w:rFonts w:ascii="Arial" w:hAnsi="Arial" w:cs="Arial"/>
        <w:szCs w:val="21"/>
      </w:rPr>
      <w:fldChar w:fldCharType="separate"/>
    </w:r>
    <w:r>
      <w:rPr>
        <w:rStyle w:val="51"/>
        <w:rFonts w:ascii="Arial" w:hAnsi="Arial" w:cs="Arial"/>
        <w:szCs w:val="21"/>
      </w:rPr>
      <w:t>1</w:t>
    </w:r>
    <w:r>
      <w:rPr>
        <w:rStyle w:val="51"/>
        <w:rFonts w:ascii="Arial" w:hAnsi="Arial" w:cs="Arial"/>
        <w:szCs w:val="21"/>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CC48C">
    <w:pPr>
      <w:pStyle w:val="26"/>
      <w:jc w:val="center"/>
      <w:rPr>
        <w:rFonts w:ascii="Arial" w:hAnsi="Arial" w:cs="Arial"/>
        <w:szCs w:val="21"/>
      </w:rPr>
    </w:pPr>
    <w:r>
      <w:rPr>
        <w:rFonts w:hint="eastAsia" w:ascii="Arial" w:hAnsi="Arial" w:cs="Arial"/>
        <w:szCs w:val="21"/>
      </w:rPr>
      <w:t>4-</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6</w:t>
    </w:r>
    <w:r>
      <w:rPr>
        <w:rFonts w:ascii="Arial" w:hAnsi="Arial" w:cs="Arial"/>
        <w:szCs w:val="21"/>
      </w:rP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B7EA48">
    <w:pPr>
      <w:pStyle w:val="26"/>
      <w:jc w:val="center"/>
      <w:rPr>
        <w:rFonts w:ascii="Arial" w:hAnsi="Arial" w:cs="Arial"/>
        <w:szCs w:val="21"/>
      </w:rPr>
    </w:pPr>
    <w:r>
      <w:rPr>
        <w:rStyle w:val="51"/>
        <w:rFonts w:hint="eastAsia" w:ascii="Arial" w:hAnsi="Arial" w:cs="Arial"/>
        <w:szCs w:val="21"/>
      </w:rPr>
      <w:t>4-</w:t>
    </w:r>
    <w:r>
      <w:rPr>
        <w:rStyle w:val="51"/>
        <w:rFonts w:ascii="Arial" w:hAnsi="Arial" w:cs="Arial"/>
        <w:szCs w:val="21"/>
      </w:rPr>
      <w:fldChar w:fldCharType="begin"/>
    </w:r>
    <w:r>
      <w:rPr>
        <w:rStyle w:val="51"/>
        <w:rFonts w:ascii="Arial" w:hAnsi="Arial" w:cs="Arial"/>
        <w:szCs w:val="21"/>
      </w:rPr>
      <w:instrText xml:space="preserve"> PAGE </w:instrText>
    </w:r>
    <w:r>
      <w:rPr>
        <w:rStyle w:val="51"/>
        <w:rFonts w:ascii="Arial" w:hAnsi="Arial" w:cs="Arial"/>
        <w:szCs w:val="21"/>
      </w:rPr>
      <w:fldChar w:fldCharType="separate"/>
    </w:r>
    <w:r>
      <w:rPr>
        <w:rStyle w:val="51"/>
        <w:rFonts w:ascii="Arial" w:hAnsi="Arial" w:cs="Arial"/>
        <w:szCs w:val="21"/>
      </w:rPr>
      <w:t>1</w:t>
    </w:r>
    <w:r>
      <w:rPr>
        <w:rStyle w:val="51"/>
        <w:rFonts w:ascii="Arial" w:hAnsi="Arial" w:cs="Arial"/>
        <w:szCs w:val="21"/>
      </w:rPr>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62C960">
    <w:pPr>
      <w:pStyle w:val="26"/>
      <w:jc w:val="center"/>
      <w:rPr>
        <w:rFonts w:ascii="Arial" w:hAnsi="Arial" w:cs="Arial"/>
        <w:szCs w:val="21"/>
      </w:rPr>
    </w:pPr>
    <w:r>
      <w:rPr>
        <w:rFonts w:hint="eastAsia" w:ascii="Arial" w:hAnsi="Arial" w:cs="Arial"/>
        <w:szCs w:val="21"/>
      </w:rPr>
      <w:t>5-</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2</w:t>
    </w:r>
    <w:r>
      <w:rPr>
        <w:rFonts w:ascii="Arial" w:hAnsi="Arial" w:cs="Arial"/>
        <w:szCs w:val="21"/>
      </w:rP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1DE32B">
    <w:pPr>
      <w:pStyle w:val="26"/>
      <w:jc w:val="center"/>
      <w:rPr>
        <w:rFonts w:ascii="Arial" w:hAnsi="Arial" w:cs="Arial"/>
        <w:szCs w:val="21"/>
      </w:rPr>
    </w:pPr>
    <w:r>
      <w:rPr>
        <w:rStyle w:val="51"/>
        <w:rFonts w:hint="eastAsia" w:ascii="Arial" w:hAnsi="Arial" w:cs="Arial"/>
        <w:szCs w:val="21"/>
      </w:rPr>
      <w:t>5-</w:t>
    </w:r>
    <w:r>
      <w:rPr>
        <w:rStyle w:val="51"/>
        <w:rFonts w:ascii="Arial" w:hAnsi="Arial" w:cs="Arial"/>
        <w:szCs w:val="21"/>
      </w:rPr>
      <w:fldChar w:fldCharType="begin"/>
    </w:r>
    <w:r>
      <w:rPr>
        <w:rStyle w:val="51"/>
        <w:rFonts w:ascii="Arial" w:hAnsi="Arial" w:cs="Arial"/>
        <w:szCs w:val="21"/>
      </w:rPr>
      <w:instrText xml:space="preserve"> PAGE </w:instrText>
    </w:r>
    <w:r>
      <w:rPr>
        <w:rStyle w:val="51"/>
        <w:rFonts w:ascii="Arial" w:hAnsi="Arial" w:cs="Arial"/>
        <w:szCs w:val="21"/>
      </w:rPr>
      <w:fldChar w:fldCharType="separate"/>
    </w:r>
    <w:r>
      <w:rPr>
        <w:rStyle w:val="51"/>
        <w:rFonts w:ascii="Arial" w:hAnsi="Arial" w:cs="Arial"/>
        <w:szCs w:val="21"/>
      </w:rPr>
      <w:t>1</w:t>
    </w:r>
    <w:r>
      <w:rPr>
        <w:rStyle w:val="51"/>
        <w:rFonts w:ascii="Arial" w:hAnsi="Arial" w:cs="Arial"/>
        <w:szCs w:val="21"/>
      </w:rP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0537C">
    <w:pPr>
      <w:pStyle w:val="26"/>
      <w:jc w:val="center"/>
      <w:rPr>
        <w:rFonts w:ascii="Arial" w:hAnsi="Arial" w:cs="Arial"/>
        <w:szCs w:val="21"/>
      </w:rPr>
    </w:pPr>
    <w:r>
      <w:rPr>
        <w:rFonts w:hint="eastAsia" w:ascii="Arial" w:hAnsi="Arial" w:cs="Arial"/>
        <w:szCs w:val="21"/>
      </w:rPr>
      <w:t>7-</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5</w:t>
    </w:r>
    <w:r>
      <w:rPr>
        <w:rFonts w:ascii="Arial" w:hAnsi="Arial" w:cs="Arial"/>
        <w:szCs w:val="21"/>
      </w:rPr>
      <w:fldChar w:fldCharType="end"/>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70C2A">
    <w:pPr>
      <w:pStyle w:val="26"/>
      <w:jc w:val="center"/>
      <w:rPr>
        <w:rFonts w:ascii="Arial" w:hAnsi="Arial" w:cs="Arial"/>
        <w:szCs w:val="21"/>
      </w:rPr>
    </w:pPr>
    <w:r>
      <w:rPr>
        <w:rStyle w:val="51"/>
        <w:rFonts w:hint="eastAsia" w:ascii="Arial" w:hAnsi="Arial" w:cs="Arial"/>
        <w:szCs w:val="21"/>
      </w:rPr>
      <w:t>6-</w:t>
    </w:r>
    <w:r>
      <w:rPr>
        <w:rStyle w:val="51"/>
        <w:rFonts w:ascii="Arial" w:hAnsi="Arial" w:cs="Arial"/>
        <w:szCs w:val="21"/>
      </w:rPr>
      <w:fldChar w:fldCharType="begin"/>
    </w:r>
    <w:r>
      <w:rPr>
        <w:rStyle w:val="51"/>
        <w:rFonts w:ascii="Arial" w:hAnsi="Arial" w:cs="Arial"/>
        <w:szCs w:val="21"/>
      </w:rPr>
      <w:instrText xml:space="preserve"> PAGE </w:instrText>
    </w:r>
    <w:r>
      <w:rPr>
        <w:rStyle w:val="51"/>
        <w:rFonts w:ascii="Arial" w:hAnsi="Arial" w:cs="Arial"/>
        <w:szCs w:val="21"/>
      </w:rPr>
      <w:fldChar w:fldCharType="separate"/>
    </w:r>
    <w:r>
      <w:rPr>
        <w:rStyle w:val="51"/>
        <w:rFonts w:ascii="Arial" w:hAnsi="Arial" w:cs="Arial"/>
        <w:szCs w:val="21"/>
      </w:rPr>
      <w:t>1</w:t>
    </w:r>
    <w:r>
      <w:rPr>
        <w:rStyle w:val="51"/>
        <w:rFonts w:ascii="Arial" w:hAnsi="Arial" w:cs="Arial"/>
        <w:szCs w:val="21"/>
      </w:rPr>
      <w:fldChar w:fldCharType="end"/>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4A0887">
    <w:pPr>
      <w:pStyle w:val="26"/>
      <w:jc w:val="center"/>
      <w:rPr>
        <w:rFonts w:ascii="Arial" w:hAnsi="Arial" w:cs="Arial"/>
        <w:szCs w:val="21"/>
      </w:rPr>
    </w:pPr>
    <w:r>
      <w:rPr>
        <w:rFonts w:hint="eastAsia" w:ascii="Arial" w:hAnsi="Arial" w:cs="Arial"/>
        <w:szCs w:val="21"/>
      </w:rPr>
      <w:t>7-</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1</w:t>
    </w:r>
    <w:r>
      <w:rPr>
        <w:rFonts w:ascii="Arial" w:hAnsi="Arial" w:cs="Arial"/>
        <w:szCs w:val="21"/>
      </w:rPr>
      <w:fldChar w:fldCharType="end"/>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99475">
    <w:pPr>
      <w:pStyle w:val="26"/>
      <w:jc w:val="center"/>
      <w:rPr>
        <w:rFonts w:ascii="Arial" w:hAnsi="Arial" w:cs="Arial"/>
        <w:szCs w:val="21"/>
      </w:rPr>
    </w:pPr>
    <w:r>
      <w:rPr>
        <w:rStyle w:val="51"/>
        <w:rFonts w:hint="eastAsia" w:ascii="Arial" w:hAnsi="Arial" w:cs="Arial"/>
        <w:szCs w:val="21"/>
      </w:rPr>
      <w:t>7-</w:t>
    </w:r>
    <w:r>
      <w:rPr>
        <w:rStyle w:val="51"/>
        <w:rFonts w:ascii="Arial" w:hAnsi="Arial" w:cs="Arial"/>
        <w:szCs w:val="21"/>
      </w:rPr>
      <w:fldChar w:fldCharType="begin"/>
    </w:r>
    <w:r>
      <w:rPr>
        <w:rStyle w:val="51"/>
        <w:rFonts w:ascii="Arial" w:hAnsi="Arial" w:cs="Arial"/>
        <w:szCs w:val="21"/>
      </w:rPr>
      <w:instrText xml:space="preserve"> PAGE </w:instrText>
    </w:r>
    <w:r>
      <w:rPr>
        <w:rStyle w:val="51"/>
        <w:rFonts w:ascii="Arial" w:hAnsi="Arial" w:cs="Arial"/>
        <w:szCs w:val="21"/>
      </w:rPr>
      <w:fldChar w:fldCharType="separate"/>
    </w:r>
    <w:r>
      <w:rPr>
        <w:rStyle w:val="51"/>
        <w:rFonts w:ascii="Arial" w:hAnsi="Arial" w:cs="Arial"/>
        <w:szCs w:val="21"/>
      </w:rPr>
      <w:t>1</w:t>
    </w:r>
    <w:r>
      <w:rPr>
        <w:rStyle w:val="51"/>
        <w:rFonts w:ascii="Arial" w:hAnsi="Arial" w:cs="Arial"/>
        <w:szCs w:val="21"/>
      </w:rPr>
      <w:fldChar w:fldCharType="end"/>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6F77D3">
    <w:pPr>
      <w:pStyle w:val="26"/>
      <w:jc w:val="center"/>
      <w:rPr>
        <w:rFonts w:ascii="Arial" w:hAnsi="Arial" w:cs="Arial"/>
        <w:szCs w:val="21"/>
      </w:rPr>
    </w:pPr>
    <w:r>
      <w:rPr>
        <w:rFonts w:hint="eastAsia" w:ascii="Arial" w:hAnsi="Arial" w:cs="Arial"/>
        <w:szCs w:val="21"/>
      </w:rPr>
      <w:t>8-</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1</w:t>
    </w:r>
    <w:r>
      <w:rPr>
        <w:rFonts w:ascii="Arial" w:hAnsi="Arial" w:cs="Arial"/>
        <w:szCs w:val="21"/>
      </w:rPr>
      <w:fldChar w:fldCharType="end"/>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67B57">
    <w:pPr>
      <w:pStyle w:val="26"/>
      <w:jc w:val="center"/>
      <w:rPr>
        <w:rFonts w:ascii="Arial" w:hAnsi="Arial" w:cs="Arial"/>
        <w:szCs w:val="21"/>
      </w:rPr>
    </w:pPr>
    <w:r>
      <w:rPr>
        <w:rFonts w:hint="eastAsia" w:ascii="Arial" w:hAnsi="Arial" w:cs="Arial"/>
        <w:szCs w:val="21"/>
      </w:rPr>
      <w:t>9-</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2</w:t>
    </w:r>
    <w:r>
      <w:rPr>
        <w:rFonts w:ascii="Arial" w:hAnsi="Arial" w:cs="Arial"/>
        <w:szCs w:val="21"/>
      </w:rPr>
      <w:fldChar w:fldCharType="end"/>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9423F">
    <w:pPr>
      <w:pStyle w:val="26"/>
      <w:jc w:val="center"/>
      <w:rPr>
        <w:rFonts w:ascii="Arial" w:hAnsi="Arial" w:cs="Arial"/>
        <w:szCs w:val="21"/>
      </w:rPr>
    </w:pPr>
    <w:r>
      <w:rPr>
        <w:rStyle w:val="51"/>
        <w:rFonts w:hint="eastAsia" w:ascii="Arial" w:hAnsi="Arial" w:cs="Arial"/>
        <w:szCs w:val="21"/>
      </w:rPr>
      <w:t>9-</w:t>
    </w:r>
    <w:r>
      <w:rPr>
        <w:rStyle w:val="51"/>
        <w:rFonts w:ascii="Arial" w:hAnsi="Arial" w:cs="Arial"/>
        <w:szCs w:val="21"/>
      </w:rPr>
      <w:fldChar w:fldCharType="begin"/>
    </w:r>
    <w:r>
      <w:rPr>
        <w:rStyle w:val="51"/>
        <w:rFonts w:ascii="Arial" w:hAnsi="Arial" w:cs="Arial"/>
        <w:szCs w:val="21"/>
      </w:rPr>
      <w:instrText xml:space="preserve"> PAGE </w:instrText>
    </w:r>
    <w:r>
      <w:rPr>
        <w:rStyle w:val="51"/>
        <w:rFonts w:ascii="Arial" w:hAnsi="Arial" w:cs="Arial"/>
        <w:szCs w:val="21"/>
      </w:rPr>
      <w:fldChar w:fldCharType="separate"/>
    </w:r>
    <w:r>
      <w:rPr>
        <w:rStyle w:val="51"/>
        <w:rFonts w:ascii="Arial" w:hAnsi="Arial" w:cs="Arial"/>
        <w:szCs w:val="21"/>
      </w:rPr>
      <w:t>1</w:t>
    </w:r>
    <w:r>
      <w:rPr>
        <w:rStyle w:val="51"/>
        <w:rFonts w:ascii="Arial" w:hAnsi="Arial" w:cs="Arial"/>
        <w:szCs w:val="21"/>
      </w:rPr>
      <w:fldChar w:fldCharType="end"/>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9E473F">
    <w:pPr>
      <w:pStyle w:val="26"/>
      <w:jc w:val="center"/>
      <w:rPr>
        <w:rFonts w:ascii="Arial" w:hAnsi="Arial" w:cs="Arial"/>
        <w:szCs w:val="21"/>
      </w:rPr>
    </w:pPr>
    <w:r>
      <w:rPr>
        <w:rFonts w:hint="eastAsia" w:ascii="Arial" w:hAnsi="Arial" w:cs="Arial"/>
        <w:szCs w:val="21"/>
      </w:rPr>
      <w:t>1</w:t>
    </w:r>
    <w:r>
      <w:rPr>
        <w:rFonts w:hint="eastAsia" w:ascii="Arial" w:hAnsi="Arial" w:cs="Arial"/>
        <w:szCs w:val="21"/>
        <w:lang w:val="en-US"/>
      </w:rPr>
      <w:t>0</w:t>
    </w:r>
    <w:r>
      <w:rPr>
        <w:rFonts w:hint="eastAsia" w:ascii="Arial" w:hAnsi="Arial" w:cs="Arial"/>
        <w:szCs w:val="21"/>
      </w:rPr>
      <w:t>-</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10</w:t>
    </w:r>
    <w:r>
      <w:rPr>
        <w:rFonts w:ascii="Arial" w:hAnsi="Arial" w:cs="Arial"/>
        <w:szCs w:val="21"/>
      </w:rPr>
      <w:fldChar w:fldCharType="end"/>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7CB2E">
    <w:pPr>
      <w:pStyle w:val="26"/>
      <w:jc w:val="center"/>
      <w:rPr>
        <w:rFonts w:ascii="Arial" w:hAnsi="Arial" w:cs="Arial"/>
        <w:szCs w:val="21"/>
      </w:rPr>
    </w:pPr>
    <w:r>
      <w:rPr>
        <w:rStyle w:val="51"/>
        <w:rFonts w:hint="eastAsia" w:ascii="Arial" w:hAnsi="Arial" w:cs="Arial"/>
        <w:szCs w:val="21"/>
      </w:rPr>
      <w:t>11-</w:t>
    </w:r>
    <w:r>
      <w:rPr>
        <w:rStyle w:val="51"/>
        <w:rFonts w:ascii="Arial" w:hAnsi="Arial" w:cs="Arial"/>
        <w:szCs w:val="21"/>
      </w:rPr>
      <w:fldChar w:fldCharType="begin"/>
    </w:r>
    <w:r>
      <w:rPr>
        <w:rStyle w:val="51"/>
        <w:rFonts w:ascii="Arial" w:hAnsi="Arial" w:cs="Arial"/>
        <w:szCs w:val="21"/>
      </w:rPr>
      <w:instrText xml:space="preserve"> PAGE </w:instrText>
    </w:r>
    <w:r>
      <w:rPr>
        <w:rStyle w:val="51"/>
        <w:rFonts w:ascii="Arial" w:hAnsi="Arial" w:cs="Arial"/>
        <w:szCs w:val="21"/>
      </w:rPr>
      <w:fldChar w:fldCharType="separate"/>
    </w:r>
    <w:r>
      <w:rPr>
        <w:rStyle w:val="51"/>
        <w:rFonts w:ascii="Arial" w:hAnsi="Arial" w:cs="Arial"/>
        <w:szCs w:val="21"/>
      </w:rPr>
      <w:t>1</w:t>
    </w:r>
    <w:r>
      <w:rPr>
        <w:rStyle w:val="51"/>
        <w:rFonts w:ascii="Arial" w:hAnsi="Arial" w:cs="Arial"/>
        <w:szCs w:val="21"/>
      </w:rPr>
      <w:fldChar w:fldCharType="end"/>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F0119">
    <w:pPr>
      <w:pStyle w:val="26"/>
      <w:jc w:val="center"/>
      <w:rPr>
        <w:rFonts w:ascii="Arial" w:hAnsi="Arial" w:cs="Arial"/>
        <w:szCs w:val="21"/>
      </w:rPr>
    </w:pPr>
    <w:r>
      <w:rPr>
        <w:rFonts w:hint="eastAsia" w:ascii="Arial" w:hAnsi="Arial" w:cs="Arial"/>
        <w:szCs w:val="21"/>
      </w:rPr>
      <w:t>1</w:t>
    </w:r>
    <w:r>
      <w:rPr>
        <w:rFonts w:hint="eastAsia" w:ascii="Arial" w:hAnsi="Arial" w:cs="Arial"/>
        <w:szCs w:val="21"/>
        <w:lang w:val="en-US"/>
      </w:rPr>
      <w:t>1</w:t>
    </w:r>
    <w:r>
      <w:rPr>
        <w:rFonts w:hint="eastAsia" w:ascii="Arial" w:hAnsi="Arial" w:cs="Arial"/>
        <w:szCs w:val="21"/>
      </w:rPr>
      <w:t>-</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9</w:t>
    </w:r>
    <w:r>
      <w:rPr>
        <w:rFonts w:ascii="Arial" w:hAnsi="Arial" w:cs="Arial"/>
        <w:szCs w:val="21"/>
      </w:rPr>
      <w:fldChar w:fldCharType="end"/>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0C729">
    <w:pPr>
      <w:pStyle w:val="26"/>
      <w:jc w:val="center"/>
      <w:rPr>
        <w:rFonts w:ascii="Arial" w:hAnsi="Arial" w:cs="Arial"/>
        <w:szCs w:val="21"/>
      </w:rPr>
    </w:pPr>
    <w:r>
      <w:rPr>
        <w:rStyle w:val="51"/>
        <w:rFonts w:hint="eastAsia" w:ascii="Arial" w:hAnsi="Arial" w:cs="Arial"/>
        <w:szCs w:val="21"/>
      </w:rPr>
      <w:t>12-</w:t>
    </w:r>
    <w:r>
      <w:rPr>
        <w:rStyle w:val="51"/>
        <w:rFonts w:ascii="Arial" w:hAnsi="Arial" w:cs="Arial"/>
        <w:szCs w:val="21"/>
      </w:rPr>
      <w:fldChar w:fldCharType="begin"/>
    </w:r>
    <w:r>
      <w:rPr>
        <w:rStyle w:val="51"/>
        <w:rFonts w:ascii="Arial" w:hAnsi="Arial" w:cs="Arial"/>
        <w:szCs w:val="21"/>
      </w:rPr>
      <w:instrText xml:space="preserve"> PAGE </w:instrText>
    </w:r>
    <w:r>
      <w:rPr>
        <w:rStyle w:val="51"/>
        <w:rFonts w:ascii="Arial" w:hAnsi="Arial" w:cs="Arial"/>
        <w:szCs w:val="21"/>
      </w:rPr>
      <w:fldChar w:fldCharType="separate"/>
    </w:r>
    <w:r>
      <w:rPr>
        <w:rStyle w:val="51"/>
        <w:rFonts w:ascii="Arial" w:hAnsi="Arial" w:cs="Arial"/>
        <w:szCs w:val="21"/>
      </w:rPr>
      <w:t>1</w:t>
    </w:r>
    <w:r>
      <w:rPr>
        <w:rStyle w:val="51"/>
        <w:rFonts w:ascii="Arial" w:hAnsi="Arial" w:cs="Arial"/>
        <w:szCs w:val="21"/>
      </w:rPr>
      <w:fldChar w:fldCharType="end"/>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E718">
    <w:pPr>
      <w:pStyle w:val="26"/>
      <w:jc w:val="center"/>
      <w:rPr>
        <w:rFonts w:ascii="Arial" w:hAnsi="Arial" w:cs="Arial"/>
        <w:szCs w:val="21"/>
      </w:rPr>
    </w:pPr>
    <w:r>
      <w:rPr>
        <w:rFonts w:hint="eastAsia" w:ascii="Arial" w:hAnsi="Arial" w:cs="Arial"/>
        <w:szCs w:val="21"/>
      </w:rPr>
      <w:t>1</w:t>
    </w:r>
    <w:r>
      <w:rPr>
        <w:rFonts w:hint="eastAsia" w:ascii="Arial" w:hAnsi="Arial" w:cs="Arial"/>
        <w:szCs w:val="21"/>
        <w:lang w:val="en-US"/>
      </w:rPr>
      <w:t>2</w:t>
    </w:r>
    <w:r>
      <w:rPr>
        <w:rFonts w:hint="eastAsia" w:ascii="Arial" w:hAnsi="Arial" w:cs="Arial"/>
        <w:szCs w:val="21"/>
      </w:rPr>
      <w:t>-</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1</w:t>
    </w:r>
    <w:r>
      <w:rPr>
        <w:rFonts w:ascii="Arial" w:hAnsi="Arial" w:cs="Arial"/>
        <w:szCs w:val="21"/>
      </w:rPr>
      <w:fldChar w:fldCharType="end"/>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5C47C1">
    <w:pPr>
      <w:pStyle w:val="26"/>
      <w:jc w:val="center"/>
      <w:rPr>
        <w:rFonts w:ascii="Arial" w:hAnsi="Arial" w:cs="Arial"/>
        <w:szCs w:val="21"/>
      </w:rPr>
    </w:pPr>
    <w:r>
      <w:rPr>
        <w:rStyle w:val="51"/>
        <w:rFonts w:hint="eastAsia" w:ascii="Arial" w:hAnsi="Arial" w:cs="Arial"/>
        <w:szCs w:val="21"/>
      </w:rPr>
      <w:t>12-</w:t>
    </w:r>
    <w:r>
      <w:rPr>
        <w:rStyle w:val="51"/>
        <w:rFonts w:ascii="Arial" w:hAnsi="Arial" w:cs="Arial"/>
        <w:szCs w:val="21"/>
      </w:rPr>
      <w:fldChar w:fldCharType="begin"/>
    </w:r>
    <w:r>
      <w:rPr>
        <w:rStyle w:val="51"/>
        <w:rFonts w:ascii="Arial" w:hAnsi="Arial" w:cs="Arial"/>
        <w:szCs w:val="21"/>
      </w:rPr>
      <w:instrText xml:space="preserve"> PAGE </w:instrText>
    </w:r>
    <w:r>
      <w:rPr>
        <w:rStyle w:val="51"/>
        <w:rFonts w:ascii="Arial" w:hAnsi="Arial" w:cs="Arial"/>
        <w:szCs w:val="21"/>
      </w:rPr>
      <w:fldChar w:fldCharType="separate"/>
    </w:r>
    <w:r>
      <w:rPr>
        <w:rStyle w:val="51"/>
        <w:rFonts w:ascii="Arial" w:hAnsi="Arial" w:cs="Arial"/>
        <w:szCs w:val="21"/>
      </w:rPr>
      <w:t>1</w:t>
    </w:r>
    <w:r>
      <w:rPr>
        <w:rStyle w:val="51"/>
        <w:rFonts w:ascii="Arial" w:hAnsi="Arial" w:cs="Arial"/>
        <w:szCs w:val="21"/>
      </w:rPr>
      <w:fldChar w:fldCharType="end"/>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9715B">
    <w:pPr>
      <w:pStyle w:val="26"/>
      <w:jc w:val="center"/>
      <w:rPr>
        <w:rFonts w:ascii="Arial" w:hAnsi="Arial" w:cs="Arial"/>
        <w:szCs w:val="21"/>
      </w:rPr>
    </w:pPr>
    <w:r>
      <w:rPr>
        <w:rFonts w:hint="eastAsia" w:ascii="Arial" w:hAnsi="Arial" w:cs="Arial"/>
        <w:szCs w:val="21"/>
      </w:rPr>
      <w:t>1</w:t>
    </w:r>
    <w:r>
      <w:rPr>
        <w:rFonts w:hint="eastAsia" w:ascii="Arial" w:hAnsi="Arial" w:cs="Arial"/>
        <w:szCs w:val="21"/>
        <w:lang w:val="en-US"/>
      </w:rPr>
      <w:t>3</w:t>
    </w:r>
    <w:r>
      <w:rPr>
        <w:rFonts w:hint="eastAsia" w:ascii="Arial" w:hAnsi="Arial" w:cs="Arial"/>
        <w:szCs w:val="21"/>
      </w:rPr>
      <w:t>-</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5</w:t>
    </w:r>
    <w:r>
      <w:rPr>
        <w:rFonts w:ascii="Arial" w:hAnsi="Arial" w:cs="Arial"/>
        <w:szCs w:val="21"/>
      </w:rPr>
      <w:fldChar w:fldCharType="end"/>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1A199">
    <w:pPr>
      <w:pStyle w:val="26"/>
      <w:jc w:val="center"/>
      <w:rPr>
        <w:rFonts w:ascii="Arial" w:hAnsi="Arial" w:cs="Arial"/>
        <w:szCs w:val="21"/>
      </w:rPr>
    </w:pPr>
    <w:r>
      <w:rPr>
        <w:rStyle w:val="51"/>
        <w:rFonts w:hint="eastAsia" w:ascii="Arial" w:hAnsi="Arial" w:cs="Arial"/>
        <w:szCs w:val="21"/>
      </w:rPr>
      <w:t>13-</w:t>
    </w:r>
    <w:r>
      <w:rPr>
        <w:rStyle w:val="51"/>
        <w:rFonts w:ascii="Arial" w:hAnsi="Arial" w:cs="Arial"/>
        <w:szCs w:val="21"/>
      </w:rPr>
      <w:fldChar w:fldCharType="begin"/>
    </w:r>
    <w:r>
      <w:rPr>
        <w:rStyle w:val="51"/>
        <w:rFonts w:ascii="Arial" w:hAnsi="Arial" w:cs="Arial"/>
        <w:szCs w:val="21"/>
      </w:rPr>
      <w:instrText xml:space="preserve"> PAGE </w:instrText>
    </w:r>
    <w:r>
      <w:rPr>
        <w:rStyle w:val="51"/>
        <w:rFonts w:ascii="Arial" w:hAnsi="Arial" w:cs="Arial"/>
        <w:szCs w:val="21"/>
      </w:rPr>
      <w:fldChar w:fldCharType="separate"/>
    </w:r>
    <w:r>
      <w:rPr>
        <w:rStyle w:val="51"/>
        <w:rFonts w:ascii="Arial" w:hAnsi="Arial" w:cs="Arial"/>
        <w:szCs w:val="21"/>
      </w:rPr>
      <w:t>1</w:t>
    </w:r>
    <w:r>
      <w:rPr>
        <w:rStyle w:val="51"/>
        <w:rFonts w:ascii="Arial" w:hAnsi="Arial" w:cs="Arial"/>
        <w:szCs w:val="21"/>
      </w:rPr>
      <w:fldChar w:fldCharType="end"/>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8FE9E6">
    <w:pPr>
      <w:pStyle w:val="26"/>
      <w:jc w:val="center"/>
      <w:rPr>
        <w:rFonts w:ascii="Arial" w:hAnsi="Arial" w:cs="Arial"/>
        <w:szCs w:val="21"/>
      </w:rPr>
    </w:pPr>
    <w:r>
      <w:rPr>
        <w:rFonts w:hint="eastAsia" w:ascii="Arial" w:hAnsi="Arial" w:cs="Arial"/>
        <w:szCs w:val="21"/>
      </w:rPr>
      <w:t>1</w:t>
    </w:r>
    <w:r>
      <w:rPr>
        <w:rFonts w:hint="eastAsia" w:ascii="Arial" w:hAnsi="Arial" w:cs="Arial"/>
        <w:szCs w:val="21"/>
        <w:lang w:val="en-US"/>
      </w:rPr>
      <w:t>4</w:t>
    </w:r>
    <w:r>
      <w:rPr>
        <w:rFonts w:hint="eastAsia" w:ascii="Arial" w:hAnsi="Arial" w:cs="Arial"/>
        <w:szCs w:val="21"/>
      </w:rPr>
      <w:t>-</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2</w:t>
    </w:r>
    <w:r>
      <w:rPr>
        <w:rFonts w:ascii="Arial" w:hAnsi="Arial" w:cs="Arial"/>
        <w:szCs w:val="21"/>
      </w:rPr>
      <w:fldChar w:fldCharType="end"/>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BD444">
    <w:pPr>
      <w:pStyle w:val="26"/>
      <w:jc w:val="center"/>
      <w:rPr>
        <w:rFonts w:ascii="Arial" w:hAnsi="Arial" w:cs="Arial"/>
        <w:szCs w:val="21"/>
      </w:rPr>
    </w:pPr>
    <w:r>
      <w:rPr>
        <w:rStyle w:val="51"/>
        <w:rFonts w:hint="eastAsia" w:ascii="Arial" w:hAnsi="Arial" w:cs="Arial"/>
        <w:szCs w:val="21"/>
      </w:rPr>
      <w:t>14-</w:t>
    </w:r>
    <w:r>
      <w:rPr>
        <w:rStyle w:val="51"/>
        <w:rFonts w:ascii="Arial" w:hAnsi="Arial" w:cs="Arial"/>
        <w:szCs w:val="21"/>
      </w:rPr>
      <w:fldChar w:fldCharType="begin"/>
    </w:r>
    <w:r>
      <w:rPr>
        <w:rStyle w:val="51"/>
        <w:rFonts w:ascii="Arial" w:hAnsi="Arial" w:cs="Arial"/>
        <w:szCs w:val="21"/>
      </w:rPr>
      <w:instrText xml:space="preserve"> PAGE </w:instrText>
    </w:r>
    <w:r>
      <w:rPr>
        <w:rStyle w:val="51"/>
        <w:rFonts w:ascii="Arial" w:hAnsi="Arial" w:cs="Arial"/>
        <w:szCs w:val="21"/>
      </w:rPr>
      <w:fldChar w:fldCharType="separate"/>
    </w:r>
    <w:r>
      <w:rPr>
        <w:rStyle w:val="51"/>
        <w:rFonts w:ascii="Arial" w:hAnsi="Arial" w:cs="Arial"/>
        <w:szCs w:val="21"/>
      </w:rPr>
      <w:t>1</w:t>
    </w:r>
    <w:r>
      <w:rPr>
        <w:rStyle w:val="51"/>
        <w:rFonts w:ascii="Arial" w:hAnsi="Arial" w:cs="Arial"/>
        <w:szCs w:val="21"/>
      </w:rPr>
      <w:fldChar w:fldCharType="end"/>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3F43D">
    <w:pPr>
      <w:pStyle w:val="26"/>
      <w:jc w:val="center"/>
      <w:rPr>
        <w:rFonts w:ascii="Arial" w:hAnsi="Arial" w:cs="Arial"/>
        <w:szCs w:val="21"/>
      </w:rPr>
    </w:pPr>
    <w:r>
      <w:rPr>
        <w:rFonts w:hint="eastAsia" w:ascii="Arial" w:hAnsi="Arial" w:cs="Arial"/>
        <w:szCs w:val="21"/>
      </w:rPr>
      <w:t>1</w:t>
    </w:r>
    <w:r>
      <w:rPr>
        <w:rFonts w:hint="eastAsia" w:ascii="Arial" w:hAnsi="Arial" w:cs="Arial"/>
        <w:szCs w:val="21"/>
        <w:lang w:val="en-US"/>
      </w:rPr>
      <w:t>5</w:t>
    </w:r>
    <w:r>
      <w:rPr>
        <w:rFonts w:hint="eastAsia" w:ascii="Arial" w:hAnsi="Arial" w:cs="Arial"/>
        <w:szCs w:val="21"/>
      </w:rPr>
      <w:t>-</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2</w:t>
    </w:r>
    <w:r>
      <w:rPr>
        <w:rFonts w:ascii="Arial" w:hAnsi="Arial" w:cs="Arial"/>
        <w:szCs w:val="21"/>
      </w:rPr>
      <w:fldChar w:fldCharType="end"/>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B94D5">
    <w:pPr>
      <w:pStyle w:val="26"/>
      <w:jc w:val="center"/>
      <w:rPr>
        <w:rFonts w:ascii="Arial" w:hAnsi="Arial" w:cs="Arial"/>
        <w:szCs w:val="21"/>
      </w:rPr>
    </w:pPr>
    <w:r>
      <w:rPr>
        <w:rStyle w:val="51"/>
        <w:rFonts w:hint="eastAsia" w:ascii="Arial" w:hAnsi="Arial" w:cs="Arial"/>
        <w:szCs w:val="21"/>
      </w:rPr>
      <w:t>15-</w:t>
    </w:r>
    <w:r>
      <w:rPr>
        <w:rStyle w:val="51"/>
        <w:rFonts w:ascii="Arial" w:hAnsi="Arial" w:cs="Arial"/>
        <w:szCs w:val="21"/>
      </w:rPr>
      <w:fldChar w:fldCharType="begin"/>
    </w:r>
    <w:r>
      <w:rPr>
        <w:rStyle w:val="51"/>
        <w:rFonts w:ascii="Arial" w:hAnsi="Arial" w:cs="Arial"/>
        <w:szCs w:val="21"/>
      </w:rPr>
      <w:instrText xml:space="preserve"> PAGE </w:instrText>
    </w:r>
    <w:r>
      <w:rPr>
        <w:rStyle w:val="51"/>
        <w:rFonts w:ascii="Arial" w:hAnsi="Arial" w:cs="Arial"/>
        <w:szCs w:val="21"/>
      </w:rPr>
      <w:fldChar w:fldCharType="separate"/>
    </w:r>
    <w:r>
      <w:rPr>
        <w:rStyle w:val="51"/>
        <w:rFonts w:ascii="Arial" w:hAnsi="Arial" w:cs="Arial"/>
        <w:szCs w:val="21"/>
      </w:rPr>
      <w:t>1</w:t>
    </w:r>
    <w:r>
      <w:rPr>
        <w:rStyle w:val="51"/>
        <w:rFonts w:ascii="Arial" w:hAnsi="Arial" w:cs="Arial"/>
        <w:szCs w:val="21"/>
      </w:rPr>
      <w:fldChar w:fldCharType="end"/>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F9C1C">
    <w:pPr>
      <w:pStyle w:val="26"/>
      <w:jc w:val="center"/>
      <w:rPr>
        <w:rFonts w:ascii="Arial" w:hAnsi="Arial" w:cs="Arial"/>
        <w:szCs w:val="21"/>
      </w:rPr>
    </w:pPr>
    <w:r>
      <w:rPr>
        <w:rFonts w:hint="eastAsia" w:ascii="Arial" w:hAnsi="Arial" w:cs="Arial"/>
        <w:szCs w:val="21"/>
      </w:rPr>
      <w:t>1</w:t>
    </w:r>
    <w:r>
      <w:rPr>
        <w:rFonts w:hint="eastAsia" w:ascii="Arial" w:hAnsi="Arial" w:cs="Arial"/>
        <w:szCs w:val="21"/>
        <w:lang w:val="en-US"/>
      </w:rPr>
      <w:t>6</w:t>
    </w:r>
    <w:r>
      <w:rPr>
        <w:rFonts w:hint="eastAsia" w:ascii="Arial" w:hAnsi="Arial" w:cs="Arial"/>
        <w:szCs w:val="21"/>
      </w:rPr>
      <w:t>-</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1</w:t>
    </w:r>
    <w:r>
      <w:rPr>
        <w:rFonts w:ascii="Arial" w:hAnsi="Arial" w:cs="Arial"/>
        <w:szCs w:val="21"/>
      </w:rPr>
      <w:fldChar w:fldCharType="end"/>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1775F">
    <w:pPr>
      <w:pStyle w:val="26"/>
      <w:jc w:val="center"/>
      <w:rPr>
        <w:rFonts w:ascii="Arial" w:hAnsi="Arial" w:cs="Arial"/>
        <w:szCs w:val="21"/>
      </w:rPr>
    </w:pPr>
    <w:r>
      <w:rPr>
        <w:rStyle w:val="51"/>
        <w:rFonts w:hint="eastAsia" w:ascii="Arial" w:hAnsi="Arial" w:cs="Arial"/>
        <w:szCs w:val="21"/>
      </w:rPr>
      <w:t>16-</w:t>
    </w:r>
    <w:r>
      <w:rPr>
        <w:rStyle w:val="51"/>
        <w:rFonts w:ascii="Arial" w:hAnsi="Arial" w:cs="Arial"/>
        <w:szCs w:val="21"/>
      </w:rPr>
      <w:fldChar w:fldCharType="begin"/>
    </w:r>
    <w:r>
      <w:rPr>
        <w:rStyle w:val="51"/>
        <w:rFonts w:ascii="Arial" w:hAnsi="Arial" w:cs="Arial"/>
        <w:szCs w:val="21"/>
      </w:rPr>
      <w:instrText xml:space="preserve"> PAGE </w:instrText>
    </w:r>
    <w:r>
      <w:rPr>
        <w:rStyle w:val="51"/>
        <w:rFonts w:ascii="Arial" w:hAnsi="Arial" w:cs="Arial"/>
        <w:szCs w:val="21"/>
      </w:rPr>
      <w:fldChar w:fldCharType="separate"/>
    </w:r>
    <w:r>
      <w:rPr>
        <w:rStyle w:val="51"/>
        <w:rFonts w:ascii="Arial" w:hAnsi="Arial" w:cs="Arial"/>
        <w:szCs w:val="21"/>
      </w:rPr>
      <w:t>1</w:t>
    </w:r>
    <w:r>
      <w:rPr>
        <w:rStyle w:val="51"/>
        <w:rFonts w:ascii="Arial" w:hAnsi="Arial" w:cs="Arial"/>
        <w:szCs w:val="21"/>
      </w:rPr>
      <w:fldChar w:fldCharType="end"/>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4F3A4">
    <w:pPr>
      <w:pStyle w:val="26"/>
      <w:jc w:val="center"/>
      <w:rPr>
        <w:rFonts w:ascii="Arial" w:hAnsi="Arial" w:cs="Arial"/>
        <w:szCs w:val="21"/>
      </w:rPr>
    </w:pPr>
    <w:r>
      <w:rPr>
        <w:rFonts w:hint="eastAsia" w:ascii="Arial" w:hAnsi="Arial" w:cs="Arial"/>
        <w:szCs w:val="21"/>
      </w:rPr>
      <w:t>1</w:t>
    </w:r>
    <w:r>
      <w:rPr>
        <w:rFonts w:hint="eastAsia" w:ascii="Arial" w:hAnsi="Arial" w:cs="Arial"/>
        <w:szCs w:val="21"/>
        <w:lang w:val="en-US"/>
      </w:rPr>
      <w:t>7</w:t>
    </w:r>
    <w:r>
      <w:rPr>
        <w:rFonts w:hint="eastAsia" w:ascii="Arial" w:hAnsi="Arial" w:cs="Arial"/>
        <w:szCs w:val="21"/>
      </w:rPr>
      <w:t>-</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6</w:t>
    </w:r>
    <w:r>
      <w:rPr>
        <w:rFonts w:ascii="Arial" w:hAnsi="Arial" w:cs="Arial"/>
        <w:szCs w:val="21"/>
      </w:rPr>
      <w:fldChar w:fldCharType="end"/>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15C3CE">
    <w:pPr>
      <w:pStyle w:val="26"/>
      <w:jc w:val="center"/>
      <w:rPr>
        <w:rFonts w:ascii="Arial" w:hAnsi="Arial" w:cs="Arial"/>
        <w:szCs w:val="21"/>
      </w:rPr>
    </w:pPr>
    <w:r>
      <w:rPr>
        <w:rStyle w:val="51"/>
        <w:rFonts w:hint="eastAsia" w:ascii="Arial" w:hAnsi="Arial" w:cs="Arial"/>
        <w:szCs w:val="21"/>
      </w:rPr>
      <w:t>17-</w:t>
    </w:r>
    <w:r>
      <w:rPr>
        <w:rStyle w:val="51"/>
        <w:rFonts w:ascii="Arial" w:hAnsi="Arial" w:cs="Arial"/>
        <w:szCs w:val="21"/>
      </w:rPr>
      <w:fldChar w:fldCharType="begin"/>
    </w:r>
    <w:r>
      <w:rPr>
        <w:rStyle w:val="51"/>
        <w:rFonts w:ascii="Arial" w:hAnsi="Arial" w:cs="Arial"/>
        <w:szCs w:val="21"/>
      </w:rPr>
      <w:instrText xml:space="preserve"> PAGE </w:instrText>
    </w:r>
    <w:r>
      <w:rPr>
        <w:rStyle w:val="51"/>
        <w:rFonts w:ascii="Arial" w:hAnsi="Arial" w:cs="Arial"/>
        <w:szCs w:val="21"/>
      </w:rPr>
      <w:fldChar w:fldCharType="separate"/>
    </w:r>
    <w:r>
      <w:rPr>
        <w:rStyle w:val="51"/>
        <w:rFonts w:ascii="Arial" w:hAnsi="Arial" w:cs="Arial"/>
        <w:szCs w:val="21"/>
      </w:rPr>
      <w:t>1</w:t>
    </w:r>
    <w:r>
      <w:rPr>
        <w:rStyle w:val="51"/>
        <w:rFonts w:ascii="Arial" w:hAnsi="Arial" w:cs="Arial"/>
        <w:szCs w:val="21"/>
      </w:rPr>
      <w:fldChar w:fldCharType="end"/>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D7EFD2">
    <w:pPr>
      <w:pStyle w:val="26"/>
      <w:jc w:val="center"/>
      <w:rPr>
        <w:rFonts w:ascii="Arial" w:hAnsi="Arial" w:cs="Arial"/>
        <w:szCs w:val="21"/>
      </w:rPr>
    </w:pPr>
    <w:r>
      <w:rPr>
        <w:rFonts w:hint="eastAsia" w:ascii="Arial" w:hAnsi="Arial" w:cs="Arial"/>
        <w:szCs w:val="21"/>
      </w:rPr>
      <w:t>1</w:t>
    </w:r>
    <w:r>
      <w:rPr>
        <w:rFonts w:hint="eastAsia" w:ascii="Arial" w:hAnsi="Arial" w:cs="Arial"/>
        <w:szCs w:val="21"/>
        <w:lang w:val="en-US"/>
      </w:rPr>
      <w:t>8</w:t>
    </w:r>
    <w:r>
      <w:rPr>
        <w:rFonts w:hint="eastAsia" w:ascii="Arial" w:hAnsi="Arial" w:cs="Arial"/>
        <w:szCs w:val="21"/>
      </w:rPr>
      <w:t>-</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9</w:t>
    </w:r>
    <w:r>
      <w:rPr>
        <w:rFonts w:ascii="Arial" w:hAnsi="Arial" w:cs="Arial"/>
        <w:szCs w:val="21"/>
      </w:rPr>
      <w:fldChar w:fldCharType="end"/>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68B28E">
    <w:pPr>
      <w:pStyle w:val="26"/>
      <w:jc w:val="center"/>
      <w:rPr>
        <w:rFonts w:ascii="Arial" w:hAnsi="Arial" w:cs="Arial"/>
        <w:szCs w:val="21"/>
      </w:rPr>
    </w:pPr>
    <w:r>
      <w:rPr>
        <w:rStyle w:val="51"/>
        <w:rFonts w:hint="eastAsia" w:ascii="Arial" w:hAnsi="Arial" w:cs="Arial"/>
        <w:szCs w:val="21"/>
      </w:rPr>
      <w:t>18-</w:t>
    </w:r>
    <w:r>
      <w:rPr>
        <w:rStyle w:val="51"/>
        <w:rFonts w:ascii="Arial" w:hAnsi="Arial" w:cs="Arial"/>
        <w:szCs w:val="21"/>
      </w:rPr>
      <w:fldChar w:fldCharType="begin"/>
    </w:r>
    <w:r>
      <w:rPr>
        <w:rStyle w:val="51"/>
        <w:rFonts w:ascii="Arial" w:hAnsi="Arial" w:cs="Arial"/>
        <w:szCs w:val="21"/>
      </w:rPr>
      <w:instrText xml:space="preserve"> PAGE </w:instrText>
    </w:r>
    <w:r>
      <w:rPr>
        <w:rStyle w:val="51"/>
        <w:rFonts w:ascii="Arial" w:hAnsi="Arial" w:cs="Arial"/>
        <w:szCs w:val="21"/>
      </w:rPr>
      <w:fldChar w:fldCharType="separate"/>
    </w:r>
    <w:r>
      <w:rPr>
        <w:rStyle w:val="51"/>
        <w:rFonts w:ascii="Arial" w:hAnsi="Arial" w:cs="Arial"/>
        <w:szCs w:val="21"/>
      </w:rPr>
      <w:t>1</w:t>
    </w:r>
    <w:r>
      <w:rPr>
        <w:rStyle w:val="51"/>
        <w:rFonts w:ascii="Arial" w:hAnsi="Arial" w:cs="Arial"/>
        <w:szCs w:val="21"/>
      </w:rPr>
      <w:fldChar w:fldCharType="end"/>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97C68">
    <w:pPr>
      <w:pStyle w:val="26"/>
      <w:jc w:val="center"/>
      <w:rPr>
        <w:rFonts w:ascii="Arial" w:hAnsi="Arial" w:cs="Arial"/>
        <w:szCs w:val="21"/>
      </w:rPr>
    </w:pPr>
    <w:r>
      <w:rPr>
        <w:rFonts w:hint="eastAsia" w:ascii="Arial" w:hAnsi="Arial" w:cs="Arial"/>
        <w:szCs w:val="21"/>
        <w:lang w:val="en-US"/>
      </w:rPr>
      <w:t>19</w:t>
    </w:r>
    <w:r>
      <w:rPr>
        <w:rFonts w:hint="eastAsia" w:ascii="Arial" w:hAnsi="Arial" w:cs="Arial"/>
        <w:szCs w:val="21"/>
      </w:rPr>
      <w:t>-</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2</w:t>
    </w:r>
    <w:r>
      <w:rPr>
        <w:rFonts w:ascii="Arial" w:hAnsi="Arial" w:cs="Arial"/>
        <w:szCs w:val="21"/>
      </w:rPr>
      <w:fldChar w:fldCharType="end"/>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EC4149">
    <w:pPr>
      <w:pStyle w:val="26"/>
      <w:jc w:val="center"/>
      <w:rPr>
        <w:rFonts w:ascii="Arial" w:hAnsi="Arial" w:cs="Arial"/>
        <w:szCs w:val="21"/>
      </w:rPr>
    </w:pPr>
    <w:r>
      <w:rPr>
        <w:rStyle w:val="51"/>
        <w:rFonts w:hint="eastAsia" w:ascii="Arial" w:hAnsi="Arial" w:cs="Arial"/>
        <w:szCs w:val="21"/>
      </w:rPr>
      <w:t>19-</w:t>
    </w:r>
    <w:r>
      <w:rPr>
        <w:rStyle w:val="51"/>
        <w:rFonts w:ascii="Arial" w:hAnsi="Arial" w:cs="Arial"/>
        <w:szCs w:val="21"/>
      </w:rPr>
      <w:fldChar w:fldCharType="begin"/>
    </w:r>
    <w:r>
      <w:rPr>
        <w:rStyle w:val="51"/>
        <w:rFonts w:ascii="Arial" w:hAnsi="Arial" w:cs="Arial"/>
        <w:szCs w:val="21"/>
      </w:rPr>
      <w:instrText xml:space="preserve"> PAGE </w:instrText>
    </w:r>
    <w:r>
      <w:rPr>
        <w:rStyle w:val="51"/>
        <w:rFonts w:ascii="Arial" w:hAnsi="Arial" w:cs="Arial"/>
        <w:szCs w:val="21"/>
      </w:rPr>
      <w:fldChar w:fldCharType="separate"/>
    </w:r>
    <w:r>
      <w:rPr>
        <w:rStyle w:val="51"/>
        <w:rFonts w:ascii="Arial" w:hAnsi="Arial" w:cs="Arial"/>
        <w:szCs w:val="21"/>
      </w:rPr>
      <w:t>1</w:t>
    </w:r>
    <w:r>
      <w:rPr>
        <w:rStyle w:val="51"/>
        <w:rFonts w:ascii="Arial" w:hAnsi="Arial" w:cs="Arial"/>
        <w:szCs w:val="21"/>
      </w:rPr>
      <w:fldChar w:fldCharType="end"/>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C811A">
    <w:pPr>
      <w:pStyle w:val="26"/>
      <w:jc w:val="center"/>
      <w:rPr>
        <w:rFonts w:ascii="Arial" w:hAnsi="Arial" w:cs="Arial"/>
        <w:szCs w:val="21"/>
      </w:rPr>
    </w:pPr>
    <w:r>
      <w:rPr>
        <w:rFonts w:hint="eastAsia" w:ascii="Arial" w:hAnsi="Arial" w:cs="Arial"/>
        <w:szCs w:val="21"/>
      </w:rPr>
      <w:t>2</w:t>
    </w:r>
    <w:r>
      <w:rPr>
        <w:rFonts w:hint="eastAsia" w:ascii="Arial" w:hAnsi="Arial" w:cs="Arial"/>
        <w:szCs w:val="21"/>
        <w:lang w:val="en-US"/>
      </w:rPr>
      <w:t>0</w:t>
    </w:r>
    <w:r>
      <w:rPr>
        <w:rFonts w:hint="eastAsia" w:ascii="Arial" w:hAnsi="Arial" w:cs="Arial"/>
        <w:szCs w:val="21"/>
      </w:rPr>
      <w:t>-</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14</w:t>
    </w:r>
    <w:r>
      <w:rPr>
        <w:rFonts w:ascii="Arial" w:hAnsi="Arial" w:cs="Arial"/>
        <w:szCs w:val="21"/>
      </w:rPr>
      <w:fldChar w:fldCharType="end"/>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7D6A2">
    <w:pPr>
      <w:pStyle w:val="26"/>
      <w:jc w:val="center"/>
      <w:rPr>
        <w:rFonts w:ascii="Arial" w:hAnsi="Arial" w:cs="Arial"/>
        <w:szCs w:val="21"/>
      </w:rPr>
    </w:pPr>
    <w:r>
      <w:rPr>
        <w:rStyle w:val="51"/>
        <w:rFonts w:hint="eastAsia" w:ascii="Arial" w:hAnsi="Arial" w:cs="Arial"/>
        <w:szCs w:val="21"/>
      </w:rPr>
      <w:t>20-</w:t>
    </w:r>
    <w:r>
      <w:rPr>
        <w:rStyle w:val="51"/>
        <w:rFonts w:ascii="Arial" w:hAnsi="Arial" w:cs="Arial"/>
        <w:szCs w:val="21"/>
      </w:rPr>
      <w:fldChar w:fldCharType="begin"/>
    </w:r>
    <w:r>
      <w:rPr>
        <w:rStyle w:val="51"/>
        <w:rFonts w:ascii="Arial" w:hAnsi="Arial" w:cs="Arial"/>
        <w:szCs w:val="21"/>
      </w:rPr>
      <w:instrText xml:space="preserve"> PAGE </w:instrText>
    </w:r>
    <w:r>
      <w:rPr>
        <w:rStyle w:val="51"/>
        <w:rFonts w:ascii="Arial" w:hAnsi="Arial" w:cs="Arial"/>
        <w:szCs w:val="21"/>
      </w:rPr>
      <w:fldChar w:fldCharType="separate"/>
    </w:r>
    <w:r>
      <w:rPr>
        <w:rStyle w:val="51"/>
        <w:rFonts w:ascii="Arial" w:hAnsi="Arial" w:cs="Arial"/>
        <w:szCs w:val="21"/>
      </w:rPr>
      <w:t>1</w:t>
    </w:r>
    <w:r>
      <w:rPr>
        <w:rStyle w:val="51"/>
        <w:rFonts w:ascii="Arial" w:hAnsi="Arial" w:cs="Arial"/>
        <w:szCs w:val="21"/>
      </w:rPr>
      <w:fldChar w:fldCharType="end"/>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0C1F82">
    <w:pPr>
      <w:pStyle w:val="26"/>
      <w:jc w:val="center"/>
      <w:rPr>
        <w:rFonts w:ascii="Arial" w:hAnsi="Arial" w:cs="Arial"/>
        <w:szCs w:val="21"/>
      </w:rPr>
    </w:pPr>
    <w:r>
      <w:rPr>
        <w:rFonts w:hint="eastAsia" w:ascii="Arial" w:hAnsi="Arial" w:cs="Arial"/>
        <w:szCs w:val="21"/>
      </w:rPr>
      <w:t>2</w:t>
    </w:r>
    <w:r>
      <w:rPr>
        <w:rFonts w:hint="eastAsia" w:ascii="Arial" w:hAnsi="Arial" w:cs="Arial"/>
        <w:szCs w:val="21"/>
        <w:lang w:val="en-US"/>
      </w:rPr>
      <w:t>1</w:t>
    </w:r>
    <w:r>
      <w:rPr>
        <w:rFonts w:hint="eastAsia" w:ascii="Arial" w:hAnsi="Arial" w:cs="Arial"/>
        <w:szCs w:val="21"/>
      </w:rPr>
      <w:t>-</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21</w:t>
    </w:r>
    <w:r>
      <w:rPr>
        <w:rFonts w:ascii="Arial" w:hAnsi="Arial" w:cs="Arial"/>
        <w:szCs w:val="21"/>
      </w:rPr>
      <w:fldChar w:fldCharType="end"/>
    </w:r>
  </w:p>
  <w:p w14:paraId="19E2AD9C"/>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EE6DE">
    <w:pPr>
      <w:pStyle w:val="26"/>
      <w:jc w:val="center"/>
      <w:rPr>
        <w:rFonts w:ascii="Arial" w:hAnsi="Arial" w:cs="Arial"/>
        <w:szCs w:val="21"/>
      </w:rPr>
    </w:pPr>
    <w:r>
      <w:rPr>
        <w:rStyle w:val="51"/>
        <w:rFonts w:hint="eastAsia" w:ascii="Arial" w:hAnsi="Arial" w:cs="Arial"/>
        <w:szCs w:val="21"/>
      </w:rPr>
      <w:t>21-</w:t>
    </w:r>
    <w:r>
      <w:rPr>
        <w:rStyle w:val="51"/>
        <w:rFonts w:ascii="Arial" w:hAnsi="Arial" w:cs="Arial"/>
        <w:szCs w:val="21"/>
      </w:rPr>
      <w:fldChar w:fldCharType="begin"/>
    </w:r>
    <w:r>
      <w:rPr>
        <w:rStyle w:val="51"/>
        <w:rFonts w:ascii="Arial" w:hAnsi="Arial" w:cs="Arial"/>
        <w:szCs w:val="21"/>
      </w:rPr>
      <w:instrText xml:space="preserve"> PAGE </w:instrText>
    </w:r>
    <w:r>
      <w:rPr>
        <w:rStyle w:val="51"/>
        <w:rFonts w:ascii="Arial" w:hAnsi="Arial" w:cs="Arial"/>
        <w:szCs w:val="21"/>
      </w:rPr>
      <w:fldChar w:fldCharType="separate"/>
    </w:r>
    <w:r>
      <w:rPr>
        <w:rStyle w:val="51"/>
        <w:rFonts w:ascii="Arial" w:hAnsi="Arial" w:cs="Arial"/>
        <w:szCs w:val="21"/>
      </w:rPr>
      <w:t>1</w:t>
    </w:r>
    <w:r>
      <w:rPr>
        <w:rStyle w:val="51"/>
        <w:rFonts w:ascii="Arial" w:hAnsi="Arial" w:cs="Arial"/>
        <w:szCs w:val="21"/>
      </w:rPr>
      <w:fldChar w:fldCharType="end"/>
    </w:r>
  </w:p>
  <w:p w14:paraId="0AB01577"/>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B2B19D">
    <w:pPr>
      <w:pStyle w:val="26"/>
      <w:jc w:val="center"/>
      <w:rPr>
        <w:rFonts w:ascii="Arial" w:hAnsi="Arial" w:cs="Arial"/>
        <w:szCs w:val="21"/>
      </w:rPr>
    </w:pPr>
    <w:r>
      <w:rPr>
        <w:rFonts w:hint="eastAsia" w:ascii="Arial" w:hAnsi="Arial" w:cs="Arial"/>
        <w:szCs w:val="21"/>
      </w:rPr>
      <w:t>2</w:t>
    </w:r>
    <w:r>
      <w:rPr>
        <w:rFonts w:hint="eastAsia" w:ascii="Arial" w:hAnsi="Arial" w:cs="Arial"/>
        <w:szCs w:val="21"/>
        <w:lang w:val="en-US"/>
      </w:rPr>
      <w:t>2</w:t>
    </w:r>
    <w:r>
      <w:rPr>
        <w:rFonts w:hint="eastAsia" w:ascii="Arial" w:hAnsi="Arial" w:cs="Arial"/>
        <w:szCs w:val="21"/>
      </w:rPr>
      <w:t>-</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1</w:t>
    </w:r>
    <w:r>
      <w:rPr>
        <w:rFonts w:ascii="Arial" w:hAnsi="Arial" w:cs="Arial"/>
        <w:szCs w:val="21"/>
      </w:rPr>
      <w:fldChar w:fldCharType="end"/>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9CB0CC">
    <w:pPr>
      <w:pStyle w:val="26"/>
      <w:jc w:val="center"/>
      <w:rPr>
        <w:rFonts w:ascii="Arial" w:hAnsi="Arial" w:cs="Arial"/>
        <w:szCs w:val="21"/>
      </w:rPr>
    </w:pPr>
    <w:r>
      <w:rPr>
        <w:rStyle w:val="51"/>
        <w:rFonts w:hint="eastAsia" w:ascii="Arial" w:hAnsi="Arial" w:cs="Arial"/>
        <w:szCs w:val="21"/>
      </w:rPr>
      <w:t>22-</w:t>
    </w:r>
    <w:r>
      <w:rPr>
        <w:rStyle w:val="51"/>
        <w:rFonts w:ascii="Arial" w:hAnsi="Arial" w:cs="Arial"/>
        <w:szCs w:val="21"/>
      </w:rPr>
      <w:fldChar w:fldCharType="begin"/>
    </w:r>
    <w:r>
      <w:rPr>
        <w:rStyle w:val="51"/>
        <w:rFonts w:ascii="Arial" w:hAnsi="Arial" w:cs="Arial"/>
        <w:szCs w:val="21"/>
      </w:rPr>
      <w:instrText xml:space="preserve"> PAGE </w:instrText>
    </w:r>
    <w:r>
      <w:rPr>
        <w:rStyle w:val="51"/>
        <w:rFonts w:ascii="Arial" w:hAnsi="Arial" w:cs="Arial"/>
        <w:szCs w:val="21"/>
      </w:rPr>
      <w:fldChar w:fldCharType="separate"/>
    </w:r>
    <w:r>
      <w:rPr>
        <w:rStyle w:val="51"/>
        <w:rFonts w:ascii="Arial" w:hAnsi="Arial" w:cs="Arial"/>
        <w:szCs w:val="21"/>
      </w:rPr>
      <w:t>1</w:t>
    </w:r>
    <w:r>
      <w:rPr>
        <w:rStyle w:val="51"/>
        <w:rFonts w:ascii="Arial" w:hAnsi="Arial" w:cs="Arial"/>
        <w:szCs w:val="21"/>
      </w:rPr>
      <w:fldChar w:fldCharType="end"/>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9401D">
    <w:pPr>
      <w:pStyle w:val="26"/>
      <w:jc w:val="center"/>
      <w:rPr>
        <w:rFonts w:ascii="Arial" w:hAnsi="Arial" w:cs="Arial"/>
        <w:szCs w:val="21"/>
      </w:rPr>
    </w:pPr>
    <w:r>
      <w:rPr>
        <w:rFonts w:hint="eastAsia" w:ascii="Arial" w:hAnsi="Arial" w:cs="Arial"/>
        <w:szCs w:val="21"/>
      </w:rPr>
      <w:t>2</w:t>
    </w:r>
    <w:r>
      <w:rPr>
        <w:rFonts w:hint="eastAsia" w:ascii="Arial" w:hAnsi="Arial" w:cs="Arial"/>
        <w:szCs w:val="21"/>
        <w:lang w:val="en-US"/>
      </w:rPr>
      <w:t>3</w:t>
    </w:r>
    <w:r>
      <w:rPr>
        <w:rFonts w:hint="eastAsia" w:ascii="Arial" w:hAnsi="Arial" w:cs="Arial"/>
        <w:szCs w:val="21"/>
      </w:rPr>
      <w:t>-</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1</w:t>
    </w:r>
    <w:r>
      <w:rPr>
        <w:rFonts w:ascii="Arial" w:hAnsi="Arial" w:cs="Arial"/>
        <w:szCs w:val="21"/>
      </w:rPr>
      <w:fldChar w:fldCharType="end"/>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818EB">
    <w:pPr>
      <w:pStyle w:val="26"/>
      <w:jc w:val="center"/>
      <w:rPr>
        <w:rFonts w:ascii="Arial" w:hAnsi="Arial" w:cs="Arial"/>
        <w:szCs w:val="21"/>
      </w:rPr>
    </w:pPr>
    <w:r>
      <w:rPr>
        <w:rStyle w:val="51"/>
        <w:rFonts w:hint="eastAsia" w:ascii="Arial" w:hAnsi="Arial" w:cs="Arial"/>
        <w:szCs w:val="21"/>
      </w:rPr>
      <w:t>23-</w:t>
    </w:r>
    <w:r>
      <w:rPr>
        <w:rStyle w:val="51"/>
        <w:rFonts w:ascii="Arial" w:hAnsi="Arial" w:cs="Arial"/>
        <w:szCs w:val="21"/>
      </w:rPr>
      <w:fldChar w:fldCharType="begin"/>
    </w:r>
    <w:r>
      <w:rPr>
        <w:rStyle w:val="51"/>
        <w:rFonts w:ascii="Arial" w:hAnsi="Arial" w:cs="Arial"/>
        <w:szCs w:val="21"/>
      </w:rPr>
      <w:instrText xml:space="preserve"> PAGE </w:instrText>
    </w:r>
    <w:r>
      <w:rPr>
        <w:rStyle w:val="51"/>
        <w:rFonts w:ascii="Arial" w:hAnsi="Arial" w:cs="Arial"/>
        <w:szCs w:val="21"/>
      </w:rPr>
      <w:fldChar w:fldCharType="separate"/>
    </w:r>
    <w:r>
      <w:rPr>
        <w:rStyle w:val="51"/>
        <w:rFonts w:ascii="Arial" w:hAnsi="Arial" w:cs="Arial"/>
        <w:szCs w:val="21"/>
      </w:rPr>
      <w:t>1</w:t>
    </w:r>
    <w:r>
      <w:rPr>
        <w:rStyle w:val="51"/>
        <w:rFonts w:ascii="Arial" w:hAnsi="Arial" w:cs="Arial"/>
        <w:szCs w:val="21"/>
      </w:rPr>
      <w:fldChar w:fldCharType="end"/>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F8049">
    <w:pPr>
      <w:pStyle w:val="26"/>
      <w:jc w:val="center"/>
    </w:pPr>
    <w:r>
      <w:rPr>
        <w:rFonts w:hint="eastAsia"/>
        <w:lang w:val="en-US" w:eastAsia="zh-CN"/>
      </w:rPr>
      <w:t>24-</w:t>
    </w:r>
    <w:sdt>
      <w:sdtPr>
        <w:id w:val="-1"/>
      </w:sdtPr>
      <w:sdtContent>
        <w:r>
          <w:fldChar w:fldCharType="begin"/>
        </w:r>
        <w:r>
          <w:instrText xml:space="preserve">PAGE   \* MERGEFORMAT</w:instrText>
        </w:r>
        <w:r>
          <w:fldChar w:fldCharType="separate"/>
        </w:r>
        <w:r>
          <w:t>5</w:t>
        </w:r>
        <w:r>
          <w:fldChar w:fldCharType="end"/>
        </w:r>
      </w:sdtContent>
    </w:sdt>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D6E3B">
    <w:pPr>
      <w:pStyle w:val="27"/>
      <w:pBdr>
        <w:bottom w:val="none" w:color="auto" w:sz="0" w:space="0"/>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10B7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B98B13"/>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9767A">
    <w:pPr>
      <w:pStyle w:val="27"/>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931F6B"/>
    <w:multiLevelType w:val="multilevel"/>
    <w:tmpl w:val="0C931F6B"/>
    <w:lvl w:ilvl="0" w:tentative="0">
      <w:start w:val="1"/>
      <w:numFmt w:val="decimal"/>
      <w:pStyle w:val="35"/>
      <w:lvlText w:val="%1、"/>
      <w:lvlJc w:val="left"/>
      <w:pPr>
        <w:tabs>
          <w:tab w:val="left" w:pos="1045"/>
        </w:tabs>
        <w:ind w:left="288" w:firstLine="397"/>
      </w:pPr>
      <w:rPr>
        <w:rFonts w:hint="default"/>
      </w:rPr>
    </w:lvl>
    <w:lvl w:ilvl="1" w:tentative="0">
      <w:start w:val="1"/>
      <w:numFmt w:val="bullet"/>
      <w:lvlText w:val=""/>
      <w:lvlJc w:val="left"/>
      <w:pPr>
        <w:tabs>
          <w:tab w:val="left" w:pos="1128"/>
        </w:tabs>
        <w:ind w:left="1128" w:hanging="420"/>
      </w:pPr>
      <w:rPr>
        <w:rFonts w:hint="default" w:ascii="Wingdings" w:hAnsi="Wingdings"/>
        <w:b w:val="0"/>
        <w:i w:val="0"/>
        <w:sz w:val="15"/>
        <w:szCs w:val="15"/>
      </w:rPr>
    </w:lvl>
    <w:lvl w:ilvl="2" w:tentative="0">
      <w:start w:val="1"/>
      <w:numFmt w:val="lowerRoman"/>
      <w:lvlText w:val="%3."/>
      <w:lvlJc w:val="right"/>
      <w:pPr>
        <w:tabs>
          <w:tab w:val="left" w:pos="1548"/>
        </w:tabs>
        <w:ind w:left="1548" w:hanging="420"/>
      </w:pPr>
    </w:lvl>
    <w:lvl w:ilvl="3" w:tentative="0">
      <w:start w:val="1"/>
      <w:numFmt w:val="decimal"/>
      <w:lvlText w:val="%4."/>
      <w:lvlJc w:val="left"/>
      <w:pPr>
        <w:tabs>
          <w:tab w:val="left" w:pos="1968"/>
        </w:tabs>
        <w:ind w:left="1968" w:hanging="420"/>
      </w:pPr>
    </w:lvl>
    <w:lvl w:ilvl="4" w:tentative="0">
      <w:start w:val="1"/>
      <w:numFmt w:val="lowerLetter"/>
      <w:lvlText w:val="%5)"/>
      <w:lvlJc w:val="left"/>
      <w:pPr>
        <w:tabs>
          <w:tab w:val="left" w:pos="2388"/>
        </w:tabs>
        <w:ind w:left="2388" w:hanging="420"/>
      </w:pPr>
    </w:lvl>
    <w:lvl w:ilvl="5" w:tentative="0">
      <w:start w:val="1"/>
      <w:numFmt w:val="lowerRoman"/>
      <w:lvlText w:val="%6."/>
      <w:lvlJc w:val="right"/>
      <w:pPr>
        <w:tabs>
          <w:tab w:val="left" w:pos="2808"/>
        </w:tabs>
        <w:ind w:left="2808" w:hanging="420"/>
      </w:pPr>
    </w:lvl>
    <w:lvl w:ilvl="6" w:tentative="0">
      <w:start w:val="1"/>
      <w:numFmt w:val="decimal"/>
      <w:lvlText w:val="%7."/>
      <w:lvlJc w:val="left"/>
      <w:pPr>
        <w:tabs>
          <w:tab w:val="left" w:pos="3228"/>
        </w:tabs>
        <w:ind w:left="3228" w:hanging="420"/>
      </w:pPr>
    </w:lvl>
    <w:lvl w:ilvl="7" w:tentative="0">
      <w:start w:val="1"/>
      <w:numFmt w:val="lowerLetter"/>
      <w:lvlText w:val="%8)"/>
      <w:lvlJc w:val="left"/>
      <w:pPr>
        <w:tabs>
          <w:tab w:val="left" w:pos="3648"/>
        </w:tabs>
        <w:ind w:left="3648" w:hanging="420"/>
      </w:pPr>
    </w:lvl>
    <w:lvl w:ilvl="8" w:tentative="0">
      <w:start w:val="1"/>
      <w:numFmt w:val="lowerRoman"/>
      <w:lvlText w:val="%9."/>
      <w:lvlJc w:val="right"/>
      <w:pPr>
        <w:tabs>
          <w:tab w:val="left" w:pos="4068"/>
        </w:tabs>
        <w:ind w:left="4068" w:hanging="420"/>
      </w:pPr>
    </w:lvl>
  </w:abstractNum>
  <w:abstractNum w:abstractNumId="1">
    <w:nsid w:val="1A4038FD"/>
    <w:multiLevelType w:val="multilevel"/>
    <w:tmpl w:val="1A4038FD"/>
    <w:lvl w:ilvl="0" w:tentative="0">
      <w:start w:val="1"/>
      <w:numFmt w:val="japaneseCounting"/>
      <w:pStyle w:val="12"/>
      <w:lvlText w:val="%1、"/>
      <w:lvlJc w:val="left"/>
      <w:pPr>
        <w:tabs>
          <w:tab w:val="left" w:pos="3243"/>
        </w:tabs>
        <w:ind w:left="3243"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3DAC2829"/>
    <w:multiLevelType w:val="singleLevel"/>
    <w:tmpl w:val="3DAC2829"/>
    <w:lvl w:ilvl="0" w:tentative="0">
      <w:start w:val="1"/>
      <w:numFmt w:val="decimal"/>
      <w:pStyle w:val="18"/>
      <w:lvlText w:val="(%1)"/>
      <w:lvlJc w:val="left"/>
      <w:pPr>
        <w:tabs>
          <w:tab w:val="left" w:pos="907"/>
        </w:tabs>
        <w:ind w:left="907" w:hanging="482"/>
      </w:pPr>
      <w:rPr>
        <w:rFonts w:hint="default"/>
      </w:rPr>
    </w:lvl>
  </w:abstractNum>
  <w:abstractNum w:abstractNumId="3">
    <w:nsid w:val="48DC602A"/>
    <w:multiLevelType w:val="multilevel"/>
    <w:tmpl w:val="48DC602A"/>
    <w:lvl w:ilvl="0" w:tentative="0">
      <w:start w:val="1"/>
      <w:numFmt w:val="none"/>
      <w:suff w:val="nothing"/>
      <w:lvlText w:val=""/>
      <w:lvlJc w:val="left"/>
      <w:pPr>
        <w:ind w:left="0" w:firstLine="0"/>
      </w:pPr>
      <w:rPr>
        <w:rFonts w:hint="eastAsia" w:ascii="楷体_GB2312" w:eastAsia="@楷体_GB2312"/>
        <w:b/>
        <w:i w:val="0"/>
        <w:sz w:val="30"/>
      </w:rPr>
    </w:lvl>
    <w:lvl w:ilvl="1" w:tentative="0">
      <w:start w:val="1"/>
      <w:numFmt w:val="chineseCountingThousand"/>
      <w:suff w:val="nothing"/>
      <w:lvlText w:val="第%2章"/>
      <w:lvlJc w:val="left"/>
      <w:pPr>
        <w:ind w:left="0" w:firstLine="0"/>
      </w:pPr>
      <w:rPr>
        <w:rFonts w:hint="eastAsia" w:ascii="楷体_GB2312" w:eastAsia="@楷体_GB2312"/>
        <w:b/>
        <w:i w:val="0"/>
        <w:sz w:val="30"/>
      </w:rPr>
    </w:lvl>
    <w:lvl w:ilvl="2" w:tentative="0">
      <w:start w:val="1"/>
      <w:numFmt w:val="chineseCountingThousand"/>
      <w:suff w:val="nothing"/>
      <w:lvlText w:val="%3、"/>
      <w:lvlJc w:val="left"/>
      <w:pPr>
        <w:ind w:left="0" w:firstLine="0"/>
      </w:pPr>
      <w:rPr>
        <w:rFonts w:hint="eastAsia" w:ascii="楷体_GB2312" w:eastAsia="@楷体_GB2312"/>
        <w:b w:val="0"/>
        <w:i w:val="0"/>
        <w:sz w:val="28"/>
      </w:rPr>
    </w:lvl>
    <w:lvl w:ilvl="3" w:tentative="0">
      <w:start w:val="1"/>
      <w:numFmt w:val="chineseCountingThousand"/>
      <w:suff w:val="nothing"/>
      <w:lvlText w:val="（%4）"/>
      <w:lvlJc w:val="left"/>
      <w:pPr>
        <w:ind w:left="0" w:firstLine="0"/>
      </w:pPr>
      <w:rPr>
        <w:rFonts w:hint="eastAsia" w:ascii="楷体_GB2312" w:eastAsia="@楷体_GB2312"/>
        <w:b w:val="0"/>
        <w:i w:val="0"/>
        <w:sz w:val="24"/>
      </w:rPr>
    </w:lvl>
    <w:lvl w:ilvl="4" w:tentative="0">
      <w:start w:val="1"/>
      <w:numFmt w:val="decimal"/>
      <w:suff w:val="nothing"/>
      <w:lvlText w:val="%5、"/>
      <w:lvlJc w:val="left"/>
      <w:pPr>
        <w:ind w:left="0" w:firstLine="0"/>
      </w:pPr>
      <w:rPr>
        <w:rFonts w:hint="default" w:ascii="Times New Roman" w:hAnsi="Times New Roman"/>
        <w:b w:val="0"/>
        <w:i w:val="0"/>
        <w:sz w:val="24"/>
      </w:rPr>
    </w:lvl>
    <w:lvl w:ilvl="5" w:tentative="0">
      <w:start w:val="1"/>
      <w:numFmt w:val="decimal"/>
      <w:suff w:val="nothing"/>
      <w:lvlText w:val="（%6）"/>
      <w:lvlJc w:val="left"/>
      <w:pPr>
        <w:ind w:left="0" w:firstLine="0"/>
      </w:pPr>
      <w:rPr>
        <w:rFonts w:hint="default" w:ascii="Times New Roman" w:hAnsi="Times New Roman"/>
        <w:b w:val="0"/>
        <w:i w:val="0"/>
        <w:sz w:val="24"/>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4">
    <w:nsid w:val="6FBD6257"/>
    <w:multiLevelType w:val="multilevel"/>
    <w:tmpl w:val="6FBD6257"/>
    <w:lvl w:ilvl="0" w:tentative="0">
      <w:start w:val="1"/>
      <w:numFmt w:val="japaneseCounting"/>
      <w:lvlText w:val="%1、"/>
      <w:lvlJc w:val="left"/>
      <w:pPr>
        <w:ind w:left="872" w:hanging="450"/>
      </w:pPr>
      <w:rPr>
        <w:rFonts w:hint="default"/>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942"/>
    <w:rsid w:val="000F6DB0"/>
    <w:rsid w:val="00173A42"/>
    <w:rsid w:val="006900F4"/>
    <w:rsid w:val="00953D75"/>
    <w:rsid w:val="0095675C"/>
    <w:rsid w:val="00A24114"/>
    <w:rsid w:val="00CD570B"/>
    <w:rsid w:val="00EA4942"/>
    <w:rsid w:val="00F047CB"/>
    <w:rsid w:val="00FE52E0"/>
    <w:rsid w:val="032B053F"/>
    <w:rsid w:val="034E4ADA"/>
    <w:rsid w:val="0479182C"/>
    <w:rsid w:val="052B1C45"/>
    <w:rsid w:val="0B8528F2"/>
    <w:rsid w:val="10991198"/>
    <w:rsid w:val="113A0031"/>
    <w:rsid w:val="12E35D8C"/>
    <w:rsid w:val="136500B0"/>
    <w:rsid w:val="16404052"/>
    <w:rsid w:val="1B165C7C"/>
    <w:rsid w:val="1DB37ACF"/>
    <w:rsid w:val="1E28777D"/>
    <w:rsid w:val="2067212C"/>
    <w:rsid w:val="22CF79D5"/>
    <w:rsid w:val="2A361B6B"/>
    <w:rsid w:val="2A3D5C03"/>
    <w:rsid w:val="2D4E46DE"/>
    <w:rsid w:val="2D5C2236"/>
    <w:rsid w:val="2E8B099B"/>
    <w:rsid w:val="30B053E8"/>
    <w:rsid w:val="313708CB"/>
    <w:rsid w:val="31E42D3A"/>
    <w:rsid w:val="362535B4"/>
    <w:rsid w:val="39A9562B"/>
    <w:rsid w:val="3AD043A7"/>
    <w:rsid w:val="3BFD191E"/>
    <w:rsid w:val="3C0351EC"/>
    <w:rsid w:val="3CA37640"/>
    <w:rsid w:val="3E6B3412"/>
    <w:rsid w:val="3FFA1854"/>
    <w:rsid w:val="40606E51"/>
    <w:rsid w:val="4E1E76B5"/>
    <w:rsid w:val="4EB0155E"/>
    <w:rsid w:val="4EDC7FED"/>
    <w:rsid w:val="4F085349"/>
    <w:rsid w:val="506454BC"/>
    <w:rsid w:val="512963B4"/>
    <w:rsid w:val="52D61575"/>
    <w:rsid w:val="588D03AC"/>
    <w:rsid w:val="58C65D7D"/>
    <w:rsid w:val="58F93F11"/>
    <w:rsid w:val="5AEA0FCF"/>
    <w:rsid w:val="5FB4440F"/>
    <w:rsid w:val="6C007ED8"/>
    <w:rsid w:val="6C57118F"/>
    <w:rsid w:val="6DF83A11"/>
    <w:rsid w:val="6FD9000D"/>
    <w:rsid w:val="7409326A"/>
    <w:rsid w:val="74C54C7A"/>
    <w:rsid w:val="751760B8"/>
    <w:rsid w:val="761F24D9"/>
    <w:rsid w:val="776C74B4"/>
    <w:rsid w:val="78E31625"/>
    <w:rsid w:val="7A974C11"/>
    <w:rsid w:val="7C6769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qFormat="1" w:unhideWhenUsed="0" w:uiPriority="0" w:semiHidden="0"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qFormat="1"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qFormat="1"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qFormat="1"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qFormat="1"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6"/>
    <w:qFormat/>
    <w:uiPriority w:val="0"/>
    <w:pPr>
      <w:keepNext/>
      <w:keepLines/>
      <w:autoSpaceDE w:val="0"/>
      <w:autoSpaceDN w:val="0"/>
      <w:adjustRightInd w:val="0"/>
      <w:spacing w:before="360" w:after="360"/>
      <w:jc w:val="center"/>
      <w:textAlignment w:val="baseline"/>
      <w:outlineLvl w:val="0"/>
    </w:pPr>
    <w:rPr>
      <w:rFonts w:ascii="宋体" w:eastAsia="黑体"/>
      <w:kern w:val="0"/>
      <w:sz w:val="24"/>
      <w:szCs w:val="20"/>
    </w:rPr>
  </w:style>
  <w:style w:type="paragraph" w:styleId="3">
    <w:name w:val="heading 2"/>
    <w:basedOn w:val="1"/>
    <w:next w:val="1"/>
    <w:link w:val="57"/>
    <w:qFormat/>
    <w:uiPriority w:val="9"/>
    <w:pPr>
      <w:keepNext/>
      <w:keepLines/>
      <w:autoSpaceDE w:val="0"/>
      <w:autoSpaceDN w:val="0"/>
      <w:adjustRightInd w:val="0"/>
      <w:spacing w:before="240" w:after="240" w:line="360" w:lineRule="auto"/>
      <w:jc w:val="left"/>
      <w:textAlignment w:val="baseline"/>
      <w:outlineLvl w:val="1"/>
    </w:pPr>
    <w:rPr>
      <w:rFonts w:ascii="Arial" w:hAnsi="Arial" w:eastAsia="黑体"/>
      <w:b/>
      <w:kern w:val="0"/>
      <w:sz w:val="32"/>
      <w:szCs w:val="20"/>
      <w:lang w:val="zh-CN"/>
    </w:rPr>
  </w:style>
  <w:style w:type="paragraph" w:styleId="4">
    <w:name w:val="heading 3"/>
    <w:basedOn w:val="1"/>
    <w:next w:val="1"/>
    <w:link w:val="58"/>
    <w:qFormat/>
    <w:uiPriority w:val="0"/>
    <w:pPr>
      <w:keepNext/>
      <w:keepLines/>
      <w:spacing w:before="260" w:after="260" w:line="416" w:lineRule="auto"/>
      <w:outlineLvl w:val="2"/>
    </w:pPr>
    <w:rPr>
      <w:b/>
      <w:bCs/>
      <w:szCs w:val="32"/>
    </w:rPr>
  </w:style>
  <w:style w:type="paragraph" w:styleId="5">
    <w:name w:val="heading 4"/>
    <w:basedOn w:val="1"/>
    <w:next w:val="1"/>
    <w:link w:val="59"/>
    <w:qFormat/>
    <w:uiPriority w:val="0"/>
    <w:pPr>
      <w:keepNext/>
      <w:keepLines/>
      <w:autoSpaceDE w:val="0"/>
      <w:autoSpaceDN w:val="0"/>
      <w:adjustRightInd w:val="0"/>
      <w:spacing w:before="280" w:after="290" w:line="376" w:lineRule="auto"/>
      <w:textAlignment w:val="baseline"/>
      <w:outlineLvl w:val="3"/>
    </w:pPr>
    <w:rPr>
      <w:rFonts w:ascii="Arial" w:hAnsi="Arial" w:eastAsia="黑体"/>
      <w:b/>
      <w:kern w:val="0"/>
      <w:sz w:val="28"/>
      <w:szCs w:val="20"/>
    </w:rPr>
  </w:style>
  <w:style w:type="paragraph" w:styleId="6">
    <w:name w:val="heading 5"/>
    <w:basedOn w:val="1"/>
    <w:next w:val="1"/>
    <w:link w:val="60"/>
    <w:qFormat/>
    <w:uiPriority w:val="0"/>
    <w:pPr>
      <w:keepNext/>
      <w:keepLines/>
      <w:autoSpaceDE w:val="0"/>
      <w:autoSpaceDN w:val="0"/>
      <w:adjustRightInd w:val="0"/>
      <w:spacing w:before="280" w:after="290" w:line="376" w:lineRule="auto"/>
      <w:textAlignment w:val="baseline"/>
      <w:outlineLvl w:val="4"/>
    </w:pPr>
    <w:rPr>
      <w:rFonts w:ascii="宋体"/>
      <w:b/>
      <w:kern w:val="0"/>
      <w:sz w:val="28"/>
      <w:szCs w:val="20"/>
    </w:rPr>
  </w:style>
  <w:style w:type="paragraph" w:styleId="7">
    <w:name w:val="heading 6"/>
    <w:basedOn w:val="1"/>
    <w:next w:val="1"/>
    <w:link w:val="61"/>
    <w:qFormat/>
    <w:uiPriority w:val="0"/>
    <w:pPr>
      <w:keepNext/>
      <w:keepLines/>
      <w:autoSpaceDE w:val="0"/>
      <w:autoSpaceDN w:val="0"/>
      <w:adjustRightInd w:val="0"/>
      <w:spacing w:before="240" w:after="64" w:line="320" w:lineRule="auto"/>
      <w:textAlignment w:val="baseline"/>
      <w:outlineLvl w:val="5"/>
    </w:pPr>
    <w:rPr>
      <w:rFonts w:ascii="Arial" w:hAnsi="Arial" w:eastAsia="黑体"/>
      <w:b/>
      <w:kern w:val="0"/>
      <w:sz w:val="24"/>
      <w:szCs w:val="20"/>
    </w:rPr>
  </w:style>
  <w:style w:type="paragraph" w:styleId="8">
    <w:name w:val="heading 7"/>
    <w:basedOn w:val="1"/>
    <w:next w:val="1"/>
    <w:link w:val="62"/>
    <w:qFormat/>
    <w:uiPriority w:val="0"/>
    <w:pPr>
      <w:keepNext/>
      <w:keepLines/>
      <w:autoSpaceDE w:val="0"/>
      <w:autoSpaceDN w:val="0"/>
      <w:adjustRightInd w:val="0"/>
      <w:spacing w:before="240" w:after="64" w:line="320" w:lineRule="auto"/>
      <w:textAlignment w:val="baseline"/>
      <w:outlineLvl w:val="6"/>
    </w:pPr>
    <w:rPr>
      <w:rFonts w:ascii="宋体"/>
      <w:b/>
      <w:kern w:val="0"/>
      <w:sz w:val="24"/>
      <w:szCs w:val="20"/>
    </w:rPr>
  </w:style>
  <w:style w:type="paragraph" w:styleId="9">
    <w:name w:val="heading 8"/>
    <w:basedOn w:val="1"/>
    <w:next w:val="1"/>
    <w:link w:val="63"/>
    <w:qFormat/>
    <w:uiPriority w:val="0"/>
    <w:pPr>
      <w:keepNext/>
      <w:keepLines/>
      <w:autoSpaceDE w:val="0"/>
      <w:autoSpaceDN w:val="0"/>
      <w:adjustRightInd w:val="0"/>
      <w:spacing w:before="240" w:after="64" w:line="320" w:lineRule="auto"/>
      <w:textAlignment w:val="baseline"/>
      <w:outlineLvl w:val="7"/>
    </w:pPr>
    <w:rPr>
      <w:rFonts w:ascii="Arial" w:hAnsi="Arial" w:eastAsia="黑体"/>
      <w:kern w:val="0"/>
      <w:sz w:val="24"/>
      <w:szCs w:val="20"/>
    </w:rPr>
  </w:style>
  <w:style w:type="paragraph" w:styleId="10">
    <w:name w:val="heading 9"/>
    <w:basedOn w:val="1"/>
    <w:next w:val="1"/>
    <w:link w:val="64"/>
    <w:qFormat/>
    <w:uiPriority w:val="0"/>
    <w:pPr>
      <w:keepNext/>
      <w:keepLines/>
      <w:autoSpaceDE w:val="0"/>
      <w:autoSpaceDN w:val="0"/>
      <w:adjustRightInd w:val="0"/>
      <w:spacing w:before="240" w:after="64" w:line="320" w:lineRule="auto"/>
      <w:textAlignment w:val="baseline"/>
      <w:outlineLvl w:val="8"/>
    </w:pPr>
    <w:rPr>
      <w:rFonts w:ascii="Arial" w:hAnsi="Arial" w:eastAsia="黑体"/>
      <w:kern w:val="0"/>
      <w:szCs w:val="20"/>
    </w:rPr>
  </w:style>
  <w:style w:type="character" w:default="1" w:styleId="48">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spacing w:after="120" w:line="360" w:lineRule="auto"/>
      <w:ind w:left="2520" w:firstLine="480"/>
    </w:pPr>
    <w:rPr>
      <w:rFonts w:ascii="宋体" w:hAnsi="宋体" w:cs="Arial"/>
      <w:bCs/>
      <w:color w:val="000000"/>
      <w:kern w:val="0"/>
      <w:szCs w:val="21"/>
      <w:lang w:val="zh-CN"/>
    </w:rPr>
  </w:style>
  <w:style w:type="paragraph" w:styleId="12">
    <w:name w:val="Normal Indent"/>
    <w:basedOn w:val="1"/>
    <w:qFormat/>
    <w:uiPriority w:val="0"/>
    <w:pPr>
      <w:numPr>
        <w:ilvl w:val="0"/>
        <w:numId w:val="1"/>
      </w:numPr>
      <w:tabs>
        <w:tab w:val="clear" w:pos="3243"/>
      </w:tabs>
      <w:ind w:left="0" w:firstLine="420"/>
    </w:pPr>
    <w:rPr>
      <w:szCs w:val="20"/>
    </w:rPr>
  </w:style>
  <w:style w:type="paragraph" w:styleId="13">
    <w:name w:val="List Bullet"/>
    <w:basedOn w:val="1"/>
    <w:qFormat/>
    <w:uiPriority w:val="0"/>
    <w:pPr>
      <w:tabs>
        <w:tab w:val="left" w:pos="360"/>
      </w:tabs>
      <w:autoSpaceDE w:val="0"/>
      <w:autoSpaceDN w:val="0"/>
      <w:adjustRightInd w:val="0"/>
      <w:spacing w:after="120"/>
      <w:ind w:left="360" w:hanging="360" w:hangingChars="200"/>
      <w:textAlignment w:val="baseline"/>
    </w:pPr>
    <w:rPr>
      <w:rFonts w:ascii="宋体"/>
      <w:kern w:val="0"/>
      <w:sz w:val="28"/>
      <w:szCs w:val="20"/>
    </w:rPr>
  </w:style>
  <w:style w:type="paragraph" w:styleId="14">
    <w:name w:val="Document Map"/>
    <w:basedOn w:val="1"/>
    <w:link w:val="107"/>
    <w:qFormat/>
    <w:uiPriority w:val="0"/>
    <w:pPr>
      <w:shd w:val="clear" w:color="auto" w:fill="000080"/>
      <w:spacing w:after="120" w:line="360" w:lineRule="auto"/>
      <w:ind w:firstLine="480"/>
    </w:pPr>
    <w:rPr>
      <w:rFonts w:ascii="宋体" w:hAnsi="宋体"/>
      <w:bCs/>
      <w:color w:val="000000"/>
      <w:kern w:val="0"/>
      <w:szCs w:val="21"/>
      <w:lang w:val="zh-CN"/>
    </w:rPr>
  </w:style>
  <w:style w:type="paragraph" w:styleId="15">
    <w:name w:val="annotation text"/>
    <w:basedOn w:val="1"/>
    <w:link w:val="100"/>
    <w:qFormat/>
    <w:uiPriority w:val="0"/>
    <w:pPr>
      <w:jc w:val="left"/>
    </w:pPr>
    <w:rPr>
      <w:lang w:val="zh-CN"/>
    </w:rPr>
  </w:style>
  <w:style w:type="paragraph" w:styleId="16">
    <w:name w:val="Body Text"/>
    <w:basedOn w:val="1"/>
    <w:next w:val="17"/>
    <w:link w:val="69"/>
    <w:qFormat/>
    <w:uiPriority w:val="99"/>
    <w:rPr>
      <w:rFonts w:ascii="宋体" w:hAnsi="宋体"/>
      <w:kern w:val="0"/>
      <w:sz w:val="24"/>
      <w:szCs w:val="21"/>
      <w:lang w:val="zh-CN"/>
    </w:rPr>
  </w:style>
  <w:style w:type="paragraph" w:styleId="17">
    <w:name w:val="toc 5"/>
    <w:basedOn w:val="1"/>
    <w:next w:val="1"/>
    <w:qFormat/>
    <w:uiPriority w:val="0"/>
    <w:pPr>
      <w:spacing w:after="120" w:line="360" w:lineRule="auto"/>
      <w:ind w:left="1680" w:firstLine="480"/>
    </w:pPr>
    <w:rPr>
      <w:rFonts w:ascii="宋体" w:hAnsi="宋体" w:cs="Arial"/>
      <w:bCs/>
      <w:color w:val="000000"/>
      <w:kern w:val="0"/>
      <w:szCs w:val="21"/>
      <w:lang w:val="zh-CN"/>
    </w:rPr>
  </w:style>
  <w:style w:type="paragraph" w:styleId="18">
    <w:name w:val="Body Text Indent"/>
    <w:basedOn w:val="1"/>
    <w:link w:val="70"/>
    <w:qFormat/>
    <w:uiPriority w:val="0"/>
    <w:pPr>
      <w:numPr>
        <w:ilvl w:val="0"/>
        <w:numId w:val="2"/>
      </w:numPr>
      <w:tabs>
        <w:tab w:val="clear" w:pos="907"/>
      </w:tabs>
      <w:ind w:left="0" w:firstLine="540"/>
    </w:pPr>
    <w:rPr>
      <w:sz w:val="24"/>
      <w:szCs w:val="20"/>
    </w:rPr>
  </w:style>
  <w:style w:type="paragraph" w:styleId="19">
    <w:name w:val="toc 3"/>
    <w:basedOn w:val="1"/>
    <w:next w:val="1"/>
    <w:qFormat/>
    <w:uiPriority w:val="39"/>
    <w:pPr>
      <w:spacing w:after="120" w:line="360" w:lineRule="auto"/>
      <w:ind w:left="840" w:firstLine="480"/>
    </w:pPr>
    <w:rPr>
      <w:rFonts w:ascii="宋体" w:hAnsi="宋体" w:cs="Arial"/>
      <w:bCs/>
      <w:color w:val="000000"/>
      <w:kern w:val="0"/>
      <w:szCs w:val="21"/>
      <w:lang w:val="zh-CN"/>
    </w:rPr>
  </w:style>
  <w:style w:type="paragraph" w:styleId="20">
    <w:name w:val="Plain Text"/>
    <w:basedOn w:val="1"/>
    <w:link w:val="87"/>
    <w:qFormat/>
    <w:uiPriority w:val="0"/>
    <w:pPr>
      <w:widowControl/>
      <w:spacing w:before="100" w:beforeAutospacing="1" w:after="100" w:afterAutospacing="1"/>
      <w:jc w:val="left"/>
    </w:pPr>
    <w:rPr>
      <w:rFonts w:ascii="Arial Unicode MS" w:hAnsi="Arial Unicode MS" w:eastAsia="Arial Unicode MS"/>
      <w:kern w:val="0"/>
      <w:sz w:val="24"/>
      <w:lang w:val="zh-CN"/>
    </w:rPr>
  </w:style>
  <w:style w:type="paragraph" w:styleId="21">
    <w:name w:val="toc 8"/>
    <w:basedOn w:val="1"/>
    <w:next w:val="1"/>
    <w:qFormat/>
    <w:uiPriority w:val="0"/>
    <w:pPr>
      <w:spacing w:after="120" w:line="360" w:lineRule="auto"/>
      <w:ind w:left="2940" w:firstLine="480"/>
    </w:pPr>
    <w:rPr>
      <w:rFonts w:ascii="宋体" w:hAnsi="宋体" w:cs="Arial"/>
      <w:bCs/>
      <w:color w:val="000000"/>
      <w:kern w:val="0"/>
      <w:szCs w:val="21"/>
      <w:lang w:val="zh-CN"/>
    </w:rPr>
  </w:style>
  <w:style w:type="paragraph" w:styleId="22">
    <w:name w:val="Date"/>
    <w:basedOn w:val="1"/>
    <w:next w:val="1"/>
    <w:link w:val="68"/>
    <w:qFormat/>
    <w:uiPriority w:val="0"/>
    <w:pPr>
      <w:ind w:left="100" w:leftChars="2500"/>
    </w:pPr>
    <w:rPr>
      <w:rFonts w:ascii="宋体" w:hAnsi="宋体"/>
      <w:kern w:val="0"/>
      <w:sz w:val="24"/>
      <w:szCs w:val="21"/>
      <w:lang w:val="zh-CN"/>
    </w:rPr>
  </w:style>
  <w:style w:type="paragraph" w:styleId="23">
    <w:name w:val="Body Text Indent 2"/>
    <w:basedOn w:val="1"/>
    <w:link w:val="74"/>
    <w:qFormat/>
    <w:uiPriority w:val="0"/>
    <w:pPr>
      <w:tabs>
        <w:tab w:val="left" w:pos="1110"/>
      </w:tabs>
      <w:spacing w:line="360" w:lineRule="auto"/>
      <w:ind w:firstLine="420" w:firstLineChars="200"/>
    </w:pPr>
    <w:rPr>
      <w:rFonts w:ascii="宋体" w:hAnsi="宋体"/>
      <w:color w:val="FF0000"/>
    </w:rPr>
  </w:style>
  <w:style w:type="paragraph" w:styleId="24">
    <w:name w:val="endnote text"/>
    <w:basedOn w:val="1"/>
    <w:link w:val="113"/>
    <w:qFormat/>
    <w:uiPriority w:val="0"/>
    <w:pPr>
      <w:snapToGrid w:val="0"/>
      <w:jc w:val="left"/>
    </w:pPr>
    <w:rPr>
      <w:szCs w:val="20"/>
      <w:lang w:val="zh-CN"/>
    </w:rPr>
  </w:style>
  <w:style w:type="paragraph" w:styleId="25">
    <w:name w:val="Balloon Text"/>
    <w:basedOn w:val="1"/>
    <w:link w:val="97"/>
    <w:semiHidden/>
    <w:qFormat/>
    <w:uiPriority w:val="0"/>
    <w:rPr>
      <w:sz w:val="18"/>
      <w:szCs w:val="18"/>
    </w:rPr>
  </w:style>
  <w:style w:type="paragraph" w:styleId="26">
    <w:name w:val="footer"/>
    <w:basedOn w:val="1"/>
    <w:link w:val="67"/>
    <w:qFormat/>
    <w:uiPriority w:val="99"/>
    <w:pPr>
      <w:tabs>
        <w:tab w:val="center" w:pos="4153"/>
        <w:tab w:val="right" w:pos="8306"/>
      </w:tabs>
      <w:snapToGrid w:val="0"/>
      <w:jc w:val="left"/>
    </w:pPr>
    <w:rPr>
      <w:sz w:val="18"/>
      <w:szCs w:val="18"/>
      <w:lang w:val="zh-CN"/>
    </w:rPr>
  </w:style>
  <w:style w:type="paragraph" w:styleId="27">
    <w:name w:val="header"/>
    <w:basedOn w:val="1"/>
    <w:link w:val="66"/>
    <w:qFormat/>
    <w:uiPriority w:val="99"/>
    <w:pPr>
      <w:pBdr>
        <w:bottom w:val="single" w:color="auto" w:sz="6" w:space="1"/>
      </w:pBdr>
      <w:tabs>
        <w:tab w:val="center" w:pos="4153"/>
        <w:tab w:val="right" w:pos="8306"/>
      </w:tabs>
      <w:snapToGrid w:val="0"/>
      <w:jc w:val="center"/>
    </w:pPr>
    <w:rPr>
      <w:sz w:val="18"/>
      <w:szCs w:val="18"/>
      <w:lang w:val="zh-CN"/>
    </w:rPr>
  </w:style>
  <w:style w:type="paragraph" w:styleId="28">
    <w:name w:val="toc 1"/>
    <w:basedOn w:val="1"/>
    <w:next w:val="1"/>
    <w:qFormat/>
    <w:uiPriority w:val="39"/>
    <w:pPr>
      <w:tabs>
        <w:tab w:val="right" w:leader="dot" w:pos="8295"/>
      </w:tabs>
      <w:snapToGrid w:val="0"/>
      <w:spacing w:line="360" w:lineRule="auto"/>
    </w:pPr>
    <w:rPr>
      <w:rFonts w:ascii="宋体" w:hAnsi="宋体"/>
      <w:caps/>
      <w:sz w:val="24"/>
    </w:rPr>
  </w:style>
  <w:style w:type="paragraph" w:styleId="29">
    <w:name w:val="toc 4"/>
    <w:basedOn w:val="1"/>
    <w:next w:val="1"/>
    <w:qFormat/>
    <w:uiPriority w:val="0"/>
    <w:pPr>
      <w:spacing w:after="120" w:line="360" w:lineRule="auto"/>
      <w:ind w:left="1260" w:firstLine="480"/>
    </w:pPr>
    <w:rPr>
      <w:rFonts w:ascii="宋体" w:hAnsi="宋体" w:cs="Arial"/>
      <w:bCs/>
      <w:color w:val="000000"/>
      <w:kern w:val="0"/>
      <w:szCs w:val="21"/>
      <w:lang w:val="zh-CN"/>
    </w:rPr>
  </w:style>
  <w:style w:type="paragraph" w:styleId="30">
    <w:name w:val="footnote text"/>
    <w:basedOn w:val="1"/>
    <w:link w:val="94"/>
    <w:qFormat/>
    <w:uiPriority w:val="0"/>
    <w:pPr>
      <w:snapToGrid w:val="0"/>
      <w:jc w:val="left"/>
    </w:pPr>
    <w:rPr>
      <w:sz w:val="18"/>
      <w:szCs w:val="18"/>
      <w:lang w:val="zh-CN"/>
    </w:rPr>
  </w:style>
  <w:style w:type="paragraph" w:styleId="31">
    <w:name w:val="toc 6"/>
    <w:basedOn w:val="1"/>
    <w:next w:val="1"/>
    <w:qFormat/>
    <w:uiPriority w:val="0"/>
    <w:pPr>
      <w:spacing w:after="120" w:line="360" w:lineRule="auto"/>
      <w:ind w:left="2100" w:firstLine="480"/>
    </w:pPr>
    <w:rPr>
      <w:rFonts w:ascii="宋体" w:hAnsi="宋体" w:cs="Arial"/>
      <w:bCs/>
      <w:color w:val="000000"/>
      <w:kern w:val="0"/>
      <w:szCs w:val="21"/>
      <w:lang w:val="zh-CN"/>
    </w:rPr>
  </w:style>
  <w:style w:type="paragraph" w:styleId="32">
    <w:name w:val="Body Text Indent 3"/>
    <w:basedOn w:val="1"/>
    <w:link w:val="76"/>
    <w:qFormat/>
    <w:uiPriority w:val="0"/>
    <w:pPr>
      <w:spacing w:line="360" w:lineRule="auto"/>
      <w:ind w:firstLine="425"/>
    </w:pPr>
    <w:rPr>
      <w:rFonts w:ascii="宋体"/>
    </w:rPr>
  </w:style>
  <w:style w:type="paragraph" w:styleId="33">
    <w:name w:val="toc 2"/>
    <w:basedOn w:val="1"/>
    <w:next w:val="1"/>
    <w:qFormat/>
    <w:uiPriority w:val="39"/>
    <w:pPr>
      <w:spacing w:after="120" w:line="360" w:lineRule="auto"/>
      <w:ind w:left="420" w:firstLine="480"/>
    </w:pPr>
    <w:rPr>
      <w:rFonts w:ascii="宋体" w:hAnsi="宋体" w:cs="Arial"/>
      <w:bCs/>
      <w:color w:val="000000"/>
      <w:kern w:val="0"/>
      <w:szCs w:val="21"/>
      <w:lang w:val="zh-CN"/>
    </w:rPr>
  </w:style>
  <w:style w:type="paragraph" w:styleId="34">
    <w:name w:val="toc 9"/>
    <w:basedOn w:val="1"/>
    <w:next w:val="1"/>
    <w:qFormat/>
    <w:uiPriority w:val="0"/>
    <w:pPr>
      <w:spacing w:after="120" w:line="360" w:lineRule="auto"/>
      <w:ind w:left="3360" w:firstLine="480"/>
    </w:pPr>
    <w:rPr>
      <w:rFonts w:ascii="宋体" w:hAnsi="宋体" w:cs="Arial"/>
      <w:bCs/>
      <w:color w:val="000000"/>
      <w:kern w:val="0"/>
      <w:szCs w:val="21"/>
      <w:lang w:val="zh-CN"/>
    </w:rPr>
  </w:style>
  <w:style w:type="paragraph" w:styleId="35">
    <w:name w:val="Body Text 2"/>
    <w:basedOn w:val="1"/>
    <w:link w:val="71"/>
    <w:qFormat/>
    <w:uiPriority w:val="0"/>
    <w:pPr>
      <w:numPr>
        <w:ilvl w:val="0"/>
        <w:numId w:val="3"/>
      </w:numPr>
      <w:ind w:firstLine="0"/>
    </w:pPr>
    <w:rPr>
      <w:sz w:val="28"/>
      <w:szCs w:val="20"/>
    </w:rPr>
  </w:style>
  <w:style w:type="paragraph" w:styleId="36">
    <w:name w:val="HTML Preformatted"/>
    <w:basedOn w:val="1"/>
    <w:link w:val="13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eastAsiaTheme="minorEastAsia"/>
      <w:sz w:val="24"/>
    </w:rPr>
  </w:style>
  <w:style w:type="paragraph" w:styleId="37">
    <w:name w:val="Normal (Web)"/>
    <w:basedOn w:val="1"/>
    <w:qFormat/>
    <w:uiPriority w:val="99"/>
    <w:pPr>
      <w:widowControl/>
      <w:spacing w:before="100" w:beforeAutospacing="1" w:after="100" w:afterAutospacing="1"/>
      <w:jc w:val="left"/>
    </w:pPr>
    <w:rPr>
      <w:rFonts w:ascii="宋体" w:hAnsi="宋体"/>
      <w:kern w:val="0"/>
      <w:sz w:val="24"/>
    </w:rPr>
  </w:style>
  <w:style w:type="paragraph" w:styleId="38">
    <w:name w:val="Title"/>
    <w:basedOn w:val="1"/>
    <w:link w:val="80"/>
    <w:qFormat/>
    <w:uiPriority w:val="0"/>
    <w:pPr>
      <w:autoSpaceDE w:val="0"/>
      <w:autoSpaceDN w:val="0"/>
      <w:adjustRightInd w:val="0"/>
      <w:spacing w:before="240" w:after="60"/>
      <w:jc w:val="center"/>
      <w:textAlignment w:val="baseline"/>
      <w:outlineLvl w:val="0"/>
    </w:pPr>
    <w:rPr>
      <w:rFonts w:ascii="Arial" w:hAnsi="Arial"/>
      <w:b/>
      <w:bCs/>
      <w:kern w:val="0"/>
      <w:sz w:val="32"/>
      <w:szCs w:val="32"/>
      <w:lang w:val="zh-CN"/>
    </w:rPr>
  </w:style>
  <w:style w:type="paragraph" w:styleId="39">
    <w:name w:val="annotation subject"/>
    <w:basedOn w:val="15"/>
    <w:next w:val="15"/>
    <w:link w:val="101"/>
    <w:qFormat/>
    <w:uiPriority w:val="0"/>
    <w:rPr>
      <w:b/>
      <w:bCs/>
    </w:rPr>
  </w:style>
  <w:style w:type="paragraph" w:styleId="40">
    <w:name w:val="Body Text First Indent"/>
    <w:basedOn w:val="16"/>
    <w:link w:val="103"/>
    <w:qFormat/>
    <w:uiPriority w:val="0"/>
    <w:pPr>
      <w:spacing w:after="120"/>
      <w:ind w:firstLine="420" w:firstLineChars="100"/>
    </w:pPr>
    <w:rPr>
      <w:rFonts w:ascii="Times New Roman" w:hAnsi="Times New Roman"/>
      <w:kern w:val="2"/>
      <w:sz w:val="21"/>
      <w:szCs w:val="24"/>
    </w:rPr>
  </w:style>
  <w:style w:type="table" w:styleId="42">
    <w:name w:val="Table Grid"/>
    <w:basedOn w:val="41"/>
    <w:qFormat/>
    <w:uiPriority w:val="0"/>
    <w:pPr>
      <w:numPr>
        <w:ilvl w:val="3"/>
        <w:numId w:val="4"/>
      </w:numPr>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3">
    <w:name w:val="Table Theme"/>
    <w:basedOn w:val="4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4">
    <w:name w:val="Table Colorful 1"/>
    <w:basedOn w:val="41"/>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45">
    <w:name w:val="Table Subtle 1"/>
    <w:basedOn w:val="41"/>
    <w:semiHidden/>
    <w:unhideWhenUsed/>
    <w:qFormat/>
    <w:uiPriority w:val="99"/>
    <w:pPr>
      <w:widowControl w:val="0"/>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46">
    <w:name w:val="Light List Accent 5"/>
    <w:basedOn w:val="41"/>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47">
    <w:name w:val="Colorful List Accent 2"/>
    <w:basedOn w:val="45"/>
    <w:qFormat/>
    <w:uiPriority w:val="72"/>
    <w:rPr>
      <w:rFonts w:eastAsia="微软雅黑"/>
      <w:color w:val="000000" w:themeColor="text1"/>
      <w:sz w:val="16"/>
      <w14:textFill>
        <w14:solidFill>
          <w14:schemeClr w14:val="tx1"/>
        </w14:solidFill>
      </w14:textFill>
    </w:rPr>
    <w:tblPr>
      <w:tblStyleRowBandSize w:val="1"/>
      <w:tblStyleColBandSize w:val="1"/>
    </w:tblPr>
    <w:tcPr>
      <w:shd w:val="clear" w:color="auto" w:fill="F8EDED" w:themeFill="accent2" w:themeFillTint="19"/>
    </w:tcPr>
    <w:tblStylePr w:type="firstRow">
      <w:rPr>
        <w:rFonts w:eastAsia="微软雅黑"/>
        <w:b/>
        <w:bCs/>
        <w:color w:val="FFFFFF" w:themeColor="background1"/>
        <w14:textFill>
          <w14:solidFill>
            <w14:schemeClr w14:val="bg1"/>
          </w14:solidFill>
        </w14:textFill>
      </w:rPr>
      <w:tblPr/>
      <w:tcPr>
        <w:tcBorders>
          <w:top w:val="nil"/>
          <w:left w:val="nil"/>
          <w:bottom w:val="nil"/>
          <w:right w:val="nil"/>
          <w:insideH w:val="nil"/>
          <w:insideV w:val="nil"/>
          <w:tl2br w:val="nil"/>
          <w:tr2bl w:val="nil"/>
        </w:tcBorders>
        <w:shd w:val="clear" w:color="auto" w:fill="C00000"/>
      </w:tcPr>
    </w:tblStylePr>
    <w:tblStylePr w:type="lastRow">
      <w:rPr>
        <w:b/>
        <w:bCs/>
        <w:color w:val="auto"/>
      </w:rPr>
      <w:tblPr/>
      <w:tcPr>
        <w:tcBorders>
          <w:top w:val="nil"/>
          <w:left w:val="nil"/>
          <w:bottom w:val="nil"/>
          <w:right w:val="nil"/>
          <w:insideH w:val="nil"/>
          <w:insideV w:val="nil"/>
          <w:tl2br w:val="nil"/>
          <w:tr2bl w:val="nil"/>
        </w:tcBorders>
        <w:shd w:val="clear" w:color="auto" w:fill="D8D8D8" w:themeFill="background1" w:themeFillShade="D9"/>
      </w:tcPr>
    </w:tblStylePr>
    <w:tblStylePr w:type="firstCol">
      <w:rPr>
        <w:b/>
        <w:bCs/>
      </w:rPr>
      <w:tcPr>
        <w:tcBorders>
          <w:right w:val="single" w:color="000000" w:sz="12" w:space="0"/>
          <w:tl2br w:val="nil"/>
          <w:tr2bl w:val="nil"/>
        </w:tcBorders>
      </w:tcPr>
    </w:tblStylePr>
    <w:tblStylePr w:type="lastCol">
      <w:rPr>
        <w:b/>
        <w:bCs/>
      </w:rPr>
      <w:tcPr>
        <w:tcBorders>
          <w:top w:val="nil"/>
          <w:left w:val="nil"/>
          <w:bottom w:val="nil"/>
          <w:right w:val="nil"/>
          <w:insideH w:val="nil"/>
          <w:insideV w:val="nil"/>
          <w:tl2br w:val="nil"/>
          <w:tr2bl w:val="nil"/>
        </w:tcBorders>
        <w:shd w:val="clear" w:color="auto" w:fill="D8D8D8" w:themeFill="background1" w:themeFillShade="D9"/>
      </w:tcPr>
    </w:tblStylePr>
    <w:tblStylePr w:type="band1Vert">
      <w:tblPr/>
      <w:tcPr>
        <w:tcBorders>
          <w:top w:val="nil"/>
          <w:left w:val="nil"/>
          <w:bottom w:val="nil"/>
          <w:right w:val="nil"/>
          <w:insideH w:val="nil"/>
          <w:insideV w:val="nil"/>
        </w:tcBorders>
        <w:shd w:val="clear" w:color="auto" w:fill="EFD3D2"/>
      </w:tcPr>
    </w:tblStylePr>
    <w:tblStylePr w:type="band1Horz">
      <w:tblPr/>
      <w:tcPr>
        <w:tcBorders>
          <w:top w:val="single" w:color="F1F1F1" w:themeColor="background1" w:themeShade="F2" w:sz="4" w:space="0"/>
          <w:left w:val="nil"/>
          <w:bottom w:val="single" w:color="F1F1F1" w:themeColor="background1" w:themeShade="F2" w:sz="4" w:space="0"/>
          <w:right w:val="nil"/>
          <w:insideH w:val="nil"/>
          <w:insideV w:val="nil"/>
          <w:tl2br w:val="nil"/>
          <w:tr2bl w:val="nil"/>
        </w:tcBorders>
        <w:shd w:val="clear" w:color="auto" w:fill="FFFFFF" w:themeFill="background1"/>
      </w:tcPr>
    </w:tblStylePr>
    <w:tblStylePr w:type="band2Horz">
      <w:tcPr>
        <w:tcBorders>
          <w:top w:val="nil"/>
          <w:bottom w:val="nil"/>
        </w:tcBorders>
        <w:shd w:val="clear" w:color="auto" w:fill="F1F1F1" w:themeFill="background1" w:themeFillShade="F2"/>
      </w:tcPr>
    </w:tblStylePr>
    <w:tblStylePr w:type="neCell">
      <w:rPr>
        <w:b/>
        <w:bCs/>
      </w:rPr>
      <w:tcPr>
        <w:tcBorders>
          <w:tl2br w:val="nil"/>
          <w:tr2bl w:val="nil"/>
        </w:tcBorders>
      </w:tcPr>
    </w:tblStylePr>
    <w:tblStylePr w:type="swCell">
      <w:rPr>
        <w:b/>
        <w:bCs/>
      </w:rPr>
      <w:tcPr>
        <w:tcBorders>
          <w:tl2br w:val="nil"/>
          <w:tr2bl w:val="nil"/>
        </w:tcBorders>
      </w:tcPr>
    </w:tblStylePr>
  </w:style>
  <w:style w:type="character" w:styleId="49">
    <w:name w:val="Strong"/>
    <w:basedOn w:val="48"/>
    <w:qFormat/>
    <w:uiPriority w:val="22"/>
    <w:rPr>
      <w:b/>
      <w:bCs/>
    </w:rPr>
  </w:style>
  <w:style w:type="character" w:styleId="50">
    <w:name w:val="endnote reference"/>
    <w:qFormat/>
    <w:uiPriority w:val="0"/>
    <w:rPr>
      <w:vertAlign w:val="superscript"/>
    </w:rPr>
  </w:style>
  <w:style w:type="character" w:styleId="51">
    <w:name w:val="page number"/>
    <w:basedOn w:val="48"/>
    <w:qFormat/>
    <w:uiPriority w:val="0"/>
  </w:style>
  <w:style w:type="character" w:styleId="52">
    <w:name w:val="FollowedHyperlink"/>
    <w:basedOn w:val="48"/>
    <w:semiHidden/>
    <w:unhideWhenUsed/>
    <w:qFormat/>
    <w:uiPriority w:val="99"/>
    <w:rPr>
      <w:color w:val="800080" w:themeColor="followedHyperlink"/>
      <w:u w:val="single"/>
      <w14:textFill>
        <w14:solidFill>
          <w14:schemeClr w14:val="folHlink"/>
        </w14:solidFill>
      </w14:textFill>
    </w:rPr>
  </w:style>
  <w:style w:type="character" w:styleId="53">
    <w:name w:val="Hyperlink"/>
    <w:qFormat/>
    <w:uiPriority w:val="99"/>
    <w:rPr>
      <w:color w:val="0000FF"/>
      <w:u w:val="single"/>
    </w:rPr>
  </w:style>
  <w:style w:type="character" w:styleId="54">
    <w:name w:val="annotation reference"/>
    <w:qFormat/>
    <w:uiPriority w:val="0"/>
    <w:rPr>
      <w:sz w:val="21"/>
      <w:szCs w:val="21"/>
    </w:rPr>
  </w:style>
  <w:style w:type="character" w:styleId="55">
    <w:name w:val="footnote reference"/>
    <w:qFormat/>
    <w:uiPriority w:val="0"/>
    <w:rPr>
      <w:vertAlign w:val="superscript"/>
    </w:rPr>
  </w:style>
  <w:style w:type="character" w:customStyle="1" w:styleId="56">
    <w:name w:val="标题 1 字符"/>
    <w:basedOn w:val="48"/>
    <w:link w:val="2"/>
    <w:qFormat/>
    <w:uiPriority w:val="0"/>
    <w:rPr>
      <w:rFonts w:ascii="宋体" w:hAnsi="Times New Roman" w:eastAsia="黑体" w:cs="Times New Roman"/>
      <w:kern w:val="0"/>
      <w:sz w:val="24"/>
      <w:szCs w:val="20"/>
    </w:rPr>
  </w:style>
  <w:style w:type="character" w:customStyle="1" w:styleId="57">
    <w:name w:val="标题 2 字符"/>
    <w:basedOn w:val="48"/>
    <w:link w:val="3"/>
    <w:qFormat/>
    <w:uiPriority w:val="9"/>
    <w:rPr>
      <w:rFonts w:ascii="Arial" w:hAnsi="Arial" w:eastAsia="黑体" w:cs="Times New Roman"/>
      <w:b/>
      <w:kern w:val="0"/>
      <w:sz w:val="32"/>
      <w:szCs w:val="20"/>
      <w:lang w:val="zh-CN" w:eastAsia="zh-CN"/>
    </w:rPr>
  </w:style>
  <w:style w:type="character" w:customStyle="1" w:styleId="58">
    <w:name w:val="标题 3 字符"/>
    <w:basedOn w:val="48"/>
    <w:link w:val="4"/>
    <w:qFormat/>
    <w:uiPriority w:val="0"/>
    <w:rPr>
      <w:rFonts w:ascii="Times New Roman" w:hAnsi="Times New Roman" w:eastAsia="宋体" w:cs="Times New Roman"/>
      <w:b/>
      <w:bCs/>
      <w:szCs w:val="32"/>
    </w:rPr>
  </w:style>
  <w:style w:type="character" w:customStyle="1" w:styleId="59">
    <w:name w:val="标题 4 字符"/>
    <w:basedOn w:val="48"/>
    <w:link w:val="5"/>
    <w:qFormat/>
    <w:uiPriority w:val="0"/>
    <w:rPr>
      <w:rFonts w:ascii="Arial" w:hAnsi="Arial" w:eastAsia="黑体" w:cs="Times New Roman"/>
      <w:b/>
      <w:kern w:val="0"/>
      <w:sz w:val="28"/>
      <w:szCs w:val="20"/>
    </w:rPr>
  </w:style>
  <w:style w:type="character" w:customStyle="1" w:styleId="60">
    <w:name w:val="标题 5 字符"/>
    <w:basedOn w:val="48"/>
    <w:link w:val="6"/>
    <w:qFormat/>
    <w:uiPriority w:val="0"/>
    <w:rPr>
      <w:rFonts w:ascii="宋体" w:hAnsi="Times New Roman" w:eastAsia="宋体" w:cs="Times New Roman"/>
      <w:b/>
      <w:kern w:val="0"/>
      <w:sz w:val="28"/>
      <w:szCs w:val="20"/>
    </w:rPr>
  </w:style>
  <w:style w:type="character" w:customStyle="1" w:styleId="61">
    <w:name w:val="标题 6 字符"/>
    <w:basedOn w:val="48"/>
    <w:link w:val="7"/>
    <w:qFormat/>
    <w:uiPriority w:val="0"/>
    <w:rPr>
      <w:rFonts w:ascii="Arial" w:hAnsi="Arial" w:eastAsia="黑体" w:cs="Times New Roman"/>
      <w:b/>
      <w:kern w:val="0"/>
      <w:sz w:val="24"/>
      <w:szCs w:val="20"/>
    </w:rPr>
  </w:style>
  <w:style w:type="character" w:customStyle="1" w:styleId="62">
    <w:name w:val="标题 7 字符"/>
    <w:basedOn w:val="48"/>
    <w:link w:val="8"/>
    <w:qFormat/>
    <w:uiPriority w:val="0"/>
    <w:rPr>
      <w:rFonts w:ascii="宋体" w:hAnsi="Times New Roman" w:eastAsia="宋体" w:cs="Times New Roman"/>
      <w:b/>
      <w:kern w:val="0"/>
      <w:sz w:val="24"/>
      <w:szCs w:val="20"/>
    </w:rPr>
  </w:style>
  <w:style w:type="character" w:customStyle="1" w:styleId="63">
    <w:name w:val="标题 8 字符"/>
    <w:basedOn w:val="48"/>
    <w:link w:val="9"/>
    <w:qFormat/>
    <w:uiPriority w:val="0"/>
    <w:rPr>
      <w:rFonts w:ascii="Arial" w:hAnsi="Arial" w:eastAsia="黑体" w:cs="Times New Roman"/>
      <w:kern w:val="0"/>
      <w:sz w:val="24"/>
      <w:szCs w:val="20"/>
    </w:rPr>
  </w:style>
  <w:style w:type="character" w:customStyle="1" w:styleId="64">
    <w:name w:val="标题 9 字符"/>
    <w:basedOn w:val="48"/>
    <w:link w:val="10"/>
    <w:qFormat/>
    <w:uiPriority w:val="0"/>
    <w:rPr>
      <w:rFonts w:ascii="Arial" w:hAnsi="Arial" w:eastAsia="黑体" w:cs="Times New Roman"/>
      <w:kern w:val="0"/>
      <w:szCs w:val="20"/>
    </w:rPr>
  </w:style>
  <w:style w:type="paragraph" w:customStyle="1" w:styleId="65">
    <w:name w:val="Char"/>
    <w:basedOn w:val="1"/>
    <w:qFormat/>
    <w:uiPriority w:val="0"/>
    <w:pPr>
      <w:widowControl/>
      <w:spacing w:after="160" w:line="240" w:lineRule="exact"/>
      <w:jc w:val="left"/>
    </w:pPr>
    <w:rPr>
      <w:rFonts w:ascii="Verdana" w:hAnsi="Verdana"/>
      <w:kern w:val="0"/>
      <w:sz w:val="20"/>
      <w:szCs w:val="20"/>
      <w:lang w:eastAsia="en-US"/>
    </w:rPr>
  </w:style>
  <w:style w:type="character" w:customStyle="1" w:styleId="66">
    <w:name w:val="页眉 字符"/>
    <w:basedOn w:val="48"/>
    <w:link w:val="27"/>
    <w:qFormat/>
    <w:uiPriority w:val="99"/>
    <w:rPr>
      <w:rFonts w:ascii="Times New Roman" w:hAnsi="Times New Roman" w:eastAsia="宋体" w:cs="Times New Roman"/>
      <w:sz w:val="18"/>
      <w:szCs w:val="18"/>
      <w:lang w:val="zh-CN" w:eastAsia="zh-CN"/>
    </w:rPr>
  </w:style>
  <w:style w:type="character" w:customStyle="1" w:styleId="67">
    <w:name w:val="页脚 字符"/>
    <w:basedOn w:val="48"/>
    <w:link w:val="26"/>
    <w:qFormat/>
    <w:uiPriority w:val="99"/>
    <w:rPr>
      <w:rFonts w:ascii="Times New Roman" w:hAnsi="Times New Roman" w:eastAsia="宋体" w:cs="Times New Roman"/>
      <w:sz w:val="18"/>
      <w:szCs w:val="18"/>
      <w:lang w:val="zh-CN" w:eastAsia="zh-CN"/>
    </w:rPr>
  </w:style>
  <w:style w:type="character" w:customStyle="1" w:styleId="68">
    <w:name w:val="日期 字符"/>
    <w:basedOn w:val="48"/>
    <w:link w:val="22"/>
    <w:qFormat/>
    <w:uiPriority w:val="0"/>
    <w:rPr>
      <w:rFonts w:ascii="宋体" w:hAnsi="宋体" w:eastAsia="宋体" w:cs="Times New Roman"/>
      <w:kern w:val="0"/>
      <w:sz w:val="24"/>
      <w:szCs w:val="21"/>
      <w:lang w:val="zh-CN" w:eastAsia="zh-CN"/>
    </w:rPr>
  </w:style>
  <w:style w:type="character" w:customStyle="1" w:styleId="69">
    <w:name w:val="正文文本 字符"/>
    <w:basedOn w:val="48"/>
    <w:link w:val="16"/>
    <w:qFormat/>
    <w:uiPriority w:val="99"/>
    <w:rPr>
      <w:rFonts w:ascii="宋体" w:hAnsi="宋体" w:eastAsia="宋体" w:cs="Times New Roman"/>
      <w:kern w:val="0"/>
      <w:sz w:val="24"/>
      <w:szCs w:val="21"/>
      <w:lang w:val="zh-CN" w:eastAsia="zh-CN"/>
    </w:rPr>
  </w:style>
  <w:style w:type="character" w:customStyle="1" w:styleId="70">
    <w:name w:val="正文文本缩进 字符"/>
    <w:basedOn w:val="48"/>
    <w:link w:val="18"/>
    <w:qFormat/>
    <w:uiPriority w:val="0"/>
    <w:rPr>
      <w:rFonts w:ascii="Times New Roman" w:hAnsi="Times New Roman" w:eastAsia="宋体" w:cs="Times New Roman"/>
      <w:sz w:val="24"/>
      <w:szCs w:val="20"/>
    </w:rPr>
  </w:style>
  <w:style w:type="character" w:customStyle="1" w:styleId="71">
    <w:name w:val="正文文本 2 字符"/>
    <w:basedOn w:val="48"/>
    <w:link w:val="35"/>
    <w:qFormat/>
    <w:uiPriority w:val="0"/>
    <w:rPr>
      <w:rFonts w:ascii="Times New Roman" w:hAnsi="Times New Roman" w:eastAsia="宋体" w:cs="Times New Roman"/>
      <w:sz w:val="28"/>
      <w:szCs w:val="20"/>
    </w:rPr>
  </w:style>
  <w:style w:type="character" w:customStyle="1" w:styleId="72">
    <w:name w:val="tt11"/>
    <w:qFormat/>
    <w:uiPriority w:val="0"/>
    <w:rPr>
      <w:spacing w:val="400"/>
      <w:sz w:val="22"/>
      <w:szCs w:val="22"/>
    </w:rPr>
  </w:style>
  <w:style w:type="paragraph" w:customStyle="1" w:styleId="73">
    <w:name w:val="_Style 38"/>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74">
    <w:name w:val="正文文本缩进 2 字符"/>
    <w:basedOn w:val="48"/>
    <w:link w:val="23"/>
    <w:qFormat/>
    <w:uiPriority w:val="0"/>
    <w:rPr>
      <w:rFonts w:ascii="宋体" w:hAnsi="宋体" w:eastAsia="宋体" w:cs="Times New Roman"/>
      <w:color w:val="FF0000"/>
      <w:szCs w:val="24"/>
    </w:rPr>
  </w:style>
  <w:style w:type="character" w:customStyle="1" w:styleId="75">
    <w:name w:val="c"/>
    <w:basedOn w:val="48"/>
    <w:qFormat/>
    <w:uiPriority w:val="0"/>
  </w:style>
  <w:style w:type="character" w:customStyle="1" w:styleId="76">
    <w:name w:val="正文文本缩进 3 字符"/>
    <w:basedOn w:val="48"/>
    <w:link w:val="32"/>
    <w:qFormat/>
    <w:uiPriority w:val="0"/>
    <w:rPr>
      <w:rFonts w:ascii="宋体" w:hAnsi="Times New Roman" w:eastAsia="宋体" w:cs="Times New Roman"/>
      <w:szCs w:val="24"/>
    </w:rPr>
  </w:style>
  <w:style w:type="character" w:customStyle="1" w:styleId="77">
    <w:name w:val="read"/>
    <w:basedOn w:val="48"/>
    <w:qFormat/>
    <w:uiPriority w:val="0"/>
  </w:style>
  <w:style w:type="character" w:customStyle="1" w:styleId="78">
    <w:name w:val="read1"/>
    <w:qFormat/>
    <w:uiPriority w:val="0"/>
    <w:rPr>
      <w:rFonts w:hint="default"/>
      <w:color w:val="000000"/>
      <w:spacing w:val="450"/>
      <w:u w:val="none"/>
    </w:rPr>
  </w:style>
  <w:style w:type="paragraph" w:customStyle="1" w:styleId="79">
    <w:name w:val="列表2"/>
    <w:basedOn w:val="1"/>
    <w:next w:val="38"/>
    <w:qFormat/>
    <w:uiPriority w:val="0"/>
    <w:pPr>
      <w:tabs>
        <w:tab w:val="left" w:pos="907"/>
      </w:tabs>
      <w:spacing w:line="360" w:lineRule="auto"/>
      <w:ind w:left="907" w:hanging="482"/>
    </w:pPr>
    <w:rPr>
      <w:rFonts w:ascii="宋体"/>
      <w:szCs w:val="20"/>
    </w:rPr>
  </w:style>
  <w:style w:type="character" w:customStyle="1" w:styleId="80">
    <w:name w:val="标题 字符"/>
    <w:basedOn w:val="48"/>
    <w:link w:val="38"/>
    <w:qFormat/>
    <w:uiPriority w:val="0"/>
    <w:rPr>
      <w:rFonts w:ascii="Arial" w:hAnsi="Arial" w:eastAsia="宋体" w:cs="Times New Roman"/>
      <w:b/>
      <w:bCs/>
      <w:kern w:val="0"/>
      <w:sz w:val="32"/>
      <w:szCs w:val="32"/>
      <w:lang w:val="zh-CN" w:eastAsia="zh-CN"/>
    </w:rPr>
  </w:style>
  <w:style w:type="paragraph" w:customStyle="1" w:styleId="81">
    <w:name w:val="列表1"/>
    <w:basedOn w:val="1"/>
    <w:next w:val="1"/>
    <w:qFormat/>
    <w:uiPriority w:val="0"/>
    <w:pPr>
      <w:tabs>
        <w:tab w:val="left" w:pos="757"/>
      </w:tabs>
      <w:spacing w:line="360" w:lineRule="auto"/>
      <w:ind w:firstLine="397"/>
    </w:pPr>
    <w:rPr>
      <w:szCs w:val="20"/>
    </w:rPr>
  </w:style>
  <w:style w:type="paragraph" w:customStyle="1" w:styleId="82">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character" w:customStyle="1" w:styleId="83">
    <w:name w:val="font21"/>
    <w:qFormat/>
    <w:uiPriority w:val="0"/>
    <w:rPr>
      <w:color w:val="CC6600"/>
      <w:sz w:val="20"/>
      <w:szCs w:val="20"/>
    </w:rPr>
  </w:style>
  <w:style w:type="character" w:customStyle="1" w:styleId="84">
    <w:name w:val="big1"/>
    <w:qFormat/>
    <w:uiPriority w:val="0"/>
    <w:rPr>
      <w:spacing w:val="360"/>
      <w:sz w:val="25"/>
      <w:szCs w:val="25"/>
    </w:rPr>
  </w:style>
  <w:style w:type="paragraph" w:customStyle="1" w:styleId="85">
    <w:name w:val="content"/>
    <w:basedOn w:val="1"/>
    <w:qFormat/>
    <w:uiPriority w:val="0"/>
    <w:pPr>
      <w:widowControl/>
      <w:spacing w:before="100" w:beforeAutospacing="1" w:after="100" w:afterAutospacing="1" w:line="270" w:lineRule="atLeast"/>
      <w:jc w:val="left"/>
    </w:pPr>
    <w:rPr>
      <w:rFonts w:ascii="Arial Unicode MS" w:hAnsi="Arial Unicode MS" w:eastAsia="Arial Unicode MS" w:cs="Arial Unicode MS"/>
      <w:kern w:val="0"/>
      <w:sz w:val="18"/>
      <w:szCs w:val="18"/>
    </w:rPr>
  </w:style>
  <w:style w:type="paragraph" w:customStyle="1" w:styleId="86">
    <w:name w:val="标题4"/>
    <w:basedOn w:val="18"/>
    <w:qFormat/>
    <w:uiPriority w:val="0"/>
    <w:pPr>
      <w:spacing w:line="360" w:lineRule="auto"/>
      <w:ind w:firstLine="0"/>
    </w:pPr>
    <w:rPr>
      <w:szCs w:val="24"/>
    </w:rPr>
  </w:style>
  <w:style w:type="character" w:customStyle="1" w:styleId="87">
    <w:name w:val="纯文本 字符"/>
    <w:basedOn w:val="48"/>
    <w:link w:val="20"/>
    <w:qFormat/>
    <w:uiPriority w:val="0"/>
    <w:rPr>
      <w:rFonts w:ascii="Arial Unicode MS" w:hAnsi="Arial Unicode MS" w:eastAsia="Arial Unicode MS" w:cs="Times New Roman"/>
      <w:kern w:val="0"/>
      <w:sz w:val="24"/>
      <w:szCs w:val="24"/>
      <w:lang w:val="zh-CN" w:eastAsia="zh-CN"/>
    </w:rPr>
  </w:style>
  <w:style w:type="paragraph" w:customStyle="1" w:styleId="88">
    <w:name w:val="样式 标题 2 + 首行缩进:  2 字符 段前: 1 行 段后: 1 行"/>
    <w:basedOn w:val="3"/>
    <w:qFormat/>
    <w:uiPriority w:val="0"/>
    <w:pPr>
      <w:tabs>
        <w:tab w:val="left" w:pos="1276"/>
      </w:tabs>
      <w:autoSpaceDE/>
      <w:autoSpaceDN/>
      <w:adjustRightInd/>
      <w:spacing w:before="100" w:after="100" w:line="240" w:lineRule="auto"/>
      <w:ind w:left="851"/>
      <w:jc w:val="both"/>
      <w:textAlignment w:val="auto"/>
    </w:pPr>
    <w:rPr>
      <w:rFonts w:eastAsia="宋体"/>
      <w:kern w:val="2"/>
      <w:sz w:val="28"/>
    </w:rPr>
  </w:style>
  <w:style w:type="paragraph" w:customStyle="1" w:styleId="89">
    <w:name w:val="1"/>
    <w:basedOn w:val="1"/>
    <w:qFormat/>
    <w:uiPriority w:val="0"/>
    <w:pPr>
      <w:spacing w:before="100" w:beforeAutospacing="1" w:after="120" w:afterAutospacing="1" w:line="360" w:lineRule="auto"/>
      <w:ind w:left="420" w:leftChars="200"/>
    </w:pPr>
  </w:style>
  <w:style w:type="paragraph" w:customStyle="1" w:styleId="90">
    <w:name w:val="样式 宋体 四号 行距: 1.5 倍行距"/>
    <w:basedOn w:val="1"/>
    <w:qFormat/>
    <w:uiPriority w:val="0"/>
    <w:pPr>
      <w:spacing w:line="360" w:lineRule="auto"/>
    </w:pPr>
    <w:rPr>
      <w:rFonts w:ascii="宋体" w:hAnsi="宋体"/>
      <w:sz w:val="24"/>
      <w:szCs w:val="20"/>
    </w:rPr>
  </w:style>
  <w:style w:type="paragraph" w:customStyle="1" w:styleId="91">
    <w:name w:val="正文所"/>
    <w:basedOn w:val="1"/>
    <w:qFormat/>
    <w:uiPriority w:val="0"/>
    <w:pPr>
      <w:spacing w:line="360" w:lineRule="auto"/>
      <w:ind w:firstLine="420" w:firstLineChars="200"/>
    </w:pPr>
    <w:rPr>
      <w:rFonts w:ascii="宋体"/>
      <w:szCs w:val="20"/>
    </w:rPr>
  </w:style>
  <w:style w:type="paragraph" w:customStyle="1" w:styleId="92">
    <w:name w:val="正文正文"/>
    <w:basedOn w:val="1"/>
    <w:qFormat/>
    <w:uiPriority w:val="0"/>
    <w:pPr>
      <w:spacing w:afterLines="25" w:line="360" w:lineRule="auto"/>
      <w:ind w:firstLine="200" w:firstLineChars="200"/>
    </w:pPr>
    <w:rPr>
      <w:sz w:val="24"/>
    </w:rPr>
  </w:style>
  <w:style w:type="paragraph" w:customStyle="1" w:styleId="93">
    <w:name w:val="Char Char Char Char"/>
    <w:basedOn w:val="1"/>
    <w:qFormat/>
    <w:uiPriority w:val="0"/>
    <w:pPr>
      <w:tabs>
        <w:tab w:val="left" w:pos="360"/>
      </w:tabs>
    </w:pPr>
    <w:rPr>
      <w:sz w:val="24"/>
    </w:rPr>
  </w:style>
  <w:style w:type="character" w:customStyle="1" w:styleId="94">
    <w:name w:val="脚注文本 字符"/>
    <w:basedOn w:val="48"/>
    <w:link w:val="30"/>
    <w:qFormat/>
    <w:uiPriority w:val="0"/>
    <w:rPr>
      <w:rFonts w:ascii="Times New Roman" w:hAnsi="Times New Roman" w:eastAsia="宋体" w:cs="Times New Roman"/>
      <w:sz w:val="18"/>
      <w:szCs w:val="18"/>
      <w:lang w:val="zh-CN" w:eastAsia="zh-CN"/>
    </w:rPr>
  </w:style>
  <w:style w:type="paragraph" w:customStyle="1" w:styleId="95">
    <w:name w:val="Char2"/>
    <w:basedOn w:val="1"/>
    <w:qFormat/>
    <w:uiPriority w:val="0"/>
  </w:style>
  <w:style w:type="paragraph" w:customStyle="1" w:styleId="96">
    <w:name w:val="Char1 Char Char Char Char"/>
    <w:basedOn w:val="1"/>
    <w:qFormat/>
    <w:uiPriority w:val="0"/>
    <w:pPr>
      <w:widowControl/>
      <w:spacing w:after="160" w:line="240" w:lineRule="exact"/>
      <w:jc w:val="left"/>
    </w:pPr>
    <w:rPr>
      <w:rFonts w:ascii="Verdana" w:hAnsi="Verdana" w:cs="Verdana"/>
      <w:kern w:val="0"/>
      <w:sz w:val="20"/>
      <w:szCs w:val="20"/>
      <w:lang w:eastAsia="en-US"/>
    </w:rPr>
  </w:style>
  <w:style w:type="character" w:customStyle="1" w:styleId="97">
    <w:name w:val="批注框文本 字符"/>
    <w:basedOn w:val="48"/>
    <w:link w:val="25"/>
    <w:semiHidden/>
    <w:qFormat/>
    <w:uiPriority w:val="0"/>
    <w:rPr>
      <w:rFonts w:ascii="Times New Roman" w:hAnsi="Times New Roman" w:eastAsia="宋体" w:cs="Times New Roman"/>
      <w:sz w:val="18"/>
      <w:szCs w:val="18"/>
    </w:rPr>
  </w:style>
  <w:style w:type="paragraph" w:customStyle="1" w:styleId="98">
    <w:name w:val="默认段落字体 Para Char"/>
    <w:basedOn w:val="1"/>
    <w:qFormat/>
    <w:uiPriority w:val="0"/>
    <w:pPr>
      <w:tabs>
        <w:tab w:val="left" w:pos="757"/>
      </w:tabs>
      <w:ind w:firstLine="397"/>
    </w:pPr>
    <w:rPr>
      <w:sz w:val="24"/>
    </w:rPr>
  </w:style>
  <w:style w:type="character" w:customStyle="1" w:styleId="99">
    <w:name w:val="msoins"/>
    <w:basedOn w:val="48"/>
    <w:qFormat/>
    <w:uiPriority w:val="0"/>
  </w:style>
  <w:style w:type="character" w:customStyle="1" w:styleId="100">
    <w:name w:val="批注文字 字符"/>
    <w:basedOn w:val="48"/>
    <w:link w:val="15"/>
    <w:qFormat/>
    <w:uiPriority w:val="0"/>
    <w:rPr>
      <w:rFonts w:ascii="Times New Roman" w:hAnsi="Times New Roman" w:eastAsia="宋体" w:cs="Times New Roman"/>
      <w:szCs w:val="24"/>
      <w:lang w:val="zh-CN" w:eastAsia="zh-CN"/>
    </w:rPr>
  </w:style>
  <w:style w:type="character" w:customStyle="1" w:styleId="101">
    <w:name w:val="批注主题 字符"/>
    <w:basedOn w:val="100"/>
    <w:link w:val="39"/>
    <w:qFormat/>
    <w:uiPriority w:val="0"/>
    <w:rPr>
      <w:rFonts w:ascii="Times New Roman" w:hAnsi="Times New Roman" w:eastAsia="宋体" w:cs="Times New Roman"/>
      <w:b/>
      <w:bCs/>
      <w:szCs w:val="24"/>
      <w:lang w:val="zh-CN" w:eastAsia="zh-CN"/>
    </w:rPr>
  </w:style>
  <w:style w:type="character" w:customStyle="1" w:styleId="102">
    <w:name w:val="unnamed11"/>
    <w:qFormat/>
    <w:uiPriority w:val="0"/>
    <w:rPr>
      <w:rFonts w:hint="eastAsia" w:ascii="宋体" w:hAnsi="宋体" w:eastAsia="宋体"/>
      <w:sz w:val="18"/>
      <w:szCs w:val="18"/>
    </w:rPr>
  </w:style>
  <w:style w:type="character" w:customStyle="1" w:styleId="103">
    <w:name w:val="正文文本首行缩进 字符"/>
    <w:basedOn w:val="69"/>
    <w:link w:val="40"/>
    <w:qFormat/>
    <w:uiPriority w:val="0"/>
    <w:rPr>
      <w:rFonts w:ascii="Times New Roman" w:hAnsi="Times New Roman" w:eastAsia="宋体" w:cs="Times New Roman"/>
      <w:kern w:val="0"/>
      <w:sz w:val="24"/>
      <w:szCs w:val="24"/>
      <w:lang w:val="zh-CN" w:eastAsia="zh-CN"/>
    </w:rPr>
  </w:style>
  <w:style w:type="paragraph" w:customStyle="1" w:styleId="104">
    <w:name w:val="BS标题8"/>
    <w:basedOn w:val="3"/>
    <w:link w:val="105"/>
    <w:qFormat/>
    <w:uiPriority w:val="0"/>
    <w:pPr>
      <w:keepNext w:val="0"/>
      <w:keepLines w:val="0"/>
      <w:autoSpaceDE/>
      <w:autoSpaceDN/>
      <w:adjustRightInd/>
      <w:spacing w:before="120" w:after="120" w:line="240" w:lineRule="auto"/>
      <w:ind w:left="737" w:hanging="425"/>
      <w:textAlignment w:val="auto"/>
    </w:pPr>
    <w:rPr>
      <w:rFonts w:ascii="Times New Roman" w:hAnsi="Times New Roman" w:eastAsia="宋体"/>
      <w:b w:val="0"/>
      <w:kern w:val="2"/>
      <w:sz w:val="21"/>
      <w:szCs w:val="32"/>
    </w:rPr>
  </w:style>
  <w:style w:type="character" w:customStyle="1" w:styleId="105">
    <w:name w:val="BS标题8 Char"/>
    <w:link w:val="104"/>
    <w:qFormat/>
    <w:uiPriority w:val="0"/>
    <w:rPr>
      <w:rFonts w:ascii="Times New Roman" w:hAnsi="Times New Roman" w:eastAsia="宋体" w:cs="Times New Roman"/>
      <w:szCs w:val="32"/>
      <w:lang w:val="zh-CN" w:eastAsia="zh-CN"/>
    </w:rPr>
  </w:style>
  <w:style w:type="paragraph" w:customStyle="1" w:styleId="106">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107">
    <w:name w:val="文档结构图 字符"/>
    <w:basedOn w:val="48"/>
    <w:link w:val="14"/>
    <w:qFormat/>
    <w:uiPriority w:val="0"/>
    <w:rPr>
      <w:rFonts w:ascii="宋体" w:hAnsi="宋体" w:eastAsia="宋体" w:cs="Times New Roman"/>
      <w:bCs/>
      <w:color w:val="000000"/>
      <w:kern w:val="0"/>
      <w:szCs w:val="21"/>
      <w:shd w:val="clear" w:color="auto" w:fill="000080"/>
      <w:lang w:val="zh-CN" w:eastAsia="zh-CN"/>
    </w:rPr>
  </w:style>
  <w:style w:type="paragraph" w:customStyle="1" w:styleId="108">
    <w:name w:val="编号正文2"/>
    <w:basedOn w:val="1"/>
    <w:qFormat/>
    <w:uiPriority w:val="0"/>
    <w:pPr>
      <w:autoSpaceDE w:val="0"/>
      <w:autoSpaceDN w:val="0"/>
      <w:adjustRightInd w:val="0"/>
      <w:spacing w:after="120" w:line="300" w:lineRule="auto"/>
      <w:ind w:firstLine="480"/>
      <w:textAlignment w:val="baseline"/>
    </w:pPr>
    <w:rPr>
      <w:rFonts w:ascii="宋体"/>
      <w:color w:val="000000"/>
      <w:kern w:val="0"/>
      <w:szCs w:val="21"/>
      <w:lang w:val="zh-CN"/>
    </w:rPr>
  </w:style>
  <w:style w:type="paragraph" w:customStyle="1" w:styleId="109">
    <w:name w:val="项目"/>
    <w:basedOn w:val="5"/>
    <w:qFormat/>
    <w:uiPriority w:val="0"/>
    <w:pPr>
      <w:autoSpaceDE/>
      <w:autoSpaceDN/>
      <w:adjustRightInd/>
      <w:snapToGrid w:val="0"/>
      <w:spacing w:before="120" w:after="120" w:line="360" w:lineRule="auto"/>
      <w:textAlignment w:val="auto"/>
    </w:pPr>
    <w:rPr>
      <w:rFonts w:ascii="Times New Roman" w:hAnsi="Times New Roman" w:eastAsia="楷体_GB2312"/>
      <w:b w:val="0"/>
      <w:bCs/>
      <w:kern w:val="2"/>
      <w:sz w:val="24"/>
    </w:rPr>
  </w:style>
  <w:style w:type="character" w:customStyle="1" w:styleId="110">
    <w:name w:val="txtcontent11"/>
    <w:qFormat/>
    <w:uiPriority w:val="0"/>
    <w:rPr>
      <w:rFonts w:hint="default" w:ascii="ˎ̥" w:hAnsi="ˎ̥"/>
      <w:color w:val="000000"/>
      <w:sz w:val="21"/>
      <w:szCs w:val="21"/>
    </w:rPr>
  </w:style>
  <w:style w:type="paragraph" w:styleId="111">
    <w:name w:val="List Paragraph"/>
    <w:basedOn w:val="1"/>
    <w:qFormat/>
    <w:uiPriority w:val="34"/>
    <w:pPr>
      <w:spacing w:after="120" w:line="360" w:lineRule="auto"/>
      <w:ind w:firstLine="420" w:firstLineChars="200"/>
    </w:pPr>
    <w:rPr>
      <w:rFonts w:ascii="宋体" w:hAnsi="宋体" w:cs="Arial"/>
      <w:bCs/>
      <w:color w:val="000000"/>
      <w:kern w:val="0"/>
      <w:szCs w:val="21"/>
      <w:lang w:val="zh-CN"/>
    </w:rPr>
  </w:style>
  <w:style w:type="character" w:customStyle="1" w:styleId="112">
    <w:name w:val="c1"/>
    <w:qFormat/>
    <w:uiPriority w:val="0"/>
    <w:rPr>
      <w:color w:val="000000"/>
      <w:spacing w:val="257"/>
      <w:sz w:val="15"/>
      <w:szCs w:val="15"/>
    </w:rPr>
  </w:style>
  <w:style w:type="character" w:customStyle="1" w:styleId="113">
    <w:name w:val="尾注文本 字符"/>
    <w:basedOn w:val="48"/>
    <w:link w:val="24"/>
    <w:qFormat/>
    <w:uiPriority w:val="0"/>
    <w:rPr>
      <w:rFonts w:ascii="Times New Roman" w:hAnsi="Times New Roman" w:eastAsia="宋体" w:cs="Times New Roman"/>
      <w:szCs w:val="20"/>
      <w:lang w:val="zh-CN" w:eastAsia="zh-CN"/>
    </w:rPr>
  </w:style>
  <w:style w:type="paragraph" w:customStyle="1" w:styleId="114">
    <w:name w:val="Char Char Char Char Char1 Char"/>
    <w:basedOn w:val="1"/>
    <w:qFormat/>
    <w:uiPriority w:val="0"/>
  </w:style>
  <w:style w:type="paragraph" w:customStyle="1" w:styleId="115">
    <w:name w:val="Char Char Char Char1"/>
    <w:basedOn w:val="1"/>
    <w:qFormat/>
    <w:uiPriority w:val="0"/>
    <w:pPr>
      <w:tabs>
        <w:tab w:val="left" w:pos="360"/>
      </w:tabs>
      <w:spacing w:before="312" w:after="312" w:line="360" w:lineRule="auto"/>
    </w:pPr>
    <w:rPr>
      <w:sz w:val="24"/>
    </w:rPr>
  </w:style>
  <w:style w:type="paragraph" w:customStyle="1" w:styleId="116">
    <w:name w:val="列出段落1"/>
    <w:basedOn w:val="1"/>
    <w:qFormat/>
    <w:uiPriority w:val="0"/>
    <w:pPr>
      <w:ind w:firstLine="420" w:firstLineChars="200"/>
    </w:pPr>
    <w:rPr>
      <w:rFonts w:ascii="Calibri" w:hAnsi="Calibri"/>
      <w:szCs w:val="22"/>
    </w:rPr>
  </w:style>
  <w:style w:type="paragraph" w:customStyle="1" w:styleId="117">
    <w:name w:val="正文杨"/>
    <w:basedOn w:val="1"/>
    <w:qFormat/>
    <w:uiPriority w:val="0"/>
    <w:pPr>
      <w:spacing w:line="360" w:lineRule="auto"/>
      <w:ind w:firstLine="425"/>
    </w:pPr>
    <w:rPr>
      <w:sz w:val="24"/>
      <w:szCs w:val="20"/>
    </w:rPr>
  </w:style>
  <w:style w:type="paragraph" w:customStyle="1" w:styleId="118">
    <w:name w:val="TOC 标题1"/>
    <w:basedOn w:val="2"/>
    <w:next w:val="1"/>
    <w:qFormat/>
    <w:uiPriority w:val="39"/>
    <w:pPr>
      <w:widowControl/>
      <w:autoSpaceDE/>
      <w:autoSpaceDN/>
      <w:adjustRightInd/>
      <w:spacing w:before="480" w:after="0" w:line="276" w:lineRule="auto"/>
      <w:jc w:val="left"/>
      <w:textAlignment w:val="auto"/>
      <w:outlineLvl w:val="9"/>
    </w:pPr>
    <w:rPr>
      <w:rFonts w:ascii="Cambria" w:hAnsi="Cambria" w:eastAsia="宋体"/>
      <w:b/>
      <w:bCs/>
      <w:color w:val="365F91"/>
      <w:sz w:val="28"/>
      <w:szCs w:val="28"/>
    </w:rPr>
  </w:style>
  <w:style w:type="paragraph" w:customStyle="1" w:styleId="119">
    <w:name w:val="TitleLargeTable"/>
    <w:next w:val="1"/>
    <w:qFormat/>
    <w:uiPriority w:val="99"/>
    <w:pPr>
      <w:keepNext/>
      <w:suppressAutoHyphens/>
      <w:spacing w:after="40" w:line="200" w:lineRule="atLeast"/>
    </w:pPr>
    <w:rPr>
      <w:rFonts w:ascii="LucidaSans" w:hAnsi="LucidaSans" w:eastAsia="宋体" w:cs="Times New Roman"/>
      <w:sz w:val="16"/>
      <w:lang w:val="en-GB" w:eastAsia="zh-CN" w:bidi="ar-SA"/>
    </w:rPr>
  </w:style>
  <w:style w:type="paragraph" w:customStyle="1" w:styleId="120">
    <w:name w:val="xl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E0E0E0"/>
      <w:spacing w:before="100" w:beforeAutospacing="1" w:after="100" w:afterAutospacing="1"/>
      <w:jc w:val="left"/>
    </w:pPr>
    <w:rPr>
      <w:rFonts w:ascii="宋体" w:hAnsi="宋体" w:cs="宋体"/>
      <w:kern w:val="0"/>
      <w:sz w:val="24"/>
    </w:rPr>
  </w:style>
  <w:style w:type="paragraph" w:customStyle="1" w:styleId="121">
    <w:name w:val="xl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kern w:val="0"/>
      <w:sz w:val="24"/>
    </w:rPr>
  </w:style>
  <w:style w:type="paragraph" w:customStyle="1" w:styleId="122">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kern w:val="0"/>
      <w:sz w:val="24"/>
    </w:rPr>
  </w:style>
  <w:style w:type="paragraph" w:customStyle="1" w:styleId="123">
    <w:name w:val="xl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kern w:val="0"/>
      <w:sz w:val="24"/>
    </w:rPr>
  </w:style>
  <w:style w:type="paragraph" w:customStyle="1" w:styleId="124">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kern w:val="0"/>
      <w:sz w:val="24"/>
    </w:rPr>
  </w:style>
  <w:style w:type="paragraph" w:customStyle="1" w:styleId="125">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5F5F5"/>
      <w:spacing w:before="100" w:beforeAutospacing="1" w:after="100" w:afterAutospacing="1"/>
      <w:jc w:val="center"/>
    </w:pPr>
    <w:rPr>
      <w:rFonts w:ascii="宋体" w:hAnsi="宋体" w:cs="宋体"/>
      <w:kern w:val="0"/>
      <w:sz w:val="24"/>
    </w:rPr>
  </w:style>
  <w:style w:type="paragraph" w:customStyle="1" w:styleId="126">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5F5F5"/>
      <w:spacing w:before="100" w:beforeAutospacing="1" w:after="100" w:afterAutospacing="1"/>
      <w:jc w:val="center"/>
    </w:pPr>
    <w:rPr>
      <w:rFonts w:ascii="宋体" w:hAnsi="宋体" w:cs="宋体"/>
      <w:kern w:val="0"/>
      <w:sz w:val="24"/>
    </w:rPr>
  </w:style>
  <w:style w:type="paragraph" w:customStyle="1" w:styleId="127">
    <w:name w:val="xl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5F5F5"/>
      <w:spacing w:before="100" w:beforeAutospacing="1" w:after="100" w:afterAutospacing="1"/>
      <w:jc w:val="center"/>
    </w:pPr>
    <w:rPr>
      <w:rFonts w:ascii="宋体" w:hAnsi="宋体" w:cs="宋体"/>
      <w:kern w:val="0"/>
      <w:sz w:val="24"/>
    </w:rPr>
  </w:style>
  <w:style w:type="paragraph" w:customStyle="1" w:styleId="128">
    <w:name w:val="xl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5F5F5"/>
      <w:spacing w:before="100" w:beforeAutospacing="1" w:after="100" w:afterAutospacing="1"/>
      <w:jc w:val="left"/>
    </w:pPr>
    <w:rPr>
      <w:rFonts w:ascii="宋体" w:hAnsi="宋体" w:cs="宋体"/>
      <w:kern w:val="0"/>
      <w:sz w:val="24"/>
    </w:rPr>
  </w:style>
  <w:style w:type="table" w:customStyle="1" w:styleId="129">
    <w:name w:val="浅色底纹 - 强调文字颜色 11"/>
    <w:basedOn w:val="41"/>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3DFEE"/>
      </w:tcPr>
    </w:tblStylePr>
    <w:tblStylePr w:type="band1Horz">
      <w:tcPr>
        <w:tcBorders>
          <w:left w:val="nil"/>
          <w:right w:val="nil"/>
          <w:insideH w:val="nil"/>
          <w:insideV w:val="nil"/>
        </w:tcBorders>
        <w:shd w:val="clear" w:color="auto" w:fill="D3DFEE"/>
      </w:tcPr>
    </w:tblStylePr>
  </w:style>
  <w:style w:type="character" w:customStyle="1" w:styleId="130">
    <w:name w:val="HTML 预设格式 字符"/>
    <w:link w:val="36"/>
    <w:qFormat/>
    <w:uiPriority w:val="99"/>
    <w:rPr>
      <w:rFonts w:ascii="宋体" w:hAnsi="宋体" w:cs="宋体"/>
      <w:sz w:val="24"/>
      <w:szCs w:val="24"/>
    </w:rPr>
  </w:style>
  <w:style w:type="character" w:customStyle="1" w:styleId="131">
    <w:name w:val="HTML 预设格式 Char1"/>
    <w:basedOn w:val="48"/>
    <w:semiHidden/>
    <w:qFormat/>
    <w:uiPriority w:val="99"/>
    <w:rPr>
      <w:rFonts w:ascii="Courier New" w:hAnsi="Courier New" w:eastAsia="宋体" w:cs="Courier New"/>
      <w:sz w:val="20"/>
      <w:szCs w:val="20"/>
    </w:rPr>
  </w:style>
  <w:style w:type="paragraph" w:customStyle="1" w:styleId="132">
    <w:name w:val="正文s"/>
    <w:basedOn w:val="18"/>
    <w:qFormat/>
    <w:uiPriority w:val="0"/>
    <w:pPr>
      <w:spacing w:line="360" w:lineRule="auto"/>
      <w:ind w:firstLine="560" w:firstLineChars="200"/>
    </w:pPr>
    <w:rPr>
      <w:rFonts w:ascii="宋体" w:hAnsi="宋体"/>
      <w:sz w:val="28"/>
      <w:szCs w:val="18"/>
    </w:rPr>
  </w:style>
  <w:style w:type="paragraph" w:customStyle="1" w:styleId="133">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134">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135">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136">
    <w:name w:val="修订5"/>
    <w:hidden/>
    <w:unhideWhenUsed/>
    <w:qFormat/>
    <w:uiPriority w:val="99"/>
    <w:rPr>
      <w:rFonts w:ascii="Times New Roman" w:hAnsi="Times New Roman" w:eastAsia="宋体" w:cs="Times New Roman"/>
      <w:kern w:val="2"/>
      <w:sz w:val="21"/>
      <w:szCs w:val="24"/>
      <w:lang w:val="en-US" w:eastAsia="zh-CN" w:bidi="ar-SA"/>
    </w:rPr>
  </w:style>
  <w:style w:type="character" w:customStyle="1" w:styleId="137">
    <w:name w:val="fontstyle01"/>
    <w:basedOn w:val="48"/>
    <w:qFormat/>
    <w:uiPriority w:val="0"/>
    <w:rPr>
      <w:rFonts w:ascii="MicrosoftJhengHeiRegular" w:hAnsi="MicrosoftJhengHeiRegular" w:eastAsia="MicrosoftJhengHeiRegular" w:cs="MicrosoftJhengHeiRegular"/>
      <w:color w:val="000000"/>
      <w:sz w:val="22"/>
      <w:szCs w:val="22"/>
    </w:rPr>
  </w:style>
  <w:style w:type="character" w:customStyle="1" w:styleId="138">
    <w:name w:val="fontstyle21"/>
    <w:basedOn w:val="48"/>
    <w:qFormat/>
    <w:uiPriority w:val="0"/>
    <w:rPr>
      <w:rFonts w:ascii="MicrosoftJhengHeiRegular" w:hAnsi="MicrosoftJhengHeiRegular" w:eastAsia="MicrosoftJhengHeiRegular" w:cs="MicrosoftJhengHeiRegular"/>
      <w:color w:val="000000"/>
      <w:sz w:val="22"/>
      <w:szCs w:val="22"/>
    </w:rPr>
  </w:style>
  <w:style w:type="character" w:customStyle="1" w:styleId="139">
    <w:name w:val="DeltaView Insertion"/>
    <w:qFormat/>
    <w:uiPriority w:val="99"/>
    <w:rPr>
      <w:color w:val="0000FF"/>
      <w:u w:val="doubl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0" Type="http://schemas.openxmlformats.org/officeDocument/2006/relationships/fontTable" Target="fontTable.xml"/><Relationship Id="rId6" Type="http://schemas.openxmlformats.org/officeDocument/2006/relationships/footer" Target="footer2.xml"/><Relationship Id="rId59" Type="http://schemas.openxmlformats.org/officeDocument/2006/relationships/customXml" Target="../customXml/item1.xml"/><Relationship Id="rId58" Type="http://schemas.openxmlformats.org/officeDocument/2006/relationships/numbering" Target="numbering.xml"/><Relationship Id="rId57" Type="http://schemas.openxmlformats.org/officeDocument/2006/relationships/theme" Target="theme/theme1.xml"/><Relationship Id="rId56" Type="http://schemas.openxmlformats.org/officeDocument/2006/relationships/footer" Target="footer50.xml"/><Relationship Id="rId55" Type="http://schemas.openxmlformats.org/officeDocument/2006/relationships/header" Target="header4.xml"/><Relationship Id="rId54" Type="http://schemas.openxmlformats.org/officeDocument/2006/relationships/footer" Target="footer49.xml"/><Relationship Id="rId53" Type="http://schemas.openxmlformats.org/officeDocument/2006/relationships/footer" Target="footer48.xml"/><Relationship Id="rId52" Type="http://schemas.openxmlformats.org/officeDocument/2006/relationships/footer" Target="footer47.xml"/><Relationship Id="rId51" Type="http://schemas.openxmlformats.org/officeDocument/2006/relationships/footer" Target="footer46.xml"/><Relationship Id="rId50" Type="http://schemas.openxmlformats.org/officeDocument/2006/relationships/footer" Target="footer45.xml"/><Relationship Id="rId5" Type="http://schemas.openxmlformats.org/officeDocument/2006/relationships/header" Target="header2.xml"/><Relationship Id="rId49" Type="http://schemas.openxmlformats.org/officeDocument/2006/relationships/footer" Target="footer44.xml"/><Relationship Id="rId48" Type="http://schemas.openxmlformats.org/officeDocument/2006/relationships/footer" Target="footer43.xml"/><Relationship Id="rId47" Type="http://schemas.openxmlformats.org/officeDocument/2006/relationships/footer" Target="footer42.xml"/><Relationship Id="rId46" Type="http://schemas.openxmlformats.org/officeDocument/2006/relationships/footer" Target="footer41.xml"/><Relationship Id="rId45" Type="http://schemas.openxmlformats.org/officeDocument/2006/relationships/footer" Target="footer40.xml"/><Relationship Id="rId44" Type="http://schemas.openxmlformats.org/officeDocument/2006/relationships/footer" Target="footer39.xml"/><Relationship Id="rId43" Type="http://schemas.openxmlformats.org/officeDocument/2006/relationships/footer" Target="footer38.xml"/><Relationship Id="rId42" Type="http://schemas.openxmlformats.org/officeDocument/2006/relationships/footer" Target="footer37.xml"/><Relationship Id="rId41" Type="http://schemas.openxmlformats.org/officeDocument/2006/relationships/footer" Target="footer36.xml"/><Relationship Id="rId40" Type="http://schemas.openxmlformats.org/officeDocument/2006/relationships/footer" Target="footer35.xml"/><Relationship Id="rId4" Type="http://schemas.openxmlformats.org/officeDocument/2006/relationships/footer" Target="footer1.xml"/><Relationship Id="rId39" Type="http://schemas.openxmlformats.org/officeDocument/2006/relationships/footer" Target="footer34.xml"/><Relationship Id="rId38" Type="http://schemas.openxmlformats.org/officeDocument/2006/relationships/footer" Target="footer33.xml"/><Relationship Id="rId37" Type="http://schemas.openxmlformats.org/officeDocument/2006/relationships/footer" Target="footer32.xml"/><Relationship Id="rId36" Type="http://schemas.openxmlformats.org/officeDocument/2006/relationships/footer" Target="footer31.xml"/><Relationship Id="rId35" Type="http://schemas.openxmlformats.org/officeDocument/2006/relationships/footer" Target="footer30.xml"/><Relationship Id="rId34" Type="http://schemas.openxmlformats.org/officeDocument/2006/relationships/footer" Target="footer29.xml"/><Relationship Id="rId33" Type="http://schemas.openxmlformats.org/officeDocument/2006/relationships/footer" Target="footer28.xml"/><Relationship Id="rId32" Type="http://schemas.openxmlformats.org/officeDocument/2006/relationships/footer" Target="footer27.xml"/><Relationship Id="rId31" Type="http://schemas.openxmlformats.org/officeDocument/2006/relationships/footer" Target="footer26.xml"/><Relationship Id="rId30" Type="http://schemas.openxmlformats.org/officeDocument/2006/relationships/footer" Target="footer25.xml"/><Relationship Id="rId3" Type="http://schemas.openxmlformats.org/officeDocument/2006/relationships/header" Target="header1.xml"/><Relationship Id="rId29" Type="http://schemas.openxmlformats.org/officeDocument/2006/relationships/footer" Target="footer24.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E054B79E-6073-4F3C-B085-1746824DF19E}">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111</Pages>
  <Words>92177</Words>
  <Characters>94042</Characters>
  <Lines>694</Lines>
  <Paragraphs>195</Paragraphs>
  <TotalTime>4</TotalTime>
  <ScaleCrop>false</ScaleCrop>
  <LinksUpToDate>false</LinksUpToDate>
  <CharactersWithSpaces>94454</CharactersWithSpaces>
  <Application>WPS Office_12.1.0.24655_F1E327BC-269C-435d-A152-05C5408002CA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2021-01-20T06:26:00Z</dcterms:created>
  <dc:creator>符筱</dc:creator>
  <cp:lastModifiedBy>tangl</cp:lastModifiedBy>
  <cp:lastPrinted>2021-03-05T06:24:00Z</cp:lastPrinted>
  <dcterms:modified xsi:type="dcterms:W3CDTF">2026-10-08T03:12:18Z</dcterms:modified>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ICV">
    <vt:lpwstr>C23B14678E1F4F8F90AD4C8240657F7D_13</vt:lpwstr>
  </property>
</Properties>
</file>