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52FF367">
      <w:pPr>
        <w:spacing w:line="360" w:lineRule="auto"/>
        <w:jc w:val="center"/>
        <w:rPr>
          <w:rFonts w:hint="eastAsia" w:ascii="宋体" w:hAnsi="宋体" w:eastAsia="宋体" w:cs="宋体"/>
          <w:b/>
          <w:sz w:val="32"/>
          <w:szCs w:val="32"/>
          <w:highlight w:val="none"/>
        </w:rPr>
      </w:pPr>
      <w:r>
        <w:rPr>
          <w:rFonts w:hint="eastAsia" w:ascii="宋体" w:hAnsi="宋体" w:eastAsia="宋体" w:cs="宋体"/>
          <w:b/>
          <w:sz w:val="32"/>
          <w:szCs w:val="32"/>
          <w:highlight w:val="none"/>
        </w:rPr>
        <w:t>博时中证智能消费主题交易型开放式指数证券投资基金</w:t>
      </w:r>
    </w:p>
    <w:p w14:paraId="37B595E1">
      <w:pPr>
        <w:spacing w:line="360" w:lineRule="auto"/>
        <w:jc w:val="center"/>
        <w:rPr>
          <w:rFonts w:hint="eastAsia" w:ascii="宋体" w:hAnsi="宋体" w:eastAsia="宋体" w:cs="宋体"/>
          <w:b/>
          <w:sz w:val="32"/>
          <w:szCs w:val="32"/>
          <w:highlight w:val="none"/>
        </w:rPr>
      </w:pPr>
      <w:r>
        <w:rPr>
          <w:rFonts w:hint="eastAsia" w:ascii="宋体" w:hAnsi="宋体" w:eastAsia="宋体" w:cs="宋体"/>
          <w:b/>
          <w:sz w:val="32"/>
          <w:szCs w:val="32"/>
          <w:highlight w:val="none"/>
        </w:rPr>
        <w:t>溢价风险提示公告</w:t>
      </w:r>
    </w:p>
    <w:p w14:paraId="08AF55EB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</w:p>
    <w:p w14:paraId="313116B1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近期，博时基金管理有限公司（以下简称“基金管理人”）旗下</w:t>
      </w:r>
      <w:r>
        <w:rPr>
          <w:rFonts w:hint="eastAsia" w:ascii="宋体" w:hAnsi="宋体" w:eastAsia="宋体" w:cs="宋体"/>
          <w:i w:val="0"/>
          <w:iCs w:val="0"/>
          <w:caps w:val="0"/>
          <w:spacing w:val="0"/>
          <w:kern w:val="2"/>
          <w:sz w:val="24"/>
          <w:szCs w:val="24"/>
          <w:highlight w:val="none"/>
          <w:shd w:val="clear"/>
        </w:rPr>
        <w:t>博时中证智能消费主题交易型开放式指数证券投资基金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（以下简称“本基金”，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扩位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简称：</w:t>
      </w:r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/>
        </w:rPr>
        <w:t>智能消费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ETF博时，交易所代码：51</w:t>
      </w:r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/>
        </w:rPr>
        <w:t>5920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）在二级市场的交易价格出现较大幅度的溢价，交易价格偏离基金份额参考净值的幅度较大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eastAsia="zh-CN"/>
        </w:rPr>
        <w:t>。</w:t>
      </w:r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特此提示投资者关注二级市场交易价格溢价风险，投资者如果盲目投资，可能遭受重大损失。</w:t>
      </w:r>
      <w:bookmarkStart w:id="0" w:name="OLE_LINK1"/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若本基金</w:t>
      </w:r>
      <w:r>
        <w:rPr>
          <w:rFonts w:hint="eastAsia" w:ascii="宋体" w:hAnsi="宋体" w:cs="宋体"/>
          <w:b/>
          <w:bCs/>
          <w:sz w:val="24"/>
          <w:szCs w:val="24"/>
          <w:highlight w:val="none"/>
          <w:lang w:val="en-US" w:eastAsia="zh-CN"/>
        </w:rPr>
        <w:t>后续</w:t>
      </w:r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二级市场交易价格溢价幅度未有效回落，本基金有权采取向上海证券交易所申请盘中临时停牌、延长停牌时间等措施以向市场警示风险，具体以届时公告为准。</w:t>
      </w:r>
      <w:bookmarkEnd w:id="0"/>
      <w:r>
        <w:rPr>
          <w:rFonts w:hint="eastAsia" w:ascii="宋体" w:hAnsi="宋体" w:eastAsia="宋体" w:cs="宋体"/>
          <w:sz w:val="24"/>
          <w:szCs w:val="24"/>
          <w:highlight w:val="none"/>
        </w:rPr>
        <w:t>为保护投资者利益，本公司特向投资者提示如下：</w:t>
      </w:r>
    </w:p>
    <w:p w14:paraId="683D52E8">
      <w:pPr>
        <w:numPr>
          <w:ilvl w:val="-1"/>
          <w:numId w:val="0"/>
        </w:num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一、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本基金二级市场的交易价格，除了有基金份额净值变化的风险外，还会受到市场供求关系、系统性风险、流动性风险等其他因素的影响，可能使投资人面临损失。</w:t>
      </w:r>
      <w:bookmarkStart w:id="1" w:name="_GoBack"/>
      <w:bookmarkEnd w:id="1"/>
    </w:p>
    <w:p w14:paraId="5287060C">
      <w:pPr>
        <w:numPr>
          <w:ilvl w:val="-1"/>
          <w:numId w:val="0"/>
        </w:numPr>
        <w:spacing w:line="360" w:lineRule="auto"/>
        <w:ind w:firstLine="42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二、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截至目前，本基金运作正常且无应披露而未披露的重大信息，基金管理人将严格按照法律法规及基金合同的规定进行投资运作，履行信息披露义务。</w:t>
      </w:r>
    </w:p>
    <w:p w14:paraId="53A02CAE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4"/>
          <w:szCs w:val="24"/>
          <w:highlight w:val="none"/>
          <w:lang w:val="en-US" w:eastAsia="zh-CN" w:bidi="ar"/>
        </w:rPr>
        <w:t>风险提示：基金管理人承诺以诚实信用、勤勉尽责的原则管理和运用基金资产，但不保证基金一定盈利，也不保证最低收益。投资者投资于基金时应认真阅读基金的《基金合同》和《招募说明书》。敬请投资者注意投资风险。</w:t>
      </w:r>
    </w:p>
    <w:p w14:paraId="045CDD31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</w:p>
    <w:p w14:paraId="4CDF0A44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特此公告。</w:t>
      </w:r>
    </w:p>
    <w:p w14:paraId="4A4DC5C4">
      <w:pPr>
        <w:widowControl w:val="0"/>
        <w:spacing w:line="360" w:lineRule="auto"/>
        <w:ind w:firstLine="420"/>
        <w:jc w:val="righ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博时基金管理有限公司</w:t>
      </w:r>
    </w:p>
    <w:p w14:paraId="2D3453CA">
      <w:pPr>
        <w:widowControl w:val="0"/>
        <w:spacing w:line="360" w:lineRule="auto"/>
        <w:ind w:firstLine="420"/>
        <w:jc w:val="right"/>
        <w:rPr>
          <w:rFonts w:hint="default" w:ascii="宋体" w:hAnsi="宋体" w:eastAsia="宋体" w:cs="宋体"/>
          <w:kern w:val="2"/>
          <w:sz w:val="24"/>
          <w:szCs w:val="24"/>
          <w:highlight w:val="none"/>
          <w:lang w:val="en-US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202</w:t>
      </w:r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/>
        </w:rPr>
        <w:t>6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年</w:t>
      </w:r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/>
        </w:rPr>
        <w:t>7月20日</w:t>
      </w:r>
    </w:p>
    <w:p w14:paraId="2AD08AC6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trackRevisions w:val="1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6F594E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jc w:val="both"/>
    </w:pPr>
    <w:rPr>
      <w:rFonts w:ascii="Calibri" w:hAnsi="Calibri" w:eastAsia="宋体" w:cs="宋体"/>
      <w:kern w:val="0"/>
      <w:sz w:val="21"/>
      <w:szCs w:val="21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9</TotalTime>
  <ScaleCrop>false</ScaleCrop>
  <LinksUpToDate>false</LinksUpToDate>
  <CharactersWithSpaces>0</CharactersWithSpaces>
  <Application>WPS Office_12.8.2.19795_F1E327BC-269C-435d-A152-05C5408002CA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2026-07-20T04:09:48Z</dcterms:created>
  <dc:creator>fuxj</dc:creator>
  <cp:lastModifiedBy>fuxj</cp:lastModifiedBy>
  <dcterms:modified xsi:type="dcterms:W3CDTF">2026-07-20T04:19:35Z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2052-12.8.2.19795</vt:lpwstr>
  </property>
  <property fmtid="{D5CDD505-2E9C-101B-9397-08002B2CF9AE}" pid="3" name="ICV">
    <vt:lpwstr>D774A2A421274570AB3CE4D2ACF7C0F8_12</vt:lpwstr>
  </property>
</Properties>
</file>