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15ED66">
      <w:pPr>
        <w:jc w:val="center"/>
        <w:rPr>
          <w:rFonts w:hint="eastAsia" w:ascii="宋体" w:hAnsi="宋体" w:eastAsia="宋体" w:cs="宋体"/>
          <w:b/>
          <w:sz w:val="30"/>
          <w:szCs w:val="30"/>
          <w:lang w:eastAsia="zh-CN"/>
        </w:rPr>
      </w:pPr>
      <w:r>
        <w:rPr>
          <w:rFonts w:hint="eastAsia" w:ascii="宋体" w:hAnsi="宋体" w:eastAsia="宋体" w:cs="宋体"/>
          <w:b/>
          <w:sz w:val="30"/>
          <w:szCs w:val="30"/>
        </w:rPr>
        <w:t>关于博时</w:t>
      </w:r>
      <w:r>
        <w:rPr>
          <w:rFonts w:hint="eastAsia" w:ascii="宋体" w:hAnsi="宋体" w:eastAsia="宋体" w:cs="宋体"/>
          <w:b/>
          <w:sz w:val="30"/>
          <w:szCs w:val="30"/>
          <w:lang w:eastAsia="zh-CN"/>
        </w:rPr>
        <w:t>富恒纯债一年定期开放债券型发起式证券投资基金</w:t>
      </w:r>
    </w:p>
    <w:p w14:paraId="55D07614">
      <w:pPr>
        <w:jc w:val="center"/>
        <w:rPr>
          <w:rFonts w:hint="eastAsia" w:ascii="宋体" w:hAnsi="宋体" w:eastAsia="宋体" w:cs="宋体"/>
          <w:b/>
          <w:sz w:val="30"/>
          <w:szCs w:val="30"/>
        </w:rPr>
      </w:pPr>
      <w:r>
        <w:rPr>
          <w:rFonts w:hint="eastAsia" w:ascii="宋体" w:hAnsi="宋体" w:eastAsia="宋体" w:cs="宋体"/>
          <w:b/>
          <w:sz w:val="30"/>
          <w:szCs w:val="30"/>
        </w:rPr>
        <w:t>基金合同终止的公告</w:t>
      </w:r>
    </w:p>
    <w:p w14:paraId="685906D2">
      <w:pPr>
        <w:rPr>
          <w:rFonts w:hint="eastAsia" w:ascii="宋体" w:hAnsi="宋体" w:eastAsia="宋体" w:cs="宋体"/>
        </w:rPr>
      </w:pPr>
    </w:p>
    <w:p w14:paraId="3317AE38">
      <w:pPr>
        <w:autoSpaceDE w:val="0"/>
        <w:autoSpaceDN w:val="0"/>
        <w:adjustRightInd w:val="0"/>
        <w:spacing w:line="360" w:lineRule="auto"/>
        <w:ind w:firstLine="480"/>
        <w:jc w:val="left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根据《中华人民共和国证券投资基金法》、《公开募集证券投资基金运作管理办法》、《博时</w:t>
      </w:r>
      <w:r>
        <w:rPr>
          <w:rFonts w:hint="eastAsia" w:ascii="宋体" w:hAnsi="宋体" w:eastAsia="宋体" w:cs="宋体"/>
          <w:szCs w:val="21"/>
          <w:lang w:eastAsia="zh-CN"/>
        </w:rPr>
        <w:t>富恒纯债一年定期开放债券型发起式证券投资基金</w:t>
      </w:r>
      <w:r>
        <w:rPr>
          <w:rFonts w:hint="eastAsia" w:ascii="宋体" w:hAnsi="宋体" w:eastAsia="宋体" w:cs="宋体"/>
          <w:szCs w:val="21"/>
        </w:rPr>
        <w:t>基金合同》（以下简称“《基金合同》”）的有关规定及博时基金管理有限公司于2026年</w:t>
      </w:r>
      <w:r>
        <w:rPr>
          <w:rFonts w:hint="eastAsia" w:ascii="宋体" w:hAnsi="宋体" w:eastAsia="宋体" w:cs="宋体"/>
          <w:szCs w:val="21"/>
          <w:lang w:val="en-US" w:eastAsia="zh-CN"/>
        </w:rPr>
        <w:t>6</w:t>
      </w:r>
      <w:r>
        <w:rPr>
          <w:rFonts w:hint="eastAsia" w:ascii="宋体" w:hAnsi="宋体" w:eastAsia="宋体" w:cs="宋体"/>
          <w:szCs w:val="21"/>
        </w:rPr>
        <w:t>月</w:t>
      </w:r>
      <w:r>
        <w:rPr>
          <w:rFonts w:hint="eastAsia" w:ascii="宋体" w:hAnsi="宋体" w:eastAsia="宋体" w:cs="宋体"/>
          <w:szCs w:val="21"/>
          <w:lang w:val="en-US" w:eastAsia="zh-CN"/>
        </w:rPr>
        <w:t>12</w:t>
      </w:r>
      <w:r>
        <w:rPr>
          <w:rFonts w:hint="eastAsia" w:ascii="宋体" w:hAnsi="宋体" w:eastAsia="宋体" w:cs="宋体"/>
          <w:szCs w:val="21"/>
        </w:rPr>
        <w:t>日发布的《博时基金管理有限公司关于博时</w:t>
      </w:r>
      <w:r>
        <w:rPr>
          <w:rFonts w:hint="eastAsia" w:ascii="宋体" w:hAnsi="宋体" w:eastAsia="宋体" w:cs="宋体"/>
          <w:szCs w:val="21"/>
          <w:lang w:eastAsia="zh-CN"/>
        </w:rPr>
        <w:t>富恒纯债一年定期开放债券型发起式证券投资基金</w:t>
      </w:r>
      <w:r>
        <w:rPr>
          <w:rFonts w:hint="eastAsia" w:ascii="宋体" w:hAnsi="宋体" w:eastAsia="宋体" w:cs="宋体"/>
          <w:szCs w:val="21"/>
        </w:rPr>
        <w:t>基金份额持有人大会表决结果暨决议生效的公告》，博时</w:t>
      </w:r>
      <w:r>
        <w:rPr>
          <w:rFonts w:hint="eastAsia" w:ascii="宋体" w:hAnsi="宋体" w:eastAsia="宋体" w:cs="宋体"/>
          <w:szCs w:val="21"/>
          <w:lang w:eastAsia="zh-CN"/>
        </w:rPr>
        <w:t>富恒纯债一年定期开放债券型发起式证券投资基金</w:t>
      </w:r>
      <w:r>
        <w:rPr>
          <w:rFonts w:hint="eastAsia" w:ascii="宋体" w:hAnsi="宋体" w:eastAsia="宋体" w:cs="宋体"/>
          <w:szCs w:val="21"/>
        </w:rPr>
        <w:t>（以下简称“本基金”）出现法律法规以及《基金合同》规定的终止事由。本基金管理人博时基金管理有限公司（以下简称“本公司”）已依法对基金财产进行清算。现将相关事项公告如下:</w:t>
      </w:r>
    </w:p>
    <w:p w14:paraId="22A02AEB">
      <w:pPr>
        <w:autoSpaceDE w:val="0"/>
        <w:autoSpaceDN w:val="0"/>
        <w:adjustRightInd w:val="0"/>
        <w:spacing w:line="360" w:lineRule="auto"/>
        <w:ind w:firstLine="480"/>
        <w:jc w:val="left"/>
        <w:rPr>
          <w:rFonts w:hint="eastAsia" w:ascii="宋体" w:hAnsi="宋体" w:eastAsia="宋体" w:cs="宋体"/>
          <w:szCs w:val="21"/>
        </w:rPr>
      </w:pPr>
      <w:bookmarkStart w:id="2" w:name="_GoBack"/>
      <w:bookmarkEnd w:id="2"/>
    </w:p>
    <w:p w14:paraId="6DBDC27F">
      <w:pPr>
        <w:widowControl/>
        <w:spacing w:line="360" w:lineRule="auto"/>
        <w:ind w:firstLine="422" w:firstLineChars="200"/>
        <w:jc w:val="left"/>
        <w:rPr>
          <w:rFonts w:hint="eastAsia" w:ascii="宋体" w:hAnsi="宋体" w:eastAsia="宋体" w:cs="宋体"/>
          <w:b/>
          <w:kern w:val="0"/>
          <w:szCs w:val="21"/>
        </w:rPr>
      </w:pPr>
      <w:r>
        <w:rPr>
          <w:rFonts w:hint="eastAsia" w:ascii="宋体" w:hAnsi="宋体" w:eastAsia="宋体" w:cs="宋体"/>
          <w:b/>
          <w:kern w:val="0"/>
          <w:szCs w:val="21"/>
        </w:rPr>
        <w:t>一、本基金基本信息</w:t>
      </w:r>
    </w:p>
    <w:tbl>
      <w:tblPr>
        <w:tblStyle w:val="9"/>
        <w:tblW w:w="853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82"/>
        <w:gridCol w:w="4257"/>
      </w:tblGrid>
      <w:tr w14:paraId="7BB658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82" w:type="dxa"/>
            <w:vAlign w:val="center"/>
          </w:tcPr>
          <w:p w14:paraId="32A7A712">
            <w:pPr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基金名称</w:t>
            </w:r>
          </w:p>
        </w:tc>
        <w:tc>
          <w:tcPr>
            <w:tcW w:w="4257" w:type="dxa"/>
            <w:vAlign w:val="center"/>
          </w:tcPr>
          <w:p w14:paraId="1859EC81">
            <w:pPr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博时富恒纯债一年定期开放债券型发起式证券投资基金</w:t>
            </w:r>
          </w:p>
        </w:tc>
      </w:tr>
      <w:tr w14:paraId="272054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82" w:type="dxa"/>
            <w:vAlign w:val="center"/>
          </w:tcPr>
          <w:p w14:paraId="3A23BEFD">
            <w:pPr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基金简称</w:t>
            </w:r>
          </w:p>
        </w:tc>
        <w:tc>
          <w:tcPr>
            <w:tcW w:w="4257" w:type="dxa"/>
            <w:vAlign w:val="center"/>
          </w:tcPr>
          <w:p w14:paraId="0A5B4AB2">
            <w:pPr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博时富恒一年定开债发起式</w:t>
            </w:r>
          </w:p>
        </w:tc>
      </w:tr>
      <w:tr w14:paraId="19D757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82" w:type="dxa"/>
            <w:vAlign w:val="center"/>
          </w:tcPr>
          <w:p w14:paraId="3F9D6B07">
            <w:pPr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基金代码</w:t>
            </w:r>
          </w:p>
        </w:tc>
        <w:tc>
          <w:tcPr>
            <w:tcW w:w="4257" w:type="dxa"/>
            <w:vAlign w:val="center"/>
          </w:tcPr>
          <w:p w14:paraId="6AF05532">
            <w:pPr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/>
                <w:sz w:val="21"/>
                <w:szCs w:val="21"/>
              </w:rPr>
              <w:t>013931</w:t>
            </w:r>
          </w:p>
        </w:tc>
      </w:tr>
      <w:tr w14:paraId="55DCB9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82" w:type="dxa"/>
            <w:vAlign w:val="center"/>
          </w:tcPr>
          <w:p w14:paraId="73C777BF">
            <w:pPr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基金运作方式</w:t>
            </w:r>
          </w:p>
        </w:tc>
        <w:tc>
          <w:tcPr>
            <w:tcW w:w="4257" w:type="dxa"/>
            <w:vAlign w:val="center"/>
          </w:tcPr>
          <w:p w14:paraId="05100A34">
            <w:pPr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契约型、定期开放式、发起式</w:t>
            </w:r>
          </w:p>
        </w:tc>
      </w:tr>
      <w:tr w14:paraId="1918F9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82" w:type="dxa"/>
            <w:vAlign w:val="center"/>
          </w:tcPr>
          <w:p w14:paraId="1924494D">
            <w:pPr>
              <w:rPr>
                <w:rFonts w:hint="eastAsia" w:ascii="宋体" w:hAnsi="宋体" w:eastAsia="宋体"/>
                <w:sz w:val="20"/>
                <w:szCs w:val="20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基金合同生效日</w:t>
            </w:r>
          </w:p>
        </w:tc>
        <w:tc>
          <w:tcPr>
            <w:tcW w:w="4257" w:type="dxa"/>
            <w:vAlign w:val="center"/>
          </w:tcPr>
          <w:p w14:paraId="6A26F134">
            <w:pPr>
              <w:rPr>
                <w:rFonts w:hint="eastAsia" w:ascii="宋体" w:hAnsi="宋体" w:eastAsia="宋体"/>
                <w:sz w:val="20"/>
                <w:szCs w:val="20"/>
              </w:rPr>
            </w:pPr>
            <w:r>
              <w:rPr>
                <w:rFonts w:ascii="宋体" w:hAnsi="宋体" w:eastAsia="宋体"/>
                <w:sz w:val="21"/>
                <w:szCs w:val="21"/>
              </w:rPr>
              <w:t>2021年11月25日</w:t>
            </w:r>
          </w:p>
        </w:tc>
      </w:tr>
      <w:tr w14:paraId="070AEC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82" w:type="dxa"/>
            <w:vAlign w:val="center"/>
          </w:tcPr>
          <w:p w14:paraId="27458EBC">
            <w:pPr>
              <w:rPr>
                <w:rFonts w:hint="default" w:ascii="宋体" w:hAnsi="宋体" w:eastAsia="宋体"/>
                <w:sz w:val="22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基金管理人名称</w:t>
            </w:r>
          </w:p>
        </w:tc>
        <w:tc>
          <w:tcPr>
            <w:tcW w:w="4257" w:type="dxa"/>
            <w:vAlign w:val="center"/>
          </w:tcPr>
          <w:p w14:paraId="612708A0">
            <w:pPr>
              <w:rPr>
                <w:rFonts w:hint="eastAsia" w:ascii="宋体" w:hAnsi="宋体" w:eastAsia="宋体" w:cs="宋体"/>
                <w:sz w:val="22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博时基金管理有限公司</w:t>
            </w:r>
          </w:p>
        </w:tc>
      </w:tr>
      <w:tr w14:paraId="23127E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82" w:type="dxa"/>
            <w:vAlign w:val="center"/>
          </w:tcPr>
          <w:p w14:paraId="378853E8">
            <w:pPr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基金托管人名称</w:t>
            </w:r>
          </w:p>
        </w:tc>
        <w:tc>
          <w:tcPr>
            <w:tcW w:w="4257" w:type="dxa"/>
            <w:vAlign w:val="center"/>
          </w:tcPr>
          <w:p w14:paraId="53D772C1">
            <w:pPr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兴业银行股份有限公司</w:t>
            </w:r>
          </w:p>
        </w:tc>
      </w:tr>
      <w:tr w14:paraId="6018C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82" w:type="dxa"/>
            <w:vAlign w:val="center"/>
          </w:tcPr>
          <w:p w14:paraId="54B73BF2">
            <w:pPr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基金注册登记机构名称</w:t>
            </w:r>
          </w:p>
        </w:tc>
        <w:tc>
          <w:tcPr>
            <w:tcW w:w="4257" w:type="dxa"/>
            <w:vAlign w:val="center"/>
          </w:tcPr>
          <w:p w14:paraId="14C5F656">
            <w:pPr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博时基金管理有限公司</w:t>
            </w:r>
          </w:p>
        </w:tc>
      </w:tr>
      <w:tr w14:paraId="10F9B7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82" w:type="dxa"/>
            <w:vAlign w:val="center"/>
          </w:tcPr>
          <w:p w14:paraId="02E6C007">
            <w:pPr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公告依据</w:t>
            </w:r>
          </w:p>
        </w:tc>
        <w:tc>
          <w:tcPr>
            <w:tcW w:w="4257" w:type="dxa"/>
            <w:vAlign w:val="center"/>
          </w:tcPr>
          <w:p w14:paraId="6E87AB33">
            <w:pPr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《中华人民共和国证券投资基金法》、《公开募集证券投资基金运作管理办法》等法律法规以及《博时富恒纯债一年定期开放债券型发起式证券投资基金基金合同》及《博时富恒纯债一年定期开放债券型发起式证券投资基金招募说明书》</w:t>
            </w:r>
          </w:p>
        </w:tc>
      </w:tr>
    </w:tbl>
    <w:p w14:paraId="0FC3B90C">
      <w:pPr>
        <w:rPr>
          <w:rFonts w:hint="eastAsia" w:ascii="宋体" w:hAnsi="宋体" w:eastAsia="宋体" w:cs="宋体"/>
        </w:rPr>
      </w:pPr>
    </w:p>
    <w:p w14:paraId="3D8AA3BD">
      <w:pPr>
        <w:widowControl/>
        <w:spacing w:line="360" w:lineRule="auto"/>
        <w:ind w:firstLine="422" w:firstLineChars="200"/>
        <w:jc w:val="left"/>
        <w:rPr>
          <w:rFonts w:hint="eastAsia" w:ascii="宋体" w:hAnsi="宋体" w:eastAsia="宋体" w:cs="宋体"/>
          <w:b/>
          <w:kern w:val="0"/>
          <w:szCs w:val="21"/>
        </w:rPr>
      </w:pPr>
      <w:r>
        <w:rPr>
          <w:rFonts w:hint="eastAsia" w:ascii="宋体" w:hAnsi="宋体" w:eastAsia="宋体" w:cs="宋体"/>
          <w:b/>
          <w:kern w:val="0"/>
          <w:szCs w:val="21"/>
        </w:rPr>
        <w:t>二、本基金合同的终止时间</w:t>
      </w:r>
    </w:p>
    <w:p w14:paraId="061F9742">
      <w:pPr>
        <w:widowControl/>
        <w:spacing w:line="360" w:lineRule="auto"/>
        <w:ind w:firstLine="420" w:firstLineChars="200"/>
        <w:rPr>
          <w:rFonts w:hint="eastAsia"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本基金出现了《基金合同》终止事由后，本公司组织基金托管人</w:t>
      </w:r>
      <w:r>
        <w:rPr>
          <w:rStyle w:val="11"/>
          <w:rFonts w:hint="eastAsia"/>
          <w:i w:val="0"/>
          <w:iCs w:val="0"/>
          <w:szCs w:val="21"/>
        </w:rPr>
        <w:t>兴业</w:t>
      </w:r>
      <w:r>
        <w:rPr>
          <w:rFonts w:hint="eastAsia" w:ascii="宋体" w:hAnsi="宋体" w:eastAsia="宋体" w:cs="宋体"/>
          <w:kern w:val="0"/>
          <w:szCs w:val="21"/>
        </w:rPr>
        <w:t>银行股份有限公司、</w:t>
      </w:r>
      <w:r>
        <w:rPr>
          <w:rFonts w:hint="eastAsia" w:ascii="宋体" w:hAnsi="宋体" w:eastAsia="宋体" w:cs="宋体"/>
          <w:kern w:val="0"/>
          <w:sz w:val="21"/>
          <w:szCs w:val="21"/>
          <w:shd w:val="clear"/>
        </w:rPr>
        <w:t>安永华明</w:t>
      </w:r>
      <w:r>
        <w:rPr>
          <w:rFonts w:hint="eastAsia" w:ascii="宋体" w:hAnsi="宋体" w:eastAsia="宋体" w:cs="宋体"/>
          <w:kern w:val="0"/>
          <w:szCs w:val="21"/>
        </w:rPr>
        <w:t>会计师事务所（特殊普通合伙）、上海源泰律师事务所成立基金财产清算小组，对基金财产进行了清算。</w:t>
      </w:r>
    </w:p>
    <w:p w14:paraId="48F0E3B6">
      <w:pPr>
        <w:widowControl/>
        <w:spacing w:line="360" w:lineRule="auto"/>
        <w:ind w:firstLine="420" w:firstLineChars="200"/>
        <w:rPr>
          <w:rFonts w:hint="eastAsia"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根据《中华人民共和国证券投资基金法》、《公开募集证券投资基金运作管理办法》、《博时</w:t>
      </w:r>
      <w:r>
        <w:rPr>
          <w:rFonts w:hint="eastAsia" w:ascii="宋体" w:hAnsi="宋体" w:eastAsia="宋体" w:cs="宋体"/>
          <w:kern w:val="0"/>
          <w:szCs w:val="21"/>
          <w:lang w:eastAsia="zh-CN"/>
        </w:rPr>
        <w:t>富恒纯债一年定期开放债券型发起式证券投资基金</w:t>
      </w:r>
      <w:r>
        <w:rPr>
          <w:rFonts w:hint="eastAsia" w:ascii="宋体" w:hAnsi="宋体" w:eastAsia="宋体" w:cs="宋体"/>
          <w:kern w:val="0"/>
          <w:szCs w:val="21"/>
        </w:rPr>
        <w:t>基金合同》的有关规定及博时基金管理有限公司于</w:t>
      </w:r>
      <w:r>
        <w:rPr>
          <w:rFonts w:hint="eastAsia" w:ascii="宋体" w:hAnsi="宋体" w:eastAsia="宋体" w:cs="宋体"/>
          <w:szCs w:val="21"/>
        </w:rPr>
        <w:t>2026年</w:t>
      </w:r>
      <w:r>
        <w:rPr>
          <w:rFonts w:hint="eastAsia" w:ascii="宋体" w:hAnsi="宋体" w:eastAsia="宋体" w:cs="宋体"/>
          <w:szCs w:val="21"/>
          <w:lang w:val="en-US" w:eastAsia="zh-CN"/>
        </w:rPr>
        <w:t>6</w:t>
      </w:r>
      <w:r>
        <w:rPr>
          <w:rFonts w:hint="eastAsia" w:ascii="宋体" w:hAnsi="宋体" w:eastAsia="宋体" w:cs="宋体"/>
          <w:szCs w:val="21"/>
        </w:rPr>
        <w:t>月</w:t>
      </w:r>
      <w:r>
        <w:rPr>
          <w:rFonts w:hint="eastAsia" w:ascii="宋体" w:hAnsi="宋体" w:eastAsia="宋体" w:cs="宋体"/>
          <w:szCs w:val="21"/>
          <w:lang w:val="en-US" w:eastAsia="zh-CN"/>
        </w:rPr>
        <w:t>12</w:t>
      </w:r>
      <w:r>
        <w:rPr>
          <w:rFonts w:hint="eastAsia" w:ascii="宋体" w:hAnsi="宋体" w:eastAsia="宋体" w:cs="宋体"/>
          <w:szCs w:val="21"/>
        </w:rPr>
        <w:t>日</w:t>
      </w:r>
      <w:r>
        <w:rPr>
          <w:rFonts w:hint="eastAsia" w:ascii="宋体" w:hAnsi="宋体" w:eastAsia="宋体" w:cs="宋体"/>
          <w:kern w:val="0"/>
          <w:szCs w:val="21"/>
        </w:rPr>
        <w:t>发布的《博时基金管理有限公司关于博时</w:t>
      </w:r>
      <w:r>
        <w:rPr>
          <w:rFonts w:hint="eastAsia" w:ascii="宋体" w:hAnsi="宋体" w:eastAsia="宋体" w:cs="宋体"/>
          <w:kern w:val="0"/>
          <w:szCs w:val="21"/>
          <w:lang w:eastAsia="zh-CN"/>
        </w:rPr>
        <w:t>富恒纯债一年定期开放债券型发起式证券投资基金</w:t>
      </w:r>
      <w:r>
        <w:rPr>
          <w:rFonts w:hint="eastAsia" w:ascii="宋体" w:hAnsi="宋体" w:eastAsia="宋体" w:cs="宋体"/>
          <w:kern w:val="0"/>
          <w:szCs w:val="21"/>
        </w:rPr>
        <w:t>基金份额持有人大会表决结果暨决议生效的公告》，《博时</w:t>
      </w:r>
      <w:r>
        <w:rPr>
          <w:rFonts w:hint="eastAsia" w:ascii="宋体" w:hAnsi="宋体" w:eastAsia="宋体" w:cs="宋体"/>
          <w:kern w:val="0"/>
          <w:szCs w:val="21"/>
          <w:lang w:eastAsia="zh-CN"/>
        </w:rPr>
        <w:t>富恒纯债一年定期开放债券型发起式证券投资基金</w:t>
      </w:r>
      <w:r>
        <w:rPr>
          <w:rFonts w:hint="eastAsia" w:ascii="宋体" w:hAnsi="宋体" w:eastAsia="宋体" w:cs="宋体"/>
          <w:kern w:val="0"/>
          <w:szCs w:val="21"/>
        </w:rPr>
        <w:t>基金合同》自本公告发布之日起终止。</w:t>
      </w:r>
    </w:p>
    <w:p w14:paraId="78A1019D">
      <w:pPr>
        <w:widowControl/>
        <w:spacing w:line="360" w:lineRule="auto"/>
        <w:ind w:firstLine="420" w:firstLineChars="200"/>
        <w:rPr>
          <w:rFonts w:hint="eastAsia" w:ascii="宋体" w:hAnsi="宋体" w:eastAsia="宋体" w:cs="宋体"/>
          <w:kern w:val="0"/>
          <w:szCs w:val="21"/>
        </w:rPr>
      </w:pPr>
    </w:p>
    <w:p w14:paraId="73E1BD57">
      <w:pPr>
        <w:pStyle w:val="15"/>
        <w:spacing w:line="360" w:lineRule="auto"/>
        <w:ind w:firstLine="422" w:firstLineChars="200"/>
        <w:rPr>
          <w:rFonts w:hint="eastAsia" w:ascii="宋体" w:hAnsi="宋体" w:cs="宋体"/>
          <w:b/>
          <w:sz w:val="21"/>
          <w:szCs w:val="21"/>
        </w:rPr>
      </w:pPr>
      <w:r>
        <w:rPr>
          <w:rFonts w:hint="eastAsia" w:ascii="宋体" w:hAnsi="宋体" w:cs="宋体"/>
          <w:b/>
          <w:sz w:val="21"/>
          <w:szCs w:val="21"/>
        </w:rPr>
        <w:t>三、备查文件</w:t>
      </w:r>
    </w:p>
    <w:p w14:paraId="6397EB30">
      <w:pPr>
        <w:pStyle w:val="15"/>
        <w:spacing w:line="360" w:lineRule="auto"/>
        <w:ind w:firstLine="420" w:firstLineChars="200"/>
        <w:rPr>
          <w:rFonts w:hint="eastAsia" w:ascii="宋体" w:hAnsi="宋体" w:cs="宋体"/>
          <w:sz w:val="21"/>
          <w:szCs w:val="21"/>
        </w:rPr>
      </w:pPr>
      <w:r>
        <w:rPr>
          <w:rFonts w:hint="eastAsia" w:ascii="宋体" w:hAnsi="宋体" w:cs="宋体"/>
          <w:sz w:val="21"/>
          <w:szCs w:val="21"/>
        </w:rPr>
        <w:t>1、《博时</w:t>
      </w:r>
      <w:r>
        <w:rPr>
          <w:rFonts w:hint="eastAsia" w:hAnsi="宋体" w:cs="宋体"/>
          <w:sz w:val="21"/>
          <w:szCs w:val="21"/>
          <w:lang w:eastAsia="zh-CN"/>
        </w:rPr>
        <w:t>富恒纯债一年定期开放债券型发起式证券投资基金</w:t>
      </w:r>
      <w:r>
        <w:rPr>
          <w:rFonts w:hint="eastAsia" w:ascii="宋体" w:hAnsi="宋体" w:cs="宋体"/>
          <w:sz w:val="21"/>
          <w:szCs w:val="21"/>
        </w:rPr>
        <w:t>基金合同》</w:t>
      </w:r>
    </w:p>
    <w:p w14:paraId="5C1AF584">
      <w:pPr>
        <w:pStyle w:val="15"/>
        <w:spacing w:line="360" w:lineRule="auto"/>
        <w:ind w:firstLine="420" w:firstLineChars="200"/>
        <w:rPr>
          <w:rFonts w:hint="eastAsia" w:ascii="宋体" w:hAnsi="宋体" w:cs="宋体"/>
          <w:sz w:val="21"/>
          <w:szCs w:val="21"/>
        </w:rPr>
      </w:pPr>
      <w:r>
        <w:rPr>
          <w:rFonts w:hint="eastAsia" w:ascii="宋体" w:hAnsi="宋体" w:cs="宋体"/>
          <w:sz w:val="21"/>
          <w:szCs w:val="21"/>
        </w:rPr>
        <w:t>2、《博时基金管理有限公司关于博时</w:t>
      </w:r>
      <w:r>
        <w:rPr>
          <w:rFonts w:hint="eastAsia" w:hAnsi="宋体" w:cs="宋体"/>
          <w:sz w:val="21"/>
          <w:szCs w:val="21"/>
          <w:lang w:eastAsia="zh-CN"/>
        </w:rPr>
        <w:t>富恒纯债一年定期开放债券型发起式证券投资基金</w:t>
      </w:r>
      <w:r>
        <w:rPr>
          <w:rFonts w:hint="eastAsia" w:ascii="宋体" w:hAnsi="宋体" w:cs="宋体"/>
          <w:sz w:val="21"/>
          <w:szCs w:val="21"/>
        </w:rPr>
        <w:t>基金份额持有人大会表决结果暨决议生效的公告》</w:t>
      </w:r>
    </w:p>
    <w:p w14:paraId="16043CEA">
      <w:pPr>
        <w:pStyle w:val="15"/>
        <w:spacing w:line="360" w:lineRule="auto"/>
        <w:ind w:firstLine="420" w:firstLineChars="200"/>
        <w:rPr>
          <w:rFonts w:hint="eastAsia" w:ascii="宋体" w:hAnsi="宋体" w:cs="宋体"/>
          <w:sz w:val="21"/>
          <w:szCs w:val="21"/>
        </w:rPr>
      </w:pPr>
      <w:r>
        <w:rPr>
          <w:rFonts w:hint="eastAsia" w:ascii="宋体" w:hAnsi="宋体" w:cs="宋体"/>
          <w:sz w:val="21"/>
          <w:szCs w:val="21"/>
        </w:rPr>
        <w:t>3、《博时</w:t>
      </w:r>
      <w:r>
        <w:rPr>
          <w:rFonts w:hint="eastAsia" w:hAnsi="宋体" w:cs="宋体"/>
          <w:sz w:val="21"/>
          <w:szCs w:val="21"/>
          <w:lang w:eastAsia="zh-CN"/>
        </w:rPr>
        <w:t>富恒纯债一年定期开放债券型发起式证券投资基金</w:t>
      </w:r>
      <w:r>
        <w:rPr>
          <w:rFonts w:hint="eastAsia" w:ascii="宋体" w:hAnsi="宋体" w:cs="宋体"/>
          <w:sz w:val="21"/>
          <w:szCs w:val="21"/>
        </w:rPr>
        <w:t>清算报告》</w:t>
      </w:r>
    </w:p>
    <w:p w14:paraId="3E82946E">
      <w:pPr>
        <w:pStyle w:val="15"/>
        <w:spacing w:line="360" w:lineRule="auto"/>
        <w:ind w:firstLine="420" w:firstLineChars="200"/>
        <w:rPr>
          <w:rFonts w:hint="eastAsia" w:ascii="宋体" w:hAnsi="宋体" w:cs="宋体"/>
          <w:sz w:val="21"/>
          <w:szCs w:val="21"/>
        </w:rPr>
      </w:pPr>
      <w:r>
        <w:rPr>
          <w:rFonts w:hint="eastAsia" w:ascii="宋体" w:hAnsi="宋体" w:cs="宋体"/>
          <w:sz w:val="21"/>
          <w:szCs w:val="21"/>
        </w:rPr>
        <w:t>4、《博时</w:t>
      </w:r>
      <w:r>
        <w:rPr>
          <w:rFonts w:hint="eastAsia" w:hAnsi="宋体" w:cs="宋体"/>
          <w:sz w:val="21"/>
          <w:szCs w:val="21"/>
          <w:lang w:eastAsia="zh-CN"/>
        </w:rPr>
        <w:t>富恒纯债一年定期开放债券型发起式证券投资基金</w:t>
      </w:r>
      <w:r>
        <w:rPr>
          <w:rFonts w:hint="eastAsia" w:ascii="宋体" w:hAnsi="宋体" w:cs="宋体"/>
          <w:sz w:val="21"/>
          <w:szCs w:val="21"/>
        </w:rPr>
        <w:t>清算审计报告》</w:t>
      </w:r>
    </w:p>
    <w:p w14:paraId="2405E21C">
      <w:pPr>
        <w:pStyle w:val="15"/>
        <w:spacing w:line="360" w:lineRule="auto"/>
        <w:ind w:firstLine="420" w:firstLineChars="200"/>
        <w:rPr>
          <w:rFonts w:hint="eastAsia" w:ascii="宋体" w:hAnsi="宋体" w:cs="宋体"/>
          <w:sz w:val="21"/>
          <w:szCs w:val="21"/>
        </w:rPr>
      </w:pPr>
      <w:r>
        <w:rPr>
          <w:rFonts w:hint="eastAsia" w:ascii="宋体" w:hAnsi="宋体" w:cs="宋体"/>
          <w:sz w:val="21"/>
          <w:szCs w:val="21"/>
        </w:rPr>
        <w:t>5、</w:t>
      </w:r>
      <w:bookmarkStart w:id="0" w:name="OLE_LINK3"/>
      <w:bookmarkStart w:id="1" w:name="OLE_LINK1"/>
      <w:r>
        <w:rPr>
          <w:rFonts w:hint="eastAsia" w:ascii="宋体" w:hAnsi="宋体" w:cs="宋体"/>
          <w:sz w:val="21"/>
          <w:szCs w:val="21"/>
        </w:rPr>
        <w:t>法律意见书</w:t>
      </w:r>
      <w:bookmarkEnd w:id="0"/>
      <w:bookmarkEnd w:id="1"/>
    </w:p>
    <w:p w14:paraId="090518C3">
      <w:pPr>
        <w:pStyle w:val="15"/>
        <w:spacing w:line="360" w:lineRule="auto"/>
        <w:ind w:firstLine="420" w:firstLineChars="200"/>
        <w:rPr>
          <w:rFonts w:hint="eastAsia" w:ascii="宋体" w:hAnsi="宋体" w:cs="宋体"/>
          <w:sz w:val="21"/>
          <w:szCs w:val="21"/>
        </w:rPr>
      </w:pPr>
    </w:p>
    <w:p w14:paraId="603485A6">
      <w:pPr>
        <w:pStyle w:val="15"/>
        <w:spacing w:line="360" w:lineRule="auto"/>
        <w:ind w:firstLine="422" w:firstLineChars="200"/>
        <w:rPr>
          <w:rFonts w:hint="eastAsia" w:ascii="宋体" w:hAnsi="宋体" w:cs="宋体"/>
          <w:b/>
          <w:sz w:val="21"/>
          <w:szCs w:val="21"/>
        </w:rPr>
      </w:pPr>
      <w:r>
        <w:rPr>
          <w:rFonts w:hint="eastAsia" w:ascii="宋体" w:hAnsi="宋体" w:cs="宋体"/>
          <w:b/>
          <w:sz w:val="21"/>
          <w:szCs w:val="21"/>
        </w:rPr>
        <w:t>四、特别提示</w:t>
      </w:r>
    </w:p>
    <w:p w14:paraId="6194F64E">
      <w:pPr>
        <w:pStyle w:val="15"/>
        <w:spacing w:line="360" w:lineRule="auto"/>
        <w:ind w:firstLine="420" w:firstLineChars="200"/>
        <w:rPr>
          <w:rFonts w:hint="eastAsia" w:ascii="宋体" w:hAnsi="宋体" w:cs="宋体"/>
          <w:sz w:val="21"/>
          <w:szCs w:val="21"/>
        </w:rPr>
      </w:pPr>
      <w:r>
        <w:rPr>
          <w:rFonts w:hint="eastAsia" w:ascii="宋体" w:hAnsi="宋体" w:cs="宋体"/>
          <w:sz w:val="21"/>
          <w:szCs w:val="21"/>
        </w:rPr>
        <w:t>本公告的解释权归博时基金管理有限公司所有。投资者欲了解详情,可拨打本基金管理人的客户服务电话95105568 (免长途话费)进行咨询。</w:t>
      </w:r>
    </w:p>
    <w:p w14:paraId="393BC695">
      <w:pPr>
        <w:pStyle w:val="15"/>
        <w:spacing w:line="360" w:lineRule="auto"/>
        <w:ind w:firstLine="420" w:firstLineChars="200"/>
        <w:rPr>
          <w:rFonts w:hint="eastAsia" w:ascii="宋体" w:hAnsi="宋体" w:cs="宋体"/>
          <w:sz w:val="21"/>
          <w:szCs w:val="21"/>
        </w:rPr>
      </w:pPr>
      <w:r>
        <w:rPr>
          <w:rFonts w:hint="eastAsia" w:ascii="宋体" w:hAnsi="宋体" w:cs="宋体"/>
          <w:sz w:val="21"/>
          <w:szCs w:val="21"/>
        </w:rPr>
        <w:t xml:space="preserve">特此公告。 </w:t>
      </w:r>
    </w:p>
    <w:p w14:paraId="2B826D87">
      <w:pPr>
        <w:pStyle w:val="15"/>
        <w:spacing w:line="360" w:lineRule="auto"/>
        <w:ind w:firstLine="420" w:firstLineChars="200"/>
        <w:jc w:val="right"/>
        <w:rPr>
          <w:rFonts w:hint="eastAsia" w:ascii="宋体" w:hAnsi="宋体" w:cs="宋体"/>
          <w:sz w:val="21"/>
          <w:szCs w:val="21"/>
        </w:rPr>
      </w:pPr>
    </w:p>
    <w:p w14:paraId="3614CB48">
      <w:pPr>
        <w:pStyle w:val="15"/>
        <w:spacing w:line="360" w:lineRule="auto"/>
        <w:ind w:firstLine="420" w:firstLineChars="200"/>
        <w:jc w:val="right"/>
        <w:rPr>
          <w:rFonts w:hint="eastAsia" w:ascii="宋体" w:hAnsi="宋体" w:cs="宋体"/>
          <w:sz w:val="21"/>
          <w:szCs w:val="21"/>
        </w:rPr>
      </w:pPr>
    </w:p>
    <w:p w14:paraId="365C4B90">
      <w:pPr>
        <w:pStyle w:val="15"/>
        <w:spacing w:line="360" w:lineRule="auto"/>
        <w:ind w:firstLine="420" w:firstLineChars="200"/>
        <w:jc w:val="right"/>
        <w:rPr>
          <w:rFonts w:hint="eastAsia" w:ascii="宋体" w:hAnsi="宋体" w:cs="宋体"/>
          <w:sz w:val="21"/>
          <w:szCs w:val="21"/>
        </w:rPr>
      </w:pPr>
    </w:p>
    <w:p w14:paraId="4F5110CD">
      <w:pPr>
        <w:pStyle w:val="15"/>
        <w:spacing w:line="360" w:lineRule="auto"/>
        <w:ind w:firstLine="420" w:firstLineChars="200"/>
        <w:jc w:val="right"/>
        <w:rPr>
          <w:rFonts w:hint="eastAsia" w:ascii="宋体" w:hAnsi="宋体" w:cs="宋体"/>
          <w:sz w:val="21"/>
          <w:szCs w:val="21"/>
        </w:rPr>
      </w:pPr>
    </w:p>
    <w:p w14:paraId="48CBD3F5">
      <w:pPr>
        <w:pStyle w:val="15"/>
        <w:spacing w:line="360" w:lineRule="auto"/>
        <w:ind w:firstLine="420" w:firstLineChars="200"/>
        <w:jc w:val="right"/>
        <w:rPr>
          <w:rFonts w:hint="eastAsia" w:ascii="宋体" w:hAnsi="宋体" w:cs="宋体"/>
          <w:sz w:val="21"/>
          <w:szCs w:val="21"/>
        </w:rPr>
      </w:pPr>
      <w:r>
        <w:rPr>
          <w:rFonts w:hint="eastAsia" w:ascii="宋体" w:hAnsi="宋体" w:cs="宋体"/>
          <w:sz w:val="21"/>
          <w:szCs w:val="21"/>
        </w:rPr>
        <w:t xml:space="preserve">博时基金管理有限公司 </w:t>
      </w:r>
    </w:p>
    <w:p w14:paraId="1AFE9425">
      <w:pPr>
        <w:wordWrap w:val="0"/>
        <w:spacing w:line="360" w:lineRule="auto"/>
        <w:ind w:firstLine="420" w:firstLineChars="200"/>
        <w:jc w:val="right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 xml:space="preserve"> 2026年7月</w:t>
      </w:r>
      <w:r>
        <w:rPr>
          <w:rFonts w:hint="eastAsia" w:ascii="宋体" w:hAnsi="宋体" w:eastAsia="宋体" w:cs="宋体"/>
          <w:szCs w:val="21"/>
          <w:lang w:val="en-US" w:eastAsia="zh-CN"/>
        </w:rPr>
        <w:t>16</w:t>
      </w:r>
      <w:r>
        <w:rPr>
          <w:rFonts w:hint="eastAsia" w:ascii="宋体" w:hAnsi="宋体" w:eastAsia="宋体" w:cs="宋体"/>
          <w:szCs w:val="21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trackRevisions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3B6F"/>
    <w:rsid w:val="00006F04"/>
    <w:rsid w:val="00066662"/>
    <w:rsid w:val="00097794"/>
    <w:rsid w:val="000C1640"/>
    <w:rsid w:val="00120D3D"/>
    <w:rsid w:val="001E2F9F"/>
    <w:rsid w:val="0021543F"/>
    <w:rsid w:val="00251451"/>
    <w:rsid w:val="00275C8F"/>
    <w:rsid w:val="002811E1"/>
    <w:rsid w:val="002A7E7C"/>
    <w:rsid w:val="002B5452"/>
    <w:rsid w:val="002C2AA2"/>
    <w:rsid w:val="003024E8"/>
    <w:rsid w:val="003C06A1"/>
    <w:rsid w:val="004014EF"/>
    <w:rsid w:val="004028DF"/>
    <w:rsid w:val="00444C75"/>
    <w:rsid w:val="004811CE"/>
    <w:rsid w:val="004845BA"/>
    <w:rsid w:val="004F4D45"/>
    <w:rsid w:val="00502638"/>
    <w:rsid w:val="00533E8A"/>
    <w:rsid w:val="0058552D"/>
    <w:rsid w:val="005909A6"/>
    <w:rsid w:val="005D07D5"/>
    <w:rsid w:val="005F599E"/>
    <w:rsid w:val="006D31F5"/>
    <w:rsid w:val="006F3847"/>
    <w:rsid w:val="006F4E48"/>
    <w:rsid w:val="007806D4"/>
    <w:rsid w:val="00793B6F"/>
    <w:rsid w:val="007C4A87"/>
    <w:rsid w:val="007D5332"/>
    <w:rsid w:val="007E02E2"/>
    <w:rsid w:val="008363AC"/>
    <w:rsid w:val="008365D0"/>
    <w:rsid w:val="008B075D"/>
    <w:rsid w:val="008E756F"/>
    <w:rsid w:val="009069C8"/>
    <w:rsid w:val="00933AF0"/>
    <w:rsid w:val="00A32C7C"/>
    <w:rsid w:val="00A71902"/>
    <w:rsid w:val="00AB16AF"/>
    <w:rsid w:val="00AC23CA"/>
    <w:rsid w:val="00B65778"/>
    <w:rsid w:val="00C27A24"/>
    <w:rsid w:val="00C32446"/>
    <w:rsid w:val="00CA3B90"/>
    <w:rsid w:val="00CC3E5B"/>
    <w:rsid w:val="00CD2F2D"/>
    <w:rsid w:val="00CE414E"/>
    <w:rsid w:val="00D04E0E"/>
    <w:rsid w:val="00D33BDB"/>
    <w:rsid w:val="00D3606B"/>
    <w:rsid w:val="00D650F3"/>
    <w:rsid w:val="00D672C7"/>
    <w:rsid w:val="00D91770"/>
    <w:rsid w:val="00D948B9"/>
    <w:rsid w:val="00D9643A"/>
    <w:rsid w:val="00DA4525"/>
    <w:rsid w:val="00DD0D6E"/>
    <w:rsid w:val="00DE497D"/>
    <w:rsid w:val="00E449E4"/>
    <w:rsid w:val="00E72538"/>
    <w:rsid w:val="00E72C5B"/>
    <w:rsid w:val="00EC029C"/>
    <w:rsid w:val="00EE073A"/>
    <w:rsid w:val="00EE2F38"/>
    <w:rsid w:val="00EE342A"/>
    <w:rsid w:val="00F154EF"/>
    <w:rsid w:val="00F51C6B"/>
    <w:rsid w:val="00F87F5C"/>
    <w:rsid w:val="019D145D"/>
    <w:rsid w:val="02F376D7"/>
    <w:rsid w:val="0548780B"/>
    <w:rsid w:val="057C54D3"/>
    <w:rsid w:val="0DDC490B"/>
    <w:rsid w:val="11667E25"/>
    <w:rsid w:val="13A428FF"/>
    <w:rsid w:val="14212B8F"/>
    <w:rsid w:val="17B96818"/>
    <w:rsid w:val="17C11F1C"/>
    <w:rsid w:val="17D248FF"/>
    <w:rsid w:val="1A086D86"/>
    <w:rsid w:val="1D893A7A"/>
    <w:rsid w:val="1FD66208"/>
    <w:rsid w:val="20746650"/>
    <w:rsid w:val="23183BFD"/>
    <w:rsid w:val="28572281"/>
    <w:rsid w:val="2C0C26CA"/>
    <w:rsid w:val="2E933762"/>
    <w:rsid w:val="3016005D"/>
    <w:rsid w:val="30EA0CAA"/>
    <w:rsid w:val="316558EA"/>
    <w:rsid w:val="36362391"/>
    <w:rsid w:val="364E5E5D"/>
    <w:rsid w:val="38E9112C"/>
    <w:rsid w:val="3AA239F0"/>
    <w:rsid w:val="3B331FA9"/>
    <w:rsid w:val="3C573B4B"/>
    <w:rsid w:val="42C651E2"/>
    <w:rsid w:val="46272253"/>
    <w:rsid w:val="46E434A7"/>
    <w:rsid w:val="46FA5602"/>
    <w:rsid w:val="4CBA71AE"/>
    <w:rsid w:val="50B87770"/>
    <w:rsid w:val="52F53710"/>
    <w:rsid w:val="551E3AB8"/>
    <w:rsid w:val="5711591F"/>
    <w:rsid w:val="576963E1"/>
    <w:rsid w:val="57D157A0"/>
    <w:rsid w:val="5F6A590B"/>
    <w:rsid w:val="637C71F8"/>
    <w:rsid w:val="63FB5FEB"/>
    <w:rsid w:val="65310E34"/>
    <w:rsid w:val="6A813F22"/>
    <w:rsid w:val="6B9B4914"/>
    <w:rsid w:val="6BF13AFE"/>
    <w:rsid w:val="6E5B12F1"/>
    <w:rsid w:val="6F1745E4"/>
    <w:rsid w:val="70AA4F52"/>
    <w:rsid w:val="720A248D"/>
    <w:rsid w:val="72AA6993"/>
    <w:rsid w:val="73D760B7"/>
    <w:rsid w:val="7B6D7AD9"/>
    <w:rsid w:val="7CBA3595"/>
    <w:rsid w:val="7E954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3"/>
    <w:next w:val="1"/>
    <w:unhideWhenUsed/>
    <w:qFormat/>
    <w:uiPriority w:val="9"/>
    <w:pPr>
      <w:keepNext/>
      <w:keepLines/>
      <w:widowControl w:val="0"/>
      <w:spacing w:before="260" w:after="260" w:line="416" w:lineRule="auto"/>
      <w:jc w:val="both"/>
      <w:outlineLvl w:val="2"/>
    </w:pPr>
    <w:rPr>
      <w:rFonts w:asciiTheme="minorHAnsi" w:hAnsiTheme="minorHAnsi" w:eastAsiaTheme="minorEastAsia" w:cstheme="minorBidi"/>
      <w:b/>
      <w:bCs/>
      <w:kern w:val="2"/>
      <w:sz w:val="32"/>
      <w:szCs w:val="32"/>
      <w:lang w:val="en-US" w:eastAsia="zh-CN" w:bidi="ar-SA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16"/>
    <w:unhideWhenUsed/>
    <w:qFormat/>
    <w:uiPriority w:val="99"/>
    <w:pPr>
      <w:jc w:val="left"/>
    </w:pPr>
  </w:style>
  <w:style w:type="paragraph" w:styleId="4">
    <w:name w:val="Balloon Text"/>
    <w:basedOn w:val="1"/>
    <w:link w:val="18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4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annotation subject"/>
    <w:basedOn w:val="3"/>
    <w:next w:val="3"/>
    <w:link w:val="17"/>
    <w:semiHidden/>
    <w:unhideWhenUsed/>
    <w:qFormat/>
    <w:uiPriority w:val="99"/>
    <w:rPr>
      <w:b/>
      <w:bCs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Emphasis"/>
    <w:basedOn w:val="10"/>
    <w:qFormat/>
    <w:uiPriority w:val="20"/>
    <w:rPr>
      <w:i/>
      <w:iCs/>
    </w:rPr>
  </w:style>
  <w:style w:type="character" w:styleId="12">
    <w:name w:val="annotation reference"/>
    <w:basedOn w:val="10"/>
    <w:semiHidden/>
    <w:unhideWhenUsed/>
    <w:qFormat/>
    <w:uiPriority w:val="99"/>
    <w:rPr>
      <w:sz w:val="21"/>
      <w:szCs w:val="21"/>
    </w:rPr>
  </w:style>
  <w:style w:type="character" w:customStyle="1" w:styleId="13">
    <w:name w:val="页眉 字符"/>
    <w:basedOn w:val="10"/>
    <w:link w:val="6"/>
    <w:qFormat/>
    <w:uiPriority w:val="99"/>
    <w:rPr>
      <w:sz w:val="18"/>
      <w:szCs w:val="18"/>
    </w:rPr>
  </w:style>
  <w:style w:type="character" w:customStyle="1" w:styleId="14">
    <w:name w:val="页脚 字符"/>
    <w:basedOn w:val="10"/>
    <w:link w:val="5"/>
    <w:qFormat/>
    <w:uiPriority w:val="99"/>
    <w:rPr>
      <w:sz w:val="18"/>
      <w:szCs w:val="18"/>
    </w:rPr>
  </w:style>
  <w:style w:type="paragraph" w:customStyle="1" w:styleId="15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eastAsia="宋体" w:cs="宋体" w:hAnsiTheme="minorHAnsi"/>
      <w:color w:val="000000"/>
      <w:sz w:val="24"/>
      <w:szCs w:val="24"/>
      <w:lang w:val="en-US" w:eastAsia="zh-CN" w:bidi="ar-SA"/>
    </w:rPr>
  </w:style>
  <w:style w:type="character" w:customStyle="1" w:styleId="16">
    <w:name w:val="批注文字 字符"/>
    <w:basedOn w:val="10"/>
    <w:link w:val="3"/>
    <w:qFormat/>
    <w:uiPriority w:val="99"/>
    <w:rPr>
      <w:kern w:val="2"/>
      <w:sz w:val="21"/>
      <w:szCs w:val="22"/>
    </w:rPr>
  </w:style>
  <w:style w:type="character" w:customStyle="1" w:styleId="17">
    <w:name w:val="批注主题 字符"/>
    <w:basedOn w:val="16"/>
    <w:link w:val="7"/>
    <w:semiHidden/>
    <w:qFormat/>
    <w:uiPriority w:val="99"/>
    <w:rPr>
      <w:b/>
      <w:bCs/>
      <w:kern w:val="2"/>
      <w:sz w:val="21"/>
      <w:szCs w:val="22"/>
    </w:rPr>
  </w:style>
  <w:style w:type="character" w:customStyle="1" w:styleId="18">
    <w:name w:val="批注框文本 字符"/>
    <w:basedOn w:val="10"/>
    <w:link w:val="4"/>
    <w:semiHidden/>
    <w:qFormat/>
    <w:uiPriority w:val="99"/>
    <w:rPr>
      <w:kern w:val="2"/>
      <w:sz w:val="18"/>
      <w:szCs w:val="18"/>
    </w:rPr>
  </w:style>
  <w:style w:type="paragraph" w:customStyle="1" w:styleId="19">
    <w:name w:val="修订1"/>
    <w:hidden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">
    <w:name w:val="Revision"/>
    <w:hidden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DDB871-CA4D-4E0F-9081-25EAFA57701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HP</Company>
  <Pages>2</Pages>
  <Words>192</Words>
  <Characters>1097</Characters>
  <Lines>9</Lines>
  <Paragraphs>2</Paragraphs>
  <TotalTime>4</TotalTime>
  <ScaleCrop>false</ScaleCrop>
  <LinksUpToDate>false</LinksUpToDate>
  <CharactersWithSpaces>1287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2018-12-07T09:13:00Z</dcterms:created>
  <dc:creator>汤玲</dc:creator>
  <cp:lastModifiedBy>fuxj</cp:lastModifiedBy>
  <dcterms:modified xsi:type="dcterms:W3CDTF">2026-07-15T06:05:35Z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2A3177557C3D4F5D97B49CCFC84BC480_13</vt:lpwstr>
  </property>
</Properties>
</file>