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博时国证粮食产业指数型发起式证券投资基金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兴业银行股份有限公司</w:t>
      </w:r>
      <w:r>
        <w:rPr>
          <w:rFonts w:ascii="宋体" w:hAnsi="宋体" w:eastAsia="宋体"/>
          <w:b/>
          <w:sz w:val="30"/>
        </w:rPr>
        <w:br w:type="page"/>
      </w:r>
    </w:p>
    <w:p>
      <w:pPr>
        <w:pStyle w:val="2"/>
        <w:jc w:val="center"/>
        <w:rPr>
          <w:rFonts w:ascii="宋体" w:hAnsi="宋体" w:eastAsia="宋体"/>
          <w:sz w:val="30"/>
        </w:rPr>
      </w:pPr>
      <w:bookmarkStart w:id="0" w:name="_Toc176190819"/>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本基金经中国证券监督管理委员会（以下简称“中国证监会”）2024年1月12日证监许可【2024】70号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w:t>
      </w:r>
    </w:p>
    <w:p>
      <w:pPr>
        <w:pStyle w:val="7"/>
        <w:spacing w:before="0" w:beforeAutospacing="0" w:after="0" w:afterAutospacing="0" w:line="360" w:lineRule="auto"/>
        <w:ind w:firstLine="420"/>
        <w:rPr>
          <w:sz w:val="21"/>
          <w:szCs w:val="21"/>
        </w:rPr>
      </w:pPr>
      <w:r>
        <w:rPr>
          <w:rFonts w:hint="eastAsia"/>
          <w:sz w:val="21"/>
          <w:szCs w:val="21"/>
        </w:rPr>
        <w:t>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w:t>
      </w:r>
    </w:p>
    <w:p>
      <w:pPr>
        <w:pStyle w:val="7"/>
        <w:spacing w:before="0" w:beforeAutospacing="0" w:after="0" w:afterAutospacing="0" w:line="360" w:lineRule="auto"/>
        <w:ind w:firstLine="420"/>
        <w:rPr>
          <w:sz w:val="21"/>
          <w:szCs w:val="21"/>
        </w:rPr>
      </w:pPr>
      <w:r>
        <w:rPr>
          <w:rFonts w:hint="eastAsia"/>
          <w:sz w:val="21"/>
          <w:szCs w:val="21"/>
        </w:rPr>
        <w:t>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等。</w:t>
      </w:r>
    </w:p>
    <w:p>
      <w:pPr>
        <w:pStyle w:val="7"/>
        <w:spacing w:before="0" w:beforeAutospacing="0" w:after="0" w:afterAutospacing="0" w:line="360" w:lineRule="auto"/>
        <w:ind w:firstLine="420"/>
        <w:rPr>
          <w:sz w:val="21"/>
          <w:szCs w:val="21"/>
        </w:rPr>
      </w:pPr>
      <w:r>
        <w:rPr>
          <w:rFonts w:hint="eastAsia"/>
          <w:sz w:val="21"/>
          <w:szCs w:val="21"/>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pStyle w:val="7"/>
        <w:spacing w:before="0" w:beforeAutospacing="0" w:after="0" w:afterAutospacing="0" w:line="360" w:lineRule="auto"/>
        <w:ind w:firstLine="420"/>
        <w:rPr>
          <w:sz w:val="21"/>
          <w:szCs w:val="21"/>
        </w:rPr>
      </w:pPr>
      <w:r>
        <w:rPr>
          <w:rFonts w:hint="eastAsia"/>
          <w:sz w:val="21"/>
          <w:szCs w:val="21"/>
        </w:rPr>
        <w:t>本基金为指数基金，投资者投资于本基金面临跟踪误差控制未达约定目标、指数编制机构停止服务、成份股停牌或退市等潜在风险，具体风险详见本招募说明书“风险揭示”部分。</w:t>
      </w:r>
    </w:p>
    <w:p>
      <w:pPr>
        <w:pStyle w:val="7"/>
        <w:spacing w:before="0" w:beforeAutospacing="0" w:after="0" w:afterAutospacing="0" w:line="360" w:lineRule="auto"/>
        <w:ind w:firstLine="420"/>
        <w:rPr>
          <w:sz w:val="21"/>
          <w:szCs w:val="21"/>
        </w:rPr>
      </w:pPr>
      <w:r>
        <w:rPr>
          <w:rFonts w:hint="eastAsia"/>
          <w:sz w:val="21"/>
          <w:szCs w:val="21"/>
        </w:rPr>
        <w:t>本基金的标的指数为国证粮食产业指数，编制方案如下：</w:t>
      </w:r>
    </w:p>
    <w:p>
      <w:pPr>
        <w:pStyle w:val="7"/>
        <w:spacing w:before="0" w:beforeAutospacing="0" w:after="0" w:afterAutospacing="0" w:line="360" w:lineRule="auto"/>
        <w:ind w:firstLine="420"/>
        <w:rPr>
          <w:sz w:val="21"/>
          <w:szCs w:val="21"/>
        </w:rPr>
      </w:pPr>
      <w:r>
        <w:rPr>
          <w:rFonts w:hint="eastAsia"/>
          <w:sz w:val="21"/>
          <w:szCs w:val="21"/>
        </w:rPr>
        <w:t>（1）代码与名称</w:t>
      </w:r>
    </w:p>
    <w:p>
      <w:pPr>
        <w:pStyle w:val="7"/>
        <w:spacing w:before="0" w:beforeAutospacing="0" w:after="0" w:afterAutospacing="0" w:line="360" w:lineRule="auto"/>
        <w:ind w:firstLine="420"/>
        <w:rPr>
          <w:sz w:val="21"/>
          <w:szCs w:val="21"/>
        </w:rPr>
      </w:pPr>
      <w:r>
        <w:rPr>
          <w:rFonts w:hint="eastAsia"/>
          <w:sz w:val="21"/>
          <w:szCs w:val="21"/>
        </w:rPr>
        <w:t>指数名称：国证粮食产业指数</w:t>
      </w:r>
    </w:p>
    <w:p>
      <w:pPr>
        <w:pStyle w:val="7"/>
        <w:spacing w:before="0" w:beforeAutospacing="0" w:after="0" w:afterAutospacing="0" w:line="360" w:lineRule="auto"/>
        <w:ind w:firstLine="420"/>
        <w:rPr>
          <w:sz w:val="21"/>
          <w:szCs w:val="21"/>
        </w:rPr>
      </w:pPr>
      <w:r>
        <w:rPr>
          <w:rFonts w:hint="eastAsia"/>
          <w:sz w:val="21"/>
          <w:szCs w:val="21"/>
        </w:rPr>
        <w:t>指数简称：国证粮食</w:t>
      </w:r>
    </w:p>
    <w:p>
      <w:pPr>
        <w:pStyle w:val="7"/>
        <w:spacing w:before="0" w:beforeAutospacing="0" w:after="0" w:afterAutospacing="0" w:line="360" w:lineRule="auto"/>
        <w:ind w:firstLine="420"/>
        <w:rPr>
          <w:sz w:val="21"/>
          <w:szCs w:val="21"/>
        </w:rPr>
      </w:pPr>
      <w:r>
        <w:rPr>
          <w:rFonts w:hint="eastAsia"/>
          <w:sz w:val="21"/>
          <w:szCs w:val="21"/>
        </w:rPr>
        <w:t>英文名称：CNI Grain Industry Index</w:t>
      </w:r>
    </w:p>
    <w:p>
      <w:pPr>
        <w:pStyle w:val="7"/>
        <w:spacing w:before="0" w:beforeAutospacing="0" w:after="0" w:afterAutospacing="0" w:line="360" w:lineRule="auto"/>
        <w:ind w:firstLine="420"/>
        <w:rPr>
          <w:sz w:val="21"/>
          <w:szCs w:val="21"/>
        </w:rPr>
      </w:pPr>
      <w:r>
        <w:rPr>
          <w:rFonts w:hint="eastAsia"/>
          <w:sz w:val="21"/>
          <w:szCs w:val="21"/>
        </w:rPr>
        <w:t>英文简称：CNI Grain</w:t>
      </w:r>
    </w:p>
    <w:p>
      <w:pPr>
        <w:pStyle w:val="7"/>
        <w:spacing w:before="0" w:beforeAutospacing="0" w:after="0" w:afterAutospacing="0" w:line="360" w:lineRule="auto"/>
        <w:ind w:firstLine="420"/>
        <w:rPr>
          <w:sz w:val="21"/>
          <w:szCs w:val="21"/>
        </w:rPr>
      </w:pPr>
      <w:r>
        <w:rPr>
          <w:rFonts w:hint="eastAsia"/>
          <w:sz w:val="21"/>
          <w:szCs w:val="21"/>
        </w:rPr>
        <w:t>指数代码：399365</w:t>
      </w:r>
    </w:p>
    <w:p>
      <w:pPr>
        <w:pStyle w:val="7"/>
        <w:spacing w:before="0" w:beforeAutospacing="0" w:after="0" w:afterAutospacing="0" w:line="360" w:lineRule="auto"/>
        <w:ind w:firstLine="420"/>
        <w:rPr>
          <w:sz w:val="21"/>
          <w:szCs w:val="21"/>
        </w:rPr>
      </w:pPr>
      <w:r>
        <w:rPr>
          <w:rFonts w:hint="eastAsia"/>
          <w:sz w:val="21"/>
          <w:szCs w:val="21"/>
        </w:rPr>
        <w:t>（2）选样空间</w:t>
      </w:r>
    </w:p>
    <w:p>
      <w:pPr>
        <w:pStyle w:val="7"/>
        <w:spacing w:before="0" w:beforeAutospacing="0" w:after="0" w:afterAutospacing="0" w:line="360" w:lineRule="auto"/>
        <w:ind w:firstLine="420"/>
        <w:rPr>
          <w:sz w:val="21"/>
          <w:szCs w:val="21"/>
        </w:rPr>
      </w:pPr>
      <w:r>
        <w:rPr>
          <w:rFonts w:hint="eastAsia"/>
          <w:sz w:val="21"/>
          <w:szCs w:val="21"/>
        </w:rPr>
        <w:t>满足下列条件的A股和红筹企业发行的存托凭证：</w:t>
      </w:r>
    </w:p>
    <w:p>
      <w:pPr>
        <w:pStyle w:val="7"/>
        <w:spacing w:before="0" w:beforeAutospacing="0" w:after="0" w:afterAutospacing="0" w:line="360" w:lineRule="auto"/>
        <w:ind w:firstLine="420"/>
        <w:rPr>
          <w:sz w:val="21"/>
          <w:szCs w:val="21"/>
        </w:rPr>
      </w:pPr>
      <w:r>
        <w:rPr>
          <w:rFonts w:hint="eastAsia"/>
          <w:sz w:val="21"/>
          <w:szCs w:val="21"/>
        </w:rPr>
        <w:t>1.非ST、*ST证券；</w:t>
      </w:r>
    </w:p>
    <w:p>
      <w:pPr>
        <w:pStyle w:val="7"/>
        <w:spacing w:before="0" w:beforeAutospacing="0" w:after="0" w:afterAutospacing="0" w:line="360" w:lineRule="auto"/>
        <w:ind w:firstLine="420"/>
        <w:rPr>
          <w:sz w:val="21"/>
          <w:szCs w:val="21"/>
        </w:rPr>
      </w:pPr>
      <w:r>
        <w:rPr>
          <w:rFonts w:hint="eastAsia"/>
          <w:sz w:val="21"/>
          <w:szCs w:val="21"/>
        </w:rPr>
        <w:t>2.科创板证券、北交所证券上市时间超过1年；其他证券上市时间超过6个月；</w:t>
      </w:r>
    </w:p>
    <w:p>
      <w:pPr>
        <w:pStyle w:val="7"/>
        <w:spacing w:before="0" w:beforeAutospacing="0" w:after="0" w:afterAutospacing="0" w:line="360" w:lineRule="auto"/>
        <w:ind w:firstLine="420"/>
        <w:rPr>
          <w:sz w:val="21"/>
          <w:szCs w:val="21"/>
        </w:rPr>
      </w:pPr>
      <w:r>
        <w:rPr>
          <w:rFonts w:hint="eastAsia"/>
          <w:sz w:val="21"/>
          <w:szCs w:val="21"/>
        </w:rPr>
        <w:t>3.公司最近一年无重大违规、财务报告无重大问题；</w:t>
      </w:r>
    </w:p>
    <w:p>
      <w:pPr>
        <w:pStyle w:val="7"/>
        <w:spacing w:before="0" w:beforeAutospacing="0" w:after="0" w:afterAutospacing="0" w:line="360" w:lineRule="auto"/>
        <w:ind w:firstLine="420"/>
        <w:rPr>
          <w:sz w:val="21"/>
          <w:szCs w:val="21"/>
        </w:rPr>
      </w:pPr>
      <w:r>
        <w:rPr>
          <w:rFonts w:hint="eastAsia"/>
          <w:sz w:val="21"/>
          <w:szCs w:val="21"/>
        </w:rPr>
        <w:t>4.公司最近一年经营无异常、无重大亏损；</w:t>
      </w:r>
    </w:p>
    <w:p>
      <w:pPr>
        <w:pStyle w:val="7"/>
        <w:spacing w:before="0" w:beforeAutospacing="0" w:after="0" w:afterAutospacing="0" w:line="360" w:lineRule="auto"/>
        <w:ind w:firstLine="420"/>
        <w:rPr>
          <w:sz w:val="21"/>
          <w:szCs w:val="21"/>
        </w:rPr>
      </w:pPr>
      <w:r>
        <w:rPr>
          <w:rFonts w:hint="eastAsia"/>
          <w:sz w:val="21"/>
          <w:szCs w:val="21"/>
        </w:rPr>
        <w:t>5.考察期内证券价格无异常波动；</w:t>
      </w:r>
    </w:p>
    <w:p>
      <w:pPr>
        <w:pStyle w:val="7"/>
        <w:spacing w:before="0" w:beforeAutospacing="0" w:after="0" w:afterAutospacing="0" w:line="360" w:lineRule="auto"/>
        <w:ind w:firstLine="420"/>
        <w:rPr>
          <w:sz w:val="21"/>
          <w:szCs w:val="21"/>
        </w:rPr>
      </w:pPr>
      <w:r>
        <w:rPr>
          <w:rFonts w:hint="eastAsia"/>
          <w:sz w:val="21"/>
          <w:szCs w:val="21"/>
        </w:rPr>
        <w:t>6.公司业务范畴属于粮食产业，包括农资产品（种子、化肥、农药、农业机械）、粮食种植、农田水利、粮油加工及产品贸易等领域。</w:t>
      </w:r>
    </w:p>
    <w:p>
      <w:pPr>
        <w:pStyle w:val="7"/>
        <w:spacing w:before="0" w:beforeAutospacing="0" w:after="0" w:afterAutospacing="0" w:line="360" w:lineRule="auto"/>
        <w:ind w:firstLine="420"/>
        <w:rPr>
          <w:sz w:val="21"/>
          <w:szCs w:val="21"/>
        </w:rPr>
      </w:pPr>
      <w:r>
        <w:rPr>
          <w:rFonts w:hint="eastAsia"/>
          <w:sz w:val="21"/>
          <w:szCs w:val="21"/>
        </w:rPr>
        <w:t>（3）选样方法</w:t>
      </w:r>
    </w:p>
    <w:p>
      <w:pPr>
        <w:pStyle w:val="7"/>
        <w:spacing w:before="0" w:beforeAutospacing="0" w:after="0" w:afterAutospacing="0" w:line="360" w:lineRule="auto"/>
        <w:ind w:firstLine="420"/>
        <w:rPr>
          <w:sz w:val="21"/>
          <w:szCs w:val="21"/>
        </w:rPr>
      </w:pPr>
      <w:r>
        <w:rPr>
          <w:rFonts w:hint="eastAsia"/>
          <w:sz w:val="21"/>
          <w:szCs w:val="21"/>
        </w:rPr>
        <w:t>首先，计算入围选样空间证券在最近半年的日均成交金额和日均总市值；</w:t>
      </w:r>
    </w:p>
    <w:p>
      <w:pPr>
        <w:pStyle w:val="7"/>
        <w:spacing w:before="0" w:beforeAutospacing="0" w:after="0" w:afterAutospacing="0" w:line="360" w:lineRule="auto"/>
        <w:ind w:firstLine="420"/>
        <w:rPr>
          <w:sz w:val="21"/>
          <w:szCs w:val="21"/>
        </w:rPr>
      </w:pPr>
      <w:r>
        <w:rPr>
          <w:rFonts w:hint="eastAsia"/>
          <w:sz w:val="21"/>
          <w:szCs w:val="21"/>
        </w:rPr>
        <w:t>其次，剔除选样空间内最近半年的日均成交金额排名位于后20%的证券；</w:t>
      </w:r>
    </w:p>
    <w:p>
      <w:pPr>
        <w:pStyle w:val="7"/>
        <w:spacing w:before="0" w:beforeAutospacing="0" w:after="0" w:afterAutospacing="0" w:line="360" w:lineRule="auto"/>
        <w:ind w:firstLine="420"/>
        <w:rPr>
          <w:sz w:val="21"/>
          <w:szCs w:val="21"/>
        </w:rPr>
      </w:pPr>
      <w:r>
        <w:rPr>
          <w:rFonts w:hint="eastAsia"/>
          <w:sz w:val="21"/>
          <w:szCs w:val="21"/>
        </w:rPr>
        <w:t>然后，对选样空间剩余证券按照最近半年的日均总市值从高到低排序，选取前50名证券作为指数样本。</w:t>
      </w:r>
    </w:p>
    <w:p>
      <w:pPr>
        <w:pStyle w:val="7"/>
        <w:spacing w:before="0" w:beforeAutospacing="0" w:after="0" w:afterAutospacing="0" w:line="360" w:lineRule="auto"/>
        <w:ind w:firstLine="420"/>
        <w:rPr>
          <w:sz w:val="21"/>
          <w:szCs w:val="21"/>
        </w:rPr>
      </w:pPr>
      <w:r>
        <w:rPr>
          <w:rFonts w:hint="eastAsia"/>
          <w:sz w:val="21"/>
          <w:szCs w:val="21"/>
        </w:rPr>
        <w:t>（4）指数计算</w:t>
      </w:r>
    </w:p>
    <w:p>
      <w:pPr>
        <w:pStyle w:val="7"/>
        <w:spacing w:before="0" w:beforeAutospacing="0" w:after="0" w:afterAutospacing="0" w:line="360" w:lineRule="auto"/>
        <w:ind w:firstLine="420"/>
        <w:rPr>
          <w:sz w:val="21"/>
          <w:szCs w:val="21"/>
        </w:rPr>
      </w:pPr>
      <w:r>
        <w:rPr>
          <w:rFonts w:hint="eastAsia"/>
          <w:sz w:val="21"/>
          <w:szCs w:val="21"/>
        </w:rPr>
        <w:t>指数采用派氏加权法，依据下列公式逐日连锁实时计算：</w:t>
      </w:r>
    </w:p>
    <w:p>
      <w:pPr>
        <w:pStyle w:val="7"/>
        <w:spacing w:before="0" w:beforeAutospacing="0" w:after="0" w:afterAutospacing="0" w:line="360" w:lineRule="auto"/>
        <w:ind w:firstLine="420"/>
        <w:rPr>
          <w:sz w:val="21"/>
          <w:szCs w:val="21"/>
        </w:rPr>
      </w:pPr>
      <w:r>
        <w:rPr>
          <w:rFonts w:hint="eastAsia"/>
          <w:sz w:val="21"/>
          <w:szCs w:val="21"/>
        </w:rPr>
        <w:t>实时指数=上一交易日收市指数×Σ(样本实时成交价×样本权数×权重调整因子)/Σ(样本上一交易日收市价×样本权数×权重调整因子）</w:t>
      </w:r>
    </w:p>
    <w:p>
      <w:pPr>
        <w:pStyle w:val="7"/>
        <w:spacing w:before="0" w:beforeAutospacing="0" w:after="0" w:afterAutospacing="0" w:line="360" w:lineRule="auto"/>
        <w:ind w:firstLine="420"/>
        <w:rPr>
          <w:sz w:val="21"/>
          <w:szCs w:val="21"/>
        </w:rPr>
      </w:pPr>
      <w:r>
        <w:rPr>
          <w:rFonts w:hint="eastAsia"/>
          <w:sz w:val="21"/>
          <w:szCs w:val="21"/>
        </w:rPr>
        <w:t>在指数计算中，设置权重调整因子，基于样本公司的主营业务类型将样本分为两档，种子和粮食种植领域对应样本的自由流通市值调整系数为1，权重上限为15%；其他领域对应样本的自由流通市值调整系数为0.5，权重上限为5%。同时，前五大权重样本合计权重不超过60%。</w:t>
      </w:r>
    </w:p>
    <w:p>
      <w:pPr>
        <w:pStyle w:val="7"/>
        <w:spacing w:before="0" w:beforeAutospacing="0" w:after="0" w:afterAutospacing="0" w:line="360" w:lineRule="auto"/>
        <w:ind w:firstLine="420"/>
        <w:rPr>
          <w:sz w:val="21"/>
          <w:szCs w:val="21"/>
        </w:rPr>
      </w:pPr>
      <w:r>
        <w:rPr>
          <w:rFonts w:hint="eastAsia"/>
          <w:sz w:val="21"/>
          <w:szCs w:val="21"/>
        </w:rPr>
        <w:t>有关标的指数具体编制方案及成份股信息详见深圳证券信息有限公司官方网站，网址：http://www.cnindex.com.cn。</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为更好地实现基金的投资目标，本基金可能会少量投资于成分股以外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pPr>
        <w:pStyle w:val="7"/>
        <w:spacing w:before="0" w:beforeAutospacing="0" w:after="0" w:afterAutospacing="0" w:line="360" w:lineRule="auto"/>
        <w:ind w:firstLine="420"/>
        <w:rPr>
          <w:sz w:val="21"/>
          <w:szCs w:val="21"/>
        </w:rPr>
      </w:pPr>
      <w:r>
        <w:rPr>
          <w:rFonts w:hint="eastAsia"/>
          <w:sz w:val="21"/>
          <w:szCs w:val="21"/>
        </w:rPr>
        <w:t>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pPr>
        <w:pStyle w:val="7"/>
        <w:spacing w:before="0" w:beforeAutospacing="0" w:after="0" w:afterAutospacing="0" w:line="360" w:lineRule="auto"/>
        <w:ind w:firstLine="420"/>
        <w:rPr>
          <w:sz w:val="21"/>
          <w:szCs w:val="21"/>
        </w:rPr>
      </w:pPr>
      <w:r>
        <w:rPr>
          <w:rFonts w:hint="eastAsia"/>
          <w:sz w:val="21"/>
          <w:szCs w:val="21"/>
        </w:rPr>
        <w:t>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pPr>
        <w:pStyle w:val="7"/>
        <w:spacing w:before="0" w:beforeAutospacing="0" w:after="0" w:afterAutospacing="0" w:line="360" w:lineRule="auto"/>
        <w:ind w:firstLine="420"/>
        <w:rPr>
          <w:sz w:val="21"/>
          <w:szCs w:val="21"/>
        </w:rPr>
      </w:pPr>
      <w:r>
        <w:rPr>
          <w:rFonts w:hint="eastAsia"/>
          <w:sz w:val="21"/>
          <w:szCs w:val="21"/>
        </w:rPr>
        <w:t>本基金可参与股票期权交易，以套期保值为主要目的，若参与股票期权交易，可能面临流动性风险、价格风险、操作风险等。</w:t>
      </w:r>
    </w:p>
    <w:p>
      <w:pPr>
        <w:pStyle w:val="7"/>
        <w:spacing w:before="0" w:beforeAutospacing="0" w:after="0" w:afterAutospacing="0" w:line="360" w:lineRule="auto"/>
        <w:ind w:firstLine="420"/>
        <w:rPr>
          <w:sz w:val="21"/>
          <w:szCs w:val="21"/>
        </w:rPr>
      </w:pPr>
      <w:r>
        <w:rPr>
          <w:rFonts w:hint="eastAsia"/>
          <w:sz w:val="21"/>
          <w:szCs w:val="21"/>
        </w:rPr>
        <w:t>基金可根据法律法规的规定参与融资及转融通证券出借业务。本基金将在充分考虑风险和收益特征的基础上，审慎参与融资及转融通证券出借业务。投资者需承担相应的风险。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Fonts w:hint="eastAsia"/>
          <w:sz w:val="21"/>
          <w:szCs w:val="21"/>
        </w:rPr>
        <w:t>本基金为发起式基金，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w:t>
      </w:r>
    </w:p>
    <w:p>
      <w:pPr>
        <w:pStyle w:val="7"/>
        <w:spacing w:before="0" w:beforeAutospacing="0" w:after="0" w:afterAutospacing="0" w:line="360" w:lineRule="auto"/>
        <w:ind w:firstLine="420"/>
        <w:rPr>
          <w:sz w:val="21"/>
          <w:szCs w:val="21"/>
        </w:rPr>
      </w:pPr>
      <w:r>
        <w:rPr>
          <w:rFonts w:hint="eastAsia"/>
          <w:sz w:val="21"/>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pStyle w:val="7"/>
        <w:spacing w:before="0" w:beforeAutospacing="0" w:after="0" w:afterAutospacing="0" w:line="360" w:lineRule="auto"/>
        <w:ind w:firstLine="420"/>
        <w:rPr>
          <w:sz w:val="21"/>
          <w:szCs w:val="21"/>
        </w:rPr>
      </w:pPr>
      <w:r>
        <w:rPr>
          <w:rFonts w:hint="eastAsia"/>
          <w:sz w:val="21"/>
          <w:szCs w:val="21"/>
        </w:rPr>
        <w:t>本基金以1.00元初始面值募集基金份额，在市场波动等因素的影响下，基金投资有可能出现亏损或基金份额净值低于初始面值。</w:t>
      </w:r>
    </w:p>
    <w:p>
      <w:pPr>
        <w:pStyle w:val="7"/>
        <w:spacing w:before="0" w:beforeAutospacing="0" w:after="0" w:afterAutospacing="0" w:line="360" w:lineRule="auto"/>
        <w:ind w:firstLine="420"/>
        <w:rPr>
          <w:sz w:val="21"/>
          <w:szCs w:val="21"/>
        </w:rPr>
      </w:pPr>
      <w:r>
        <w:rPr>
          <w:rFonts w:hint="eastAsia"/>
          <w:sz w:val="21"/>
          <w:szCs w:val="21"/>
        </w:rPr>
        <w:t>基金的过往业绩并不预示其未来表现。基金管理人管理的其他基金的业绩并不构成新基金业绩表现的保证。</w:t>
      </w:r>
    </w:p>
    <w:p>
      <w:pPr>
        <w:pStyle w:val="7"/>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2024年8月31日</w:t>
      </w:r>
      <w:bookmarkEnd w:id="1"/>
      <w:r>
        <w:rPr>
          <w:rFonts w:hint="eastAsia"/>
          <w:sz w:val="21"/>
          <w:szCs w:val="21"/>
        </w:rPr>
        <w:t>，有关财务数据和净值表现截止日为</w:t>
      </w:r>
      <w:bookmarkStart w:id="2" w:name="field_2343_financeendday_1"/>
      <w:r>
        <w:rPr>
          <w:sz w:val="21"/>
          <w:szCs w:val="21"/>
        </w:rPr>
        <w:t>2024年6月30日</w:t>
      </w:r>
      <w:bookmarkEnd w:id="2"/>
      <w:r>
        <w:rPr>
          <w:rFonts w:hint="eastAsia"/>
          <w:sz w:val="21"/>
          <w:szCs w:val="21"/>
        </w:rPr>
        <w:t xml:space="preserve">（财务数据未经审计）。 </w:t>
      </w:r>
      <w:r>
        <w:rPr>
          <w:sz w:val="30"/>
        </w:rPr>
        <w:br w:type="page"/>
      </w:r>
    </w:p>
    <w:p>
      <w:pPr>
        <w:widowControl/>
        <w:jc w:val="center"/>
        <w:rPr>
          <w:rFonts w:ascii="宋体" w:hAnsi="宋体" w:eastAsia="宋体"/>
          <w:b/>
          <w:sz w:val="28"/>
        </w:rPr>
      </w:pPr>
      <w:r>
        <w:rPr>
          <w:rFonts w:hint="eastAsia" w:ascii="宋体" w:hAnsi="宋体" w:eastAsia="宋体"/>
          <w:b/>
          <w:sz w:val="28"/>
        </w:rPr>
        <w:t>目录</w:t>
      </w:r>
    </w:p>
    <w:p>
      <w:pPr>
        <w:pStyle w:val="6"/>
        <w:tabs>
          <w:tab w:val="right" w:leader="dot" w:pos="8290"/>
        </w:tabs>
        <w:spacing w:line="360" w:lineRule="auto"/>
        <w:rPr>
          <w:rFonts w:ascii="宋体" w:hAnsi="宋体" w:eastAsia="宋体"/>
        </w:rPr>
      </w:pPr>
      <w:r>
        <w:rPr>
          <w:rFonts w:ascii="宋体" w:hAnsi="宋体" w:eastAsia="宋体"/>
        </w:rPr>
        <w:fldChar w:fldCharType="begin"/>
      </w:r>
      <w:r>
        <w:rPr>
          <w:rFonts w:ascii="宋体" w:hAnsi="宋体" w:eastAsia="宋体"/>
        </w:rPr>
        <w:instrText xml:space="preserve"> TOC \o "1-2" \f 8 \h \t "2" </w:instrText>
      </w:r>
      <w:r>
        <w:rPr>
          <w:rFonts w:ascii="宋体" w:hAnsi="宋体" w:eastAsia="宋体"/>
        </w:rPr>
        <w:fldChar w:fldCharType="separate"/>
      </w:r>
      <w:r>
        <w:fldChar w:fldCharType="begin"/>
      </w:r>
      <w:r>
        <w:instrText xml:space="preserve"> HYPERLINK \l "_Toc176190819"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_Toc176190819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"_Toc176190820"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_Toc176190820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"_Toc176190821"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_Toc176190821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"_Toc176190822"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_Toc176190822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"_Toc176190823"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_Toc176190823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"_Toc176190824"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_Toc176190824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"_Toc176190825"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_Toc176190825 \h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"_Toc176190826"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_Toc176190826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"_Toc176190852"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_Toc176190852 \h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"_Toc176190853"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_Toc176190853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"_Toc176190854"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_Toc176190854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"_Toc176190855"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_Toc176190855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"_Toc176190856"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_Toc176190856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"_Toc176190857"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_Toc176190857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"_Toc176190858"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_Toc176190858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"_Toc176190859"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_Toc176190859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"_Toc176190860"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_Toc176190860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"_Toc176190861"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_Toc176190861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"_Toc176190862"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_Toc176190862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"_Toc176190863"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_Toc176190863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"_Toc176190864"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_Toc176190864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"_Toc176190865"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_Toc176190865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"_Toc176190866"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_Toc176190866 \h </w:instrText>
      </w:r>
      <w:r>
        <w:rPr>
          <w:rFonts w:ascii="宋体" w:hAnsi="宋体" w:eastAsia="宋体"/>
        </w:rPr>
        <w:fldChar w:fldCharType="separate"/>
      </w:r>
      <w:r>
        <w:rPr>
          <w:rFonts w:ascii="宋体" w:hAnsi="宋体" w:eastAsia="宋体"/>
        </w:rPr>
        <w:t>141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"_Toc176190867"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_Toc176190867 \h </w:instrText>
      </w:r>
      <w:r>
        <w:rPr>
          <w:rFonts w:ascii="宋体" w:hAnsi="宋体" w:eastAsia="宋体"/>
        </w:rPr>
        <w:fldChar w:fldCharType="separate"/>
      </w:r>
      <w:r>
        <w:rPr>
          <w:rFonts w:ascii="宋体" w:hAnsi="宋体" w:eastAsia="宋体"/>
        </w:rPr>
        <w:t>143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"_Toc176190868"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_Toc176190868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 w:name="_Toc176190820"/>
      <w:bookmarkStart w:id="4" w:name="chapter_level1_3_2344"/>
      <w:r>
        <w:rPr>
          <w:rFonts w:hint="eastAsia" w:ascii="宋体" w:hAnsi="宋体" w:eastAsia="宋体"/>
          <w:sz w:val="30"/>
        </w:rPr>
        <w:t>第一部分  绪言</w:t>
      </w:r>
      <w:bookmarkEnd w:id="3"/>
      <w:bookmarkEnd w:id="4"/>
    </w:p>
    <w:p>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博时国证粮食产业指数型发起式证券投资基金</w:t>
      </w:r>
      <w:bookmarkEnd w:id="6"/>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7" w:name="field_0_productfullname_2"/>
      <w:r>
        <w:rPr>
          <w:rFonts w:hint="eastAsia"/>
          <w:sz w:val="21"/>
          <w:szCs w:val="21"/>
        </w:rPr>
        <w:t>博时国证粮食产业指数型发起式证券投资基金</w:t>
      </w:r>
      <w:bookmarkEnd w:id="7"/>
      <w:r>
        <w:rPr>
          <w:rFonts w:hint="eastAsia"/>
          <w:sz w:val="21"/>
          <w:szCs w:val="21"/>
        </w:rPr>
        <w:t>基金合同》（以下简称“《基金合同》”）编写。</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博时国证粮食产业指数型发起式证券投资基金</w:t>
      </w:r>
      <w:bookmarkEnd w:id="8"/>
      <w:r>
        <w:rPr>
          <w:rFonts w:hint="eastAsia"/>
          <w:sz w:val="21"/>
          <w:szCs w:val="21"/>
        </w:rPr>
        <w:t>（以下简称“基金”或“本基金”）的投资目标、策略、风险、费率等与投资人投资决策有关的必要事项，投资人在作出投资决策前应仔细阅读本招募说明书。</w:t>
      </w:r>
    </w:p>
    <w:p>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pPr>
        <w:pStyle w:val="7"/>
        <w:spacing w:before="0" w:beforeAutospacing="0" w:after="0" w:afterAutospacing="0" w:line="360" w:lineRule="auto"/>
        <w:ind w:firstLine="420"/>
        <w:rPr>
          <w:sz w:val="21"/>
          <w:szCs w:val="21"/>
        </w:rPr>
      </w:pPr>
      <w:r>
        <w:rPr>
          <w:rFonts w:hint="eastAsia"/>
          <w:sz w:val="21"/>
          <w:szCs w:val="21"/>
        </w:rPr>
        <w:t>本基金是根据本招募说明书所载明的资料申请募集的。本基金管理人没有委托或授权任何其他人提供未在本招募说明书中载明的信息，或对本招募说明书作任何解释或者说明。</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9" w:name="chapter_level1_3_2344_section_1_end"/>
      <w:bookmarkEnd w:id="9"/>
      <w:r>
        <w:rPr>
          <w:rFonts w:hint="eastAsia"/>
          <w:sz w:val="21"/>
          <w:szCs w:val="21"/>
        </w:rPr>
        <w:t>资人欲了解基金份额持有人的权利和义务，应详细查阅基金合同。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 w:name="_Toc176190821"/>
      <w:bookmarkStart w:id="11" w:name="chapter_level1_4_49"/>
      <w:r>
        <w:rPr>
          <w:rFonts w:hint="eastAsia" w:ascii="宋体" w:hAnsi="宋体" w:eastAsia="宋体"/>
          <w:sz w:val="30"/>
        </w:rPr>
        <w:t>第二部分  释义</w:t>
      </w:r>
      <w:bookmarkEnd w:id="10"/>
      <w:bookmarkEnd w:id="11"/>
    </w:p>
    <w:p>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博时国证粮食产业指数型发起式证券投资基金</w:t>
      </w:r>
      <w:bookmarkEnd w:id="13"/>
    </w:p>
    <w:p>
      <w:pPr>
        <w:pStyle w:val="7"/>
        <w:spacing w:before="0" w:beforeAutospacing="0" w:after="0" w:afterAutospacing="0" w:line="360" w:lineRule="auto"/>
        <w:ind w:firstLine="420"/>
        <w:rPr>
          <w:sz w:val="21"/>
          <w:szCs w:val="21"/>
        </w:rPr>
      </w:pPr>
      <w:r>
        <w:rPr>
          <w:rFonts w:hint="eastAsia"/>
          <w:sz w:val="21"/>
          <w:szCs w:val="21"/>
        </w:rPr>
        <w:t>2、基金管理人：指博时基金管理有限公司</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4" w:name="field_0_trustorgfullname_1"/>
      <w:r>
        <w:rPr>
          <w:rFonts w:hint="eastAsia"/>
          <w:sz w:val="21"/>
          <w:szCs w:val="21"/>
        </w:rPr>
        <w:t>兴业银行股份有限公司</w:t>
      </w:r>
      <w:bookmarkEnd w:id="14"/>
    </w:p>
    <w:p>
      <w:pPr>
        <w:pStyle w:val="7"/>
        <w:spacing w:before="0" w:beforeAutospacing="0" w:after="0" w:afterAutospacing="0" w:line="360" w:lineRule="auto"/>
        <w:ind w:firstLine="420"/>
        <w:rPr>
          <w:sz w:val="21"/>
          <w:szCs w:val="21"/>
        </w:rPr>
      </w:pPr>
      <w:r>
        <w:rPr>
          <w:rFonts w:hint="eastAsia"/>
          <w:sz w:val="21"/>
          <w:szCs w:val="21"/>
        </w:rPr>
        <w:t>4、基金合同：指《</w:t>
      </w:r>
      <w:bookmarkStart w:id="15" w:name="field_0_productfullname_5"/>
      <w:r>
        <w:rPr>
          <w:rFonts w:hint="eastAsia"/>
          <w:sz w:val="21"/>
          <w:szCs w:val="21"/>
        </w:rPr>
        <w:t>博时国证粮食产业指数型发起式证券投资基金</w:t>
      </w:r>
      <w:bookmarkEnd w:id="15"/>
      <w:r>
        <w:rPr>
          <w:rFonts w:hint="eastAsia"/>
          <w:sz w:val="21"/>
          <w:szCs w:val="21"/>
        </w:rPr>
        <w:t>基金合同》及对基金合同的任何有效修订和补充</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6"/>
      <w:r>
        <w:rPr>
          <w:rFonts w:hint="eastAsia"/>
          <w:sz w:val="21"/>
          <w:szCs w:val="21"/>
        </w:rPr>
        <w:t>博时国证粮食产业指数型发起式证券投资基金</w:t>
      </w:r>
      <w:bookmarkEnd w:id="16"/>
      <w:r>
        <w:rPr>
          <w:rFonts w:hint="eastAsia"/>
          <w:sz w:val="21"/>
          <w:szCs w:val="21"/>
        </w:rPr>
        <w:t>托管协议》及对该托管协议的任何有效修订和补充</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7" w:name="field_0_productfullname_7"/>
      <w:r>
        <w:rPr>
          <w:rFonts w:hint="eastAsia"/>
          <w:sz w:val="21"/>
          <w:szCs w:val="21"/>
        </w:rPr>
        <w:t>博时国证粮食产业指数型发起式证券投资基金</w:t>
      </w:r>
      <w:bookmarkEnd w:id="17"/>
      <w:r>
        <w:rPr>
          <w:rFonts w:hint="eastAsia"/>
          <w:sz w:val="21"/>
          <w:szCs w:val="21"/>
        </w:rPr>
        <w:t>招募说明书》及其更新</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8" w:name="field_0_productfullname_8"/>
      <w:r>
        <w:rPr>
          <w:rFonts w:hint="eastAsia"/>
          <w:sz w:val="21"/>
          <w:szCs w:val="21"/>
        </w:rPr>
        <w:t>博时国证粮食产业指数型发起式证券投资基金</w:t>
      </w:r>
      <w:bookmarkEnd w:id="18"/>
      <w:r>
        <w:rPr>
          <w:rFonts w:hint="eastAsia"/>
          <w:sz w:val="21"/>
          <w:szCs w:val="21"/>
        </w:rPr>
        <w:t>基金份额发售公告》</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19" w:name="field_0_productfullname_9"/>
      <w:r>
        <w:rPr>
          <w:rFonts w:hint="eastAsia"/>
          <w:sz w:val="21"/>
          <w:szCs w:val="21"/>
        </w:rPr>
        <w:t>博时国证粮食产业指数型发起式证券投资基金</w:t>
      </w:r>
      <w:bookmarkEnd w:id="19"/>
      <w:r>
        <w:rPr>
          <w:rFonts w:hint="eastAsia"/>
          <w:sz w:val="21"/>
          <w:szCs w:val="21"/>
        </w:rPr>
        <w:t>基金产品资料概要》及其更新</w:t>
      </w:r>
    </w:p>
    <w:p>
      <w:pPr>
        <w:pStyle w:val="7"/>
        <w:spacing w:before="0" w:beforeAutospacing="0" w:after="0" w:afterAutospacing="0" w:line="360" w:lineRule="auto"/>
        <w:ind w:firstLine="420"/>
        <w:rPr>
          <w:sz w:val="21"/>
          <w:szCs w:val="21"/>
        </w:rPr>
      </w:pPr>
      <w:r>
        <w:rPr>
          <w:rFonts w:hint="eastAsia"/>
          <w:sz w:val="21"/>
          <w:szCs w:val="21"/>
        </w:rPr>
        <w:t>9、法律法规：指中国现行有效并公布实施的法律、行政法规、规范性文件、司法解释、行政规章以及其他对基金合同当事人有约束力的决定、决议、通知等</w:t>
      </w:r>
    </w:p>
    <w:p>
      <w:pPr>
        <w:pStyle w:val="7"/>
        <w:spacing w:before="0" w:beforeAutospacing="0" w:after="0" w:afterAutospacing="0" w:line="360" w:lineRule="auto"/>
        <w:ind w:firstLine="420"/>
        <w:rPr>
          <w:sz w:val="21"/>
          <w:szCs w:val="21"/>
        </w:rPr>
      </w:pPr>
      <w:r>
        <w:rPr>
          <w:rFonts w:hint="eastAsia"/>
          <w:sz w:val="21"/>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11、《销售办法》：指中国证监会2020年8月28日颁布、同年10月1日实施的《公开募集证券投资基金销售机构监督管理办法》及颁布机关对其不时做出的修订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13、《运作办法》：指中国证监会2014年7月7日颁布、同年8月8日实施的《公开募集证券投资基金运作管理办法》及颁布机关对其不时做出的修订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14、《流动性风险管理规定》：指中国证监会2017年8月31日颁布、同年10月1日实施的《公开募集开放式证券投资基金流动性风险管理规定》及颁布机关对其不时做出的修订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15、中国证监会：指中国证券监督管理委员会</w:t>
      </w:r>
    </w:p>
    <w:p>
      <w:pPr>
        <w:pStyle w:val="7"/>
        <w:spacing w:before="0" w:beforeAutospacing="0" w:after="0" w:afterAutospacing="0" w:line="360" w:lineRule="auto"/>
        <w:ind w:firstLine="420"/>
        <w:rPr>
          <w:sz w:val="21"/>
          <w:szCs w:val="21"/>
        </w:rPr>
      </w:pPr>
      <w:r>
        <w:rPr>
          <w:rFonts w:hint="eastAsia"/>
          <w:sz w:val="21"/>
          <w:szCs w:val="21"/>
        </w:rPr>
        <w:t>16、银行业监督管理机构：指中国人民银行和/或国家金融监督管理总局</w:t>
      </w:r>
    </w:p>
    <w:p>
      <w:pPr>
        <w:pStyle w:val="7"/>
        <w:spacing w:before="0" w:beforeAutospacing="0" w:after="0" w:afterAutospacing="0" w:line="360" w:lineRule="auto"/>
        <w:ind w:firstLine="420"/>
        <w:rPr>
          <w:sz w:val="21"/>
          <w:szCs w:val="21"/>
        </w:rPr>
      </w:pPr>
      <w:r>
        <w:rPr>
          <w:rFonts w:hint="eastAsia"/>
          <w:sz w:val="21"/>
          <w:szCs w:val="21"/>
        </w:rPr>
        <w:t>17、基金合同当事人：指受基金合同约束，根据基金合同享有权利并承担义务的法律主体，包括基金管理人、基金托管人和基金份额持有人</w:t>
      </w:r>
    </w:p>
    <w:p>
      <w:pPr>
        <w:pStyle w:val="7"/>
        <w:spacing w:before="0" w:beforeAutospacing="0" w:after="0" w:afterAutospacing="0" w:line="360" w:lineRule="auto"/>
        <w:ind w:firstLine="420"/>
        <w:rPr>
          <w:sz w:val="21"/>
          <w:szCs w:val="21"/>
        </w:rPr>
      </w:pPr>
      <w:r>
        <w:rPr>
          <w:rFonts w:hint="eastAsia"/>
          <w:sz w:val="21"/>
          <w:szCs w:val="21"/>
        </w:rPr>
        <w:t>18、个人投资者：指依据有关法律法规规定可投资于证券投资基金的自然人</w:t>
      </w:r>
    </w:p>
    <w:p>
      <w:pPr>
        <w:pStyle w:val="7"/>
        <w:spacing w:before="0" w:beforeAutospacing="0" w:after="0" w:afterAutospacing="0" w:line="360" w:lineRule="auto"/>
        <w:ind w:firstLine="420"/>
        <w:rPr>
          <w:sz w:val="21"/>
          <w:szCs w:val="21"/>
        </w:rPr>
      </w:pPr>
      <w:r>
        <w:rPr>
          <w:rFonts w:hint="eastAsia"/>
          <w:sz w:val="21"/>
          <w:szCs w:val="21"/>
        </w:rPr>
        <w:t>19、机构投资者：指依法可以投资证券投资基金的、在中华人民共和国境内合法登记并存续或经有关政府部门批准设立并存续的企业法人、事业法人、社会团体或其他组织</w:t>
      </w:r>
    </w:p>
    <w:p>
      <w:pPr>
        <w:pStyle w:val="7"/>
        <w:spacing w:before="0" w:beforeAutospacing="0" w:after="0" w:afterAutospacing="0" w:line="360" w:lineRule="auto"/>
        <w:ind w:firstLine="420"/>
        <w:rPr>
          <w:sz w:val="21"/>
          <w:szCs w:val="21"/>
        </w:rPr>
      </w:pPr>
      <w:r>
        <w:rPr>
          <w:rFonts w:hint="eastAsia"/>
          <w:sz w:val="21"/>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pStyle w:val="7"/>
        <w:spacing w:before="0" w:beforeAutospacing="0" w:after="0" w:afterAutospacing="0" w:line="360" w:lineRule="auto"/>
        <w:ind w:firstLine="420"/>
        <w:rPr>
          <w:sz w:val="21"/>
          <w:szCs w:val="21"/>
        </w:rPr>
      </w:pPr>
      <w:r>
        <w:rPr>
          <w:rFonts w:hint="eastAsia"/>
          <w:sz w:val="21"/>
          <w:szCs w:val="21"/>
        </w:rPr>
        <w:t>21、投资人、投资者：指个人投资者、机构投资者、合格境外投资者、发起资金提供方以及法律法规或中国证监会允许购买证券投资基金的其他投资人的合称</w:t>
      </w:r>
    </w:p>
    <w:p>
      <w:pPr>
        <w:pStyle w:val="7"/>
        <w:spacing w:before="0" w:beforeAutospacing="0" w:after="0" w:afterAutospacing="0" w:line="360" w:lineRule="auto"/>
        <w:ind w:firstLine="420"/>
        <w:rPr>
          <w:sz w:val="21"/>
          <w:szCs w:val="21"/>
        </w:rPr>
      </w:pPr>
      <w:r>
        <w:rPr>
          <w:rFonts w:hint="eastAsia"/>
          <w:sz w:val="21"/>
          <w:szCs w:val="21"/>
        </w:rPr>
        <w:t>22、基金份额持有人：指依基金合同和招募说明书合法取得基金份额的投资人</w:t>
      </w:r>
    </w:p>
    <w:p>
      <w:pPr>
        <w:pStyle w:val="7"/>
        <w:spacing w:before="0" w:beforeAutospacing="0" w:after="0" w:afterAutospacing="0" w:line="360" w:lineRule="auto"/>
        <w:ind w:firstLine="420"/>
        <w:rPr>
          <w:sz w:val="21"/>
          <w:szCs w:val="21"/>
        </w:rPr>
      </w:pPr>
      <w:r>
        <w:rPr>
          <w:rFonts w:hint="eastAsia"/>
          <w:sz w:val="21"/>
          <w:szCs w:val="21"/>
        </w:rPr>
        <w:t>23、基金销售业务：指基金管理人或销售机构宣传推介基金，发售基金份额，办理基金份额的申购、赎回、转换、转托管及定期定额投资等业务</w:t>
      </w:r>
    </w:p>
    <w:p>
      <w:pPr>
        <w:pStyle w:val="7"/>
        <w:spacing w:before="0" w:beforeAutospacing="0" w:after="0" w:afterAutospacing="0" w:line="360" w:lineRule="auto"/>
        <w:ind w:firstLine="420"/>
        <w:rPr>
          <w:sz w:val="21"/>
          <w:szCs w:val="21"/>
        </w:rPr>
      </w:pPr>
      <w:r>
        <w:rPr>
          <w:rFonts w:hint="eastAsia"/>
          <w:sz w:val="21"/>
          <w:szCs w:val="21"/>
        </w:rPr>
        <w:t>24、销售机构：指博时基金管理有限公司以及符合《销售办法》和中国证监会规定的其他条件，取得基金销售业务资格并与基金管理人签订了基金销售服务协议，办理基金销售业务的机构</w:t>
      </w:r>
    </w:p>
    <w:p>
      <w:pPr>
        <w:pStyle w:val="7"/>
        <w:spacing w:before="0" w:beforeAutospacing="0" w:after="0" w:afterAutospacing="0" w:line="360" w:lineRule="auto"/>
        <w:ind w:firstLine="420"/>
        <w:rPr>
          <w:sz w:val="21"/>
          <w:szCs w:val="21"/>
        </w:rPr>
      </w:pPr>
      <w:r>
        <w:rPr>
          <w:rFonts w:hint="eastAsia"/>
          <w:sz w:val="21"/>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pStyle w:val="7"/>
        <w:spacing w:before="0" w:beforeAutospacing="0" w:after="0" w:afterAutospacing="0" w:line="360" w:lineRule="auto"/>
        <w:ind w:firstLine="420"/>
        <w:rPr>
          <w:sz w:val="21"/>
          <w:szCs w:val="21"/>
        </w:rPr>
      </w:pPr>
      <w:r>
        <w:rPr>
          <w:rFonts w:hint="eastAsia"/>
          <w:sz w:val="21"/>
          <w:szCs w:val="21"/>
        </w:rPr>
        <w:t>26、登记机构：指办理登记业务的机构。本基金的登记机构为博时基金管理有限公司</w:t>
      </w:r>
    </w:p>
    <w:p>
      <w:pPr>
        <w:pStyle w:val="7"/>
        <w:spacing w:before="0" w:beforeAutospacing="0" w:after="0" w:afterAutospacing="0" w:line="360" w:lineRule="auto"/>
        <w:ind w:firstLine="420"/>
        <w:rPr>
          <w:sz w:val="21"/>
          <w:szCs w:val="21"/>
        </w:rPr>
      </w:pPr>
      <w:r>
        <w:rPr>
          <w:rFonts w:hint="eastAsia"/>
          <w:sz w:val="21"/>
          <w:szCs w:val="21"/>
        </w:rPr>
        <w:t>27、基金账户：指登记机构为投资人开立的、记录其持有的、基金管理人所管理的基金份额余额及其变动情况的账户</w:t>
      </w:r>
    </w:p>
    <w:p>
      <w:pPr>
        <w:pStyle w:val="7"/>
        <w:spacing w:before="0" w:beforeAutospacing="0" w:after="0" w:afterAutospacing="0" w:line="360" w:lineRule="auto"/>
        <w:ind w:firstLine="420"/>
        <w:rPr>
          <w:sz w:val="21"/>
          <w:szCs w:val="21"/>
        </w:rPr>
      </w:pPr>
      <w:r>
        <w:rPr>
          <w:rFonts w:hint="eastAsia"/>
          <w:sz w:val="21"/>
          <w:szCs w:val="21"/>
        </w:rPr>
        <w:t>28、基金交易账户：指销售机构为投资人开立的、记录投资人通过该销售机构办理认购、申购、赎回、转换、转托管及定期定额投资等业务而引起的基金份额变动及结余情况的账户</w:t>
      </w:r>
    </w:p>
    <w:p>
      <w:pPr>
        <w:pStyle w:val="7"/>
        <w:spacing w:before="0" w:beforeAutospacing="0" w:after="0" w:afterAutospacing="0" w:line="360" w:lineRule="auto"/>
        <w:ind w:firstLine="420"/>
        <w:rPr>
          <w:sz w:val="21"/>
          <w:szCs w:val="21"/>
        </w:rPr>
      </w:pPr>
      <w:r>
        <w:rPr>
          <w:rFonts w:hint="eastAsia"/>
          <w:sz w:val="21"/>
          <w:szCs w:val="21"/>
        </w:rPr>
        <w:t>29、基金合同生效日：指基金募集达到法律法规规定及基金合同规定的条件，基金管理人向中国证监会办理基金备案手续完毕，并获得中国证监会书面确认的日期</w:t>
      </w:r>
    </w:p>
    <w:p>
      <w:pPr>
        <w:pStyle w:val="7"/>
        <w:spacing w:before="0" w:beforeAutospacing="0" w:after="0" w:afterAutospacing="0" w:line="360" w:lineRule="auto"/>
        <w:ind w:firstLine="420"/>
        <w:rPr>
          <w:sz w:val="21"/>
          <w:szCs w:val="21"/>
        </w:rPr>
      </w:pPr>
      <w:r>
        <w:rPr>
          <w:rFonts w:hint="eastAsia"/>
          <w:sz w:val="21"/>
          <w:szCs w:val="21"/>
        </w:rPr>
        <w:t>30、基金合同终止日：指基金合同规定的基金合同终止事由出现后，基金财产清算完毕，清算结果报中国证监会备案并予以公告的日期</w:t>
      </w:r>
    </w:p>
    <w:p>
      <w:pPr>
        <w:pStyle w:val="7"/>
        <w:spacing w:before="0" w:beforeAutospacing="0" w:after="0" w:afterAutospacing="0" w:line="360" w:lineRule="auto"/>
        <w:ind w:firstLine="420"/>
        <w:rPr>
          <w:sz w:val="21"/>
          <w:szCs w:val="21"/>
        </w:rPr>
      </w:pPr>
      <w:r>
        <w:rPr>
          <w:rFonts w:hint="eastAsia"/>
          <w:sz w:val="21"/>
          <w:szCs w:val="21"/>
        </w:rPr>
        <w:t>31、基金募集期：指自基金份额发售之日起至发售结束之日止的期间，最长不得超过3个月</w:t>
      </w:r>
    </w:p>
    <w:p>
      <w:pPr>
        <w:pStyle w:val="7"/>
        <w:spacing w:before="0" w:beforeAutospacing="0" w:after="0" w:afterAutospacing="0" w:line="360" w:lineRule="auto"/>
        <w:ind w:firstLine="420"/>
        <w:rPr>
          <w:sz w:val="21"/>
          <w:szCs w:val="21"/>
        </w:rPr>
      </w:pPr>
      <w:r>
        <w:rPr>
          <w:rFonts w:hint="eastAsia"/>
          <w:sz w:val="21"/>
          <w:szCs w:val="21"/>
        </w:rPr>
        <w:t>32、存续期：指基金合同生效至终止之间的不定期期限</w:t>
      </w:r>
    </w:p>
    <w:p>
      <w:pPr>
        <w:pStyle w:val="7"/>
        <w:spacing w:before="0" w:beforeAutospacing="0" w:after="0" w:afterAutospacing="0" w:line="360" w:lineRule="auto"/>
        <w:ind w:firstLine="420"/>
        <w:rPr>
          <w:sz w:val="21"/>
          <w:szCs w:val="21"/>
        </w:rPr>
      </w:pPr>
      <w:r>
        <w:rPr>
          <w:rFonts w:hint="eastAsia"/>
          <w:sz w:val="21"/>
          <w:szCs w:val="21"/>
        </w:rPr>
        <w:t>33、工作日：指上海证券交易所、深圳证券交易所及相关期货交易所的正常交易日</w:t>
      </w:r>
    </w:p>
    <w:p>
      <w:pPr>
        <w:pStyle w:val="7"/>
        <w:spacing w:before="0" w:beforeAutospacing="0" w:after="0" w:afterAutospacing="0" w:line="360" w:lineRule="auto"/>
        <w:ind w:firstLine="420"/>
        <w:rPr>
          <w:sz w:val="21"/>
          <w:szCs w:val="21"/>
        </w:rPr>
      </w:pPr>
      <w:r>
        <w:rPr>
          <w:rFonts w:hint="eastAsia"/>
          <w:sz w:val="21"/>
          <w:szCs w:val="21"/>
        </w:rPr>
        <w:t>34、T日：指销售机构在规定时间受理投资人申购、赎回或其他业务申请的开放日</w:t>
      </w:r>
    </w:p>
    <w:p>
      <w:pPr>
        <w:pStyle w:val="7"/>
        <w:spacing w:before="0" w:beforeAutospacing="0" w:after="0" w:afterAutospacing="0" w:line="360" w:lineRule="auto"/>
        <w:ind w:firstLine="420"/>
        <w:rPr>
          <w:sz w:val="21"/>
          <w:szCs w:val="21"/>
        </w:rPr>
      </w:pPr>
      <w:r>
        <w:rPr>
          <w:rFonts w:hint="eastAsia"/>
          <w:sz w:val="21"/>
          <w:szCs w:val="21"/>
        </w:rPr>
        <w:t>35、T+n日：指自T日起第n个工作日（不包含T日），n为自然数</w:t>
      </w:r>
    </w:p>
    <w:p>
      <w:pPr>
        <w:pStyle w:val="7"/>
        <w:spacing w:before="0" w:beforeAutospacing="0" w:after="0" w:afterAutospacing="0" w:line="360" w:lineRule="auto"/>
        <w:ind w:firstLine="420"/>
        <w:rPr>
          <w:sz w:val="21"/>
          <w:szCs w:val="21"/>
        </w:rPr>
      </w:pPr>
      <w:r>
        <w:rPr>
          <w:rFonts w:hint="eastAsia"/>
          <w:sz w:val="21"/>
          <w:szCs w:val="21"/>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pPr>
        <w:pStyle w:val="7"/>
        <w:spacing w:before="0" w:beforeAutospacing="0" w:after="0" w:afterAutospacing="0" w:line="360" w:lineRule="auto"/>
        <w:ind w:firstLine="420"/>
        <w:rPr>
          <w:sz w:val="21"/>
          <w:szCs w:val="21"/>
        </w:rPr>
      </w:pPr>
      <w:r>
        <w:rPr>
          <w:rFonts w:hint="eastAsia"/>
          <w:sz w:val="21"/>
          <w:szCs w:val="21"/>
        </w:rPr>
        <w:t>37、开放时间：指开放日基金接受申购、赎回或其他交易的时间段</w:t>
      </w:r>
    </w:p>
    <w:p>
      <w:pPr>
        <w:pStyle w:val="7"/>
        <w:spacing w:before="0" w:beforeAutospacing="0" w:after="0" w:afterAutospacing="0" w:line="360" w:lineRule="auto"/>
        <w:ind w:firstLine="420"/>
        <w:rPr>
          <w:sz w:val="21"/>
          <w:szCs w:val="21"/>
        </w:rPr>
      </w:pPr>
      <w:r>
        <w:rPr>
          <w:rFonts w:hint="eastAsia"/>
          <w:sz w:val="21"/>
          <w:szCs w:val="21"/>
        </w:rPr>
        <w:t>38、《业务规则》：指《博时基金管理有限公司开放式基金业务规则》，是规范基金管理人所管理的开放式证券投资基金登记方面的业务规则，由基金管理人、销售机构和投资人共同遵守</w:t>
      </w:r>
    </w:p>
    <w:p>
      <w:pPr>
        <w:pStyle w:val="7"/>
        <w:spacing w:before="0" w:beforeAutospacing="0" w:after="0" w:afterAutospacing="0" w:line="360" w:lineRule="auto"/>
        <w:ind w:firstLine="420"/>
        <w:rPr>
          <w:sz w:val="21"/>
          <w:szCs w:val="21"/>
        </w:rPr>
      </w:pPr>
      <w:r>
        <w:rPr>
          <w:rFonts w:hint="eastAsia"/>
          <w:sz w:val="21"/>
          <w:szCs w:val="21"/>
        </w:rPr>
        <w:t>39、认购：指在基金募集期内，投资人根据基金合同和招募说明书的规定，申请购买基金份额的行为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40、申购：指基金合同生效后，投资人根据基金合同和招募说明书的规定，申请购买基金份额的行为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41、赎回：指基金合同生效后，基金份额持有人按基金合同和招募说明书规定的条件，要求将基金份额兑换为现金的行为</w:t>
      </w:r>
    </w:p>
    <w:p>
      <w:pPr>
        <w:pStyle w:val="7"/>
        <w:spacing w:before="0" w:beforeAutospacing="0" w:after="0" w:afterAutospacing="0" w:line="360" w:lineRule="auto"/>
        <w:ind w:firstLine="420"/>
        <w:rPr>
          <w:sz w:val="21"/>
          <w:szCs w:val="21"/>
        </w:rPr>
      </w:pPr>
      <w:r>
        <w:rPr>
          <w:rFonts w:hint="eastAsia"/>
          <w:sz w:val="21"/>
          <w:szCs w:val="21"/>
        </w:rPr>
        <w:t>42、基金转换：指基金份额持有人按照基金合同和基金管理人届时有效公告规定的条件，申请将其持有基金管理人管理的、某一基金的基金份额转换为基金管理人管理的其他基金基金份额的行为</w:t>
      </w:r>
    </w:p>
    <w:p>
      <w:pPr>
        <w:pStyle w:val="7"/>
        <w:spacing w:before="0" w:beforeAutospacing="0" w:after="0" w:afterAutospacing="0" w:line="360" w:lineRule="auto"/>
        <w:ind w:firstLine="420"/>
        <w:rPr>
          <w:sz w:val="21"/>
          <w:szCs w:val="21"/>
        </w:rPr>
      </w:pPr>
      <w:r>
        <w:rPr>
          <w:rFonts w:hint="eastAsia"/>
          <w:sz w:val="21"/>
          <w:szCs w:val="21"/>
        </w:rPr>
        <w:t>43、转托管：指基金份额持有人在本基金的不同销售机构之间实施的变更所持基金份额销售机构的操作</w:t>
      </w:r>
    </w:p>
    <w:p>
      <w:pPr>
        <w:pStyle w:val="7"/>
        <w:spacing w:before="0" w:beforeAutospacing="0" w:after="0" w:afterAutospacing="0" w:line="360" w:lineRule="auto"/>
        <w:ind w:firstLine="420"/>
        <w:rPr>
          <w:sz w:val="21"/>
          <w:szCs w:val="21"/>
        </w:rPr>
      </w:pPr>
      <w:r>
        <w:rPr>
          <w:rFonts w:hint="eastAsia"/>
          <w:sz w:val="21"/>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0" w:name="field_49_mintredeemscale_1"/>
      <w:r>
        <w:rPr>
          <w:sz w:val="21"/>
          <w:szCs w:val="21"/>
        </w:rPr>
        <w:t>10</w:t>
      </w:r>
      <w:bookmarkEnd w:id="20"/>
      <w:r>
        <w:rPr>
          <w:rFonts w:hint="eastAsia"/>
          <w:sz w:val="21"/>
          <w:szCs w:val="21"/>
        </w:rPr>
        <w:t>%</w:t>
      </w:r>
    </w:p>
    <w:p>
      <w:pPr>
        <w:pStyle w:val="7"/>
        <w:spacing w:before="0" w:beforeAutospacing="0" w:after="0" w:afterAutospacing="0" w:line="360" w:lineRule="auto"/>
        <w:ind w:firstLine="420"/>
        <w:rPr>
          <w:sz w:val="21"/>
          <w:szCs w:val="21"/>
        </w:rPr>
      </w:pPr>
      <w:r>
        <w:rPr>
          <w:rFonts w:hint="eastAsia"/>
          <w:sz w:val="21"/>
          <w:szCs w:val="21"/>
        </w:rPr>
        <w:t>46、元：指人民币元</w:t>
      </w:r>
    </w:p>
    <w:p>
      <w:pPr>
        <w:pStyle w:val="7"/>
        <w:spacing w:before="0" w:beforeAutospacing="0" w:after="0" w:afterAutospacing="0" w:line="360" w:lineRule="auto"/>
        <w:ind w:firstLine="420"/>
        <w:rPr>
          <w:sz w:val="21"/>
          <w:szCs w:val="21"/>
        </w:rPr>
      </w:pPr>
      <w:r>
        <w:rPr>
          <w:rFonts w:hint="eastAsia"/>
          <w:sz w:val="21"/>
          <w:szCs w:val="21"/>
        </w:rPr>
        <w:t>47、基金收益：指基金投资所得红利、股息、债券利息、买卖证券价差、证券持有期间的公允价值变动、银行存款利息、已实现的其他合法收入及因运用基金财产带来的成本和费用的节约</w:t>
      </w:r>
    </w:p>
    <w:p>
      <w:pPr>
        <w:pStyle w:val="7"/>
        <w:spacing w:before="0" w:beforeAutospacing="0" w:after="0" w:afterAutospacing="0" w:line="360" w:lineRule="auto"/>
        <w:ind w:firstLine="420"/>
        <w:rPr>
          <w:sz w:val="21"/>
          <w:szCs w:val="21"/>
        </w:rPr>
      </w:pPr>
      <w:r>
        <w:rPr>
          <w:rFonts w:hint="eastAsia"/>
          <w:sz w:val="21"/>
          <w:szCs w:val="21"/>
        </w:rPr>
        <w:t>48、基金资产总值：指基金拥有的各类有价证券、银行存款本息、基金应收款项及其他资产的价值总和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Fonts w:hint="eastAsia"/>
          <w:sz w:val="21"/>
          <w:szCs w:val="21"/>
        </w:rPr>
        <w:t>49、基金资产净值：指基金资产总值减去基金负债后的价值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50、基金份额净值：指计算日基金资产净值除以计算日基金份额总数</w:t>
      </w:r>
    </w:p>
    <w:p>
      <w:pPr>
        <w:pStyle w:val="7"/>
        <w:spacing w:before="0" w:beforeAutospacing="0" w:after="0" w:afterAutospacing="0" w:line="360" w:lineRule="auto"/>
        <w:ind w:firstLine="420"/>
        <w:rPr>
          <w:sz w:val="21"/>
          <w:szCs w:val="21"/>
        </w:rPr>
      </w:pPr>
      <w:r>
        <w:rPr>
          <w:rFonts w:hint="eastAsia"/>
          <w:sz w:val="21"/>
          <w:szCs w:val="21"/>
        </w:rPr>
        <w:t>51、基金资产估值：指计算评估基金资产和负债的价值，以确定基金资产净值和基金份额净值的过程</w:t>
      </w:r>
    </w:p>
    <w:p>
      <w:pPr>
        <w:pStyle w:val="7"/>
        <w:spacing w:before="0" w:beforeAutospacing="0" w:after="0" w:afterAutospacing="0" w:line="360" w:lineRule="auto"/>
        <w:ind w:firstLine="420"/>
        <w:rPr>
          <w:sz w:val="21"/>
          <w:szCs w:val="21"/>
        </w:rPr>
      </w:pPr>
      <w:r>
        <w:rPr>
          <w:rFonts w:hint="eastAsia"/>
          <w:sz w:val="21"/>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pStyle w:val="7"/>
        <w:spacing w:before="0" w:beforeAutospacing="0" w:after="0" w:afterAutospacing="0" w:line="360" w:lineRule="auto"/>
        <w:ind w:firstLine="420"/>
        <w:rPr>
          <w:sz w:val="21"/>
          <w:szCs w:val="21"/>
        </w:rPr>
      </w:pPr>
      <w:r>
        <w:rPr>
          <w:rFonts w:hint="eastAsia"/>
          <w:sz w:val="21"/>
          <w:szCs w:val="21"/>
        </w:rPr>
        <w:t>53、A类基金份额：指在投资者认购、申购时收取认购、申购费用，在赎回时根据持有期限收取赎回费用，但不从本类别基金资产中计提销售服务费的基金份额类别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54、C类基金份额：指在投资者认购、申购时不收取认购、申购费用，在赎回时根据持有期限收取赎回费用，且从本类别基金资产中计提销售服务费的基金份额类别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55、销售服务费：指从基金财产中计提的，用于本基金市场推广、销售以及基金份额持有人服务的费用</w:t>
      </w:r>
    </w:p>
    <w:p>
      <w:pPr>
        <w:pStyle w:val="7"/>
        <w:spacing w:before="0" w:beforeAutospacing="0" w:after="0" w:afterAutospacing="0" w:line="360" w:lineRule="auto"/>
        <w:ind w:firstLine="420"/>
        <w:rPr>
          <w:sz w:val="21"/>
          <w:szCs w:val="21"/>
        </w:rPr>
      </w:pPr>
      <w:r>
        <w:rPr>
          <w:rFonts w:hint="eastAsia"/>
          <w:sz w:val="21"/>
          <w:szCs w:val="21"/>
        </w:rPr>
        <w:t>56、港股通：指内地投资者委托内地证券公司，经由证券交易所或经中国证监会认可的机构设立的证券交易服务公司，向香港联合交易所有限公司进行申报，买卖规定范围内的香港联合交易所上市的股票</w:t>
      </w:r>
    </w:p>
    <w:p>
      <w:pPr>
        <w:pStyle w:val="7"/>
        <w:spacing w:before="0" w:beforeAutospacing="0" w:after="0" w:afterAutospacing="0" w:line="360" w:lineRule="auto"/>
        <w:ind w:firstLine="420"/>
        <w:rPr>
          <w:sz w:val="21"/>
          <w:szCs w:val="21"/>
        </w:rPr>
      </w:pPr>
      <w:r>
        <w:rPr>
          <w:rFonts w:hint="eastAsia"/>
          <w:sz w:val="21"/>
          <w:szCs w:val="21"/>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pStyle w:val="7"/>
        <w:spacing w:before="0" w:beforeAutospacing="0" w:after="0" w:afterAutospacing="0" w:line="360" w:lineRule="auto"/>
        <w:ind w:firstLine="420"/>
        <w:rPr>
          <w:sz w:val="21"/>
          <w:szCs w:val="21"/>
        </w:rPr>
      </w:pPr>
      <w:r>
        <w:rPr>
          <w:rFonts w:hint="eastAsia"/>
          <w:sz w:val="21"/>
          <w:szCs w:val="21"/>
        </w:rPr>
        <w:t>58、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pStyle w:val="7"/>
        <w:spacing w:before="0" w:beforeAutospacing="0" w:after="0" w:afterAutospacing="0" w:line="360" w:lineRule="auto"/>
        <w:ind w:firstLine="420"/>
        <w:rPr>
          <w:sz w:val="21"/>
          <w:szCs w:val="21"/>
        </w:rPr>
      </w:pPr>
      <w:r>
        <w:rPr>
          <w:rFonts w:hint="eastAsia"/>
          <w:sz w:val="21"/>
          <w:szCs w:val="21"/>
        </w:rPr>
        <w:t>59、转融通证券出借业务：指基金以一定的费率通过证券交易所综合业务平台向中国证券金融股份有限公司（以下简称证券金融公司）出借证券，证券金融公司到期归还所借证券及相应权益补偿并支付费用的业务</w:t>
      </w:r>
    </w:p>
    <w:p>
      <w:pPr>
        <w:pStyle w:val="7"/>
        <w:spacing w:before="0" w:beforeAutospacing="0" w:after="0" w:afterAutospacing="0" w:line="360" w:lineRule="auto"/>
        <w:ind w:firstLine="420"/>
        <w:rPr>
          <w:sz w:val="21"/>
          <w:szCs w:val="21"/>
        </w:rPr>
      </w:pPr>
      <w:r>
        <w:rPr>
          <w:rFonts w:hint="eastAsia"/>
          <w:sz w:val="21"/>
          <w:szCs w:val="21"/>
        </w:rPr>
        <w:t>60、规定媒介：指符合中国证监会规定条件的用以进行信息披露的全国性报刊及《信息披露办法》规定的互联网网站（包括基金管理人网站、基金托管人网站、中国证监会基金电子披露网站）等媒介</w:t>
      </w:r>
    </w:p>
    <w:p>
      <w:pPr>
        <w:pStyle w:val="7"/>
        <w:spacing w:before="0" w:beforeAutospacing="0" w:after="0" w:afterAutospacing="0" w:line="360" w:lineRule="auto"/>
        <w:ind w:firstLine="420"/>
        <w:rPr>
          <w:sz w:val="21"/>
          <w:szCs w:val="21"/>
        </w:rPr>
      </w:pPr>
      <w:r>
        <w:rPr>
          <w:rFonts w:hint="eastAsia"/>
          <w:sz w:val="21"/>
          <w:szCs w:val="21"/>
        </w:rPr>
        <w:t>61、中国法律：指中华人民共和国法律，就基金合同而言，不包括香港特别行政区、澳门特别行政区和台湾地区法律</w:t>
      </w:r>
    </w:p>
    <w:p>
      <w:pPr>
        <w:pStyle w:val="7"/>
        <w:spacing w:before="0" w:beforeAutospacing="0" w:after="0" w:afterAutospacing="0" w:line="360" w:lineRule="auto"/>
        <w:ind w:firstLine="420"/>
        <w:rPr>
          <w:sz w:val="21"/>
          <w:szCs w:val="21"/>
        </w:rPr>
      </w:pPr>
      <w:r>
        <w:rPr>
          <w:rFonts w:hint="eastAsia"/>
          <w:sz w:val="21"/>
          <w:szCs w:val="21"/>
        </w:rPr>
        <w:t>62、不可抗力：指基金合同当事人不能预见、不能避免且不能克服的客观事件</w:t>
      </w:r>
    </w:p>
    <w:p>
      <w:pPr>
        <w:pStyle w:val="7"/>
        <w:spacing w:before="0" w:beforeAutospacing="0" w:after="0" w:afterAutospacing="0" w:line="360" w:lineRule="auto"/>
        <w:ind w:firstLine="420"/>
        <w:rPr>
          <w:sz w:val="21"/>
          <w:szCs w:val="21"/>
        </w:rPr>
      </w:pPr>
      <w:r>
        <w:rPr>
          <w:rFonts w:hint="eastAsia"/>
          <w:sz w:val="21"/>
          <w:szCs w:val="21"/>
        </w:rPr>
        <w:t>63、《指数基金指引》：指中国证监会2021年1月22日颁布、同年2月1日实施的《公开募集证券投资基金运作指引第3号——指数基金指引》及颁布机关对其不时做出的修订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64、发起资金：指基金管理人的股东资金、基金管理人固有资金、基金管理人高级管理人员或基金经理（指基金管理人员工中依法具有基金经理资格者，包括但可能不限于本基金的基金经理，下同）等人员参与认购的资金</w:t>
      </w:r>
    </w:p>
    <w:p>
      <w:pPr>
        <w:pStyle w:val="7"/>
        <w:spacing w:before="0" w:beforeAutospacing="0" w:after="0" w:afterAutospacing="0" w:line="360" w:lineRule="auto"/>
        <w:ind w:firstLine="420"/>
        <w:rPr>
          <w:sz w:val="21"/>
          <w:szCs w:val="21"/>
        </w:rPr>
      </w:pPr>
      <w:r>
        <w:rPr>
          <w:rFonts w:hint="eastAsia"/>
          <w:sz w:val="21"/>
          <w:szCs w:val="21"/>
        </w:rPr>
        <w:t>65、发起资金提供方：指以发起资金认购本基金且承诺以发起资金认购的基金份额持有期限不少于3年的基金管理人股东、基金管理人、基金管理人的高级管理人员及基金经理等人员</w:t>
      </w:r>
    </w:p>
    <w:p>
      <w:pPr>
        <w:pStyle w:val="7"/>
        <w:spacing w:before="0" w:beforeAutospacing="0" w:after="0" w:afterAutospacing="0" w:line="360" w:lineRule="auto"/>
        <w:ind w:firstLine="420"/>
        <w:rPr>
          <w:sz w:val="21"/>
          <w:szCs w:val="21"/>
        </w:rPr>
      </w:pPr>
      <w:r>
        <w:rPr>
          <w:rFonts w:hint="eastAsia"/>
          <w:sz w:val="21"/>
          <w:szCs w:val="21"/>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pStyle w:val="7"/>
        <w:spacing w:before="0" w:beforeAutospacing="0" w:after="0" w:afterAutospacing="0" w:line="360" w:lineRule="auto"/>
        <w:ind w:firstLine="420"/>
        <w:rPr>
          <w:sz w:val="21"/>
          <w:szCs w:val="21"/>
        </w:rPr>
      </w:pPr>
      <w:r>
        <w:rPr>
          <w:rFonts w:hint="eastAsia"/>
          <w:sz w:val="21"/>
          <w:szCs w:val="21"/>
        </w:rPr>
        <w:t>67、特定资产：包括：（1）无可参考的活跃市场价格且采用估值技术仍导致公允价值存在重大不确定性的资产；（2）按摊余成本计量且计提资产减值准备仍导致资产价值存在</w:t>
      </w:r>
      <w:bookmarkStart w:id="21" w:name="chapter_level1_4_49_section_1_end"/>
      <w:bookmarkEnd w:id="21"/>
      <w:r>
        <w:rPr>
          <w:rFonts w:hint="eastAsia"/>
          <w:sz w:val="21"/>
          <w:szCs w:val="21"/>
        </w:rPr>
        <w:t>重大不确定性的资产；（3）其他资产价值存在重大不确定性的资产</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 w:name="chapter_level1_5_53"/>
      <w:bookmarkStart w:id="23" w:name="_Toc176190822"/>
      <w:r>
        <w:rPr>
          <w:rFonts w:hint="eastAsia" w:ascii="宋体" w:hAnsi="宋体" w:eastAsia="宋体"/>
          <w:sz w:val="30"/>
        </w:rPr>
        <w:t>第三部分  基金管理人</w:t>
      </w:r>
      <w:bookmarkEnd w:id="22"/>
      <w:bookmarkEnd w:id="23"/>
    </w:p>
    <w:p>
      <w:pPr>
        <w:pStyle w:val="7"/>
        <w:widowControl/>
        <w:spacing w:before="0" w:beforeAutospacing="0" w:after="0" w:afterAutospacing="0" w:line="360" w:lineRule="auto"/>
        <w:ind w:firstLine="420" w:firstLineChars="0"/>
        <w:rPr>
          <w:rStyle w:val="11"/>
          <w:rFonts w:hint="eastAsia" w:asciiTheme="minorHAnsi" w:hAnsiTheme="minorHAnsi" w:eastAsiaTheme="minorEastAsia" w:cstheme="minorBidi"/>
          <w:sz w:val="21"/>
          <w:szCs w:val="21"/>
        </w:rPr>
      </w:pPr>
      <w:bookmarkStart w:id="24" w:name="field_0_managerpersoninfo_1_end"/>
      <w:bookmarkEnd w:id="24"/>
      <w:bookmarkStart w:id="25" w:name="chapter_level1_5_53_section_1"/>
      <w:bookmarkEnd w:id="25"/>
      <w:r>
        <w:rPr>
          <w:rStyle w:val="11"/>
          <w:rFonts w:hint="eastAsia" w:asciiTheme="minorHAnsi" w:hAnsiTheme="minorHAnsi" w:eastAsiaTheme="minorEastAsia" w:cstheme="minorBidi"/>
          <w:sz w:val="21"/>
          <w:szCs w:val="21"/>
        </w:rPr>
        <w:t>一、基金管理人概况</w:t>
      </w:r>
    </w:p>
    <w:p>
      <w:pPr>
        <w:pStyle w:val="7"/>
        <w:widowControl/>
        <w:spacing w:before="0" w:beforeAutospacing="0" w:after="0" w:afterAutospacing="0" w:line="360" w:lineRule="auto"/>
        <w:ind w:firstLine="420" w:firstLineChars="0"/>
        <w:rPr>
          <w:rFonts w:hint="eastAsia"/>
          <w:sz w:val="21"/>
          <w:szCs w:val="21"/>
        </w:rPr>
      </w:pPr>
      <w:bookmarkStart w:id="26" w:name="field_0_managercompanyinfo_1_start"/>
      <w:bookmarkEnd w:id="26"/>
      <w:r>
        <w:rPr>
          <w:rFonts w:hint="eastAsia"/>
          <w:sz w:val="21"/>
          <w:szCs w:val="21"/>
        </w:rPr>
        <w:t>名称：</w:t>
      </w:r>
      <w:r>
        <w:rPr>
          <w:rFonts w:hint="eastAsia"/>
          <w:sz w:val="21"/>
          <w:szCs w:val="21"/>
        </w:rPr>
        <w:tab/>
      </w:r>
      <w:r>
        <w:rPr>
          <w:rFonts w:hint="eastAsia"/>
          <w:sz w:val="21"/>
          <w:szCs w:val="21"/>
        </w:rPr>
        <w:t>博时基金管理有限公司</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住所：</w:t>
      </w:r>
      <w:r>
        <w:rPr>
          <w:rFonts w:hint="eastAsia"/>
          <w:sz w:val="21"/>
          <w:szCs w:val="21"/>
        </w:rPr>
        <w:tab/>
      </w:r>
      <w:r>
        <w:rPr>
          <w:rFonts w:hint="eastAsia"/>
          <w:sz w:val="21"/>
          <w:szCs w:val="21"/>
        </w:rPr>
        <w:t>深圳市福田区莲花街道福新社区益田路5999号基金大厦21层</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办公地址：</w:t>
      </w:r>
      <w:r>
        <w:rPr>
          <w:rFonts w:hint="eastAsia"/>
          <w:sz w:val="21"/>
          <w:szCs w:val="21"/>
        </w:rPr>
        <w:tab/>
      </w:r>
      <w:r>
        <w:rPr>
          <w:rFonts w:hint="eastAsia"/>
          <w:sz w:val="21"/>
          <w:szCs w:val="21"/>
        </w:rPr>
        <w:t>广东省深圳市福田区益田路5999号基金大厦21层</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法定代表人：江向阳</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成立时间：</w:t>
      </w:r>
      <w:r>
        <w:rPr>
          <w:rFonts w:hint="eastAsia"/>
          <w:sz w:val="21"/>
          <w:szCs w:val="21"/>
        </w:rPr>
        <w:tab/>
      </w:r>
      <w:r>
        <w:rPr>
          <w:rFonts w:hint="eastAsia"/>
          <w:sz w:val="21"/>
          <w:szCs w:val="21"/>
        </w:rPr>
        <w:t>1998年7月13日</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注册资本：</w:t>
      </w:r>
      <w:r>
        <w:rPr>
          <w:rFonts w:hint="eastAsia"/>
          <w:sz w:val="21"/>
          <w:szCs w:val="21"/>
        </w:rPr>
        <w:tab/>
      </w:r>
      <w:r>
        <w:rPr>
          <w:rFonts w:hint="eastAsia"/>
          <w:sz w:val="21"/>
          <w:szCs w:val="21"/>
        </w:rPr>
        <w:t>2.5亿元人民币</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存续期间：</w:t>
      </w:r>
      <w:r>
        <w:rPr>
          <w:rFonts w:hint="eastAsia"/>
          <w:sz w:val="21"/>
          <w:szCs w:val="21"/>
        </w:rPr>
        <w:tab/>
      </w:r>
      <w:r>
        <w:rPr>
          <w:rFonts w:hint="eastAsia"/>
          <w:sz w:val="21"/>
          <w:szCs w:val="21"/>
        </w:rPr>
        <w:t>持续经营</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联系人：    王济帆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联系电话：  （0755）8316 9999</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博时基金管理有限公司（以下简称“公司”）经中国证监会证监基字[1998]26号文批准设立。目前公司股东为招商证券股份有限公司，持有股份49%；中国长城资产管理公司，持有股份25%；天津港（集团）有限公司，持有股份6％；上海汇华实业有限公司，持有股份12％；上海盛业股权投资基金有限公司，持有股份6％；浙江省国贸集团资产经营有限公司，持有股份2%。注册资本为2.5亿元人民币。</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公司设立了投资决策委员会。投资决策委员会负责指导基金资产的运作、确定基本的投资策略和投资组合的原则。</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公司已经建立健全投资管理制度、风险控制制度、内部监察制度、财务管理制度、人事管理制度、信息披露制度和员工行为准则等公司管理制度体系。 </w:t>
      </w:r>
      <w:bookmarkStart w:id="27" w:name="field_0_managercompanyinfo_1_end"/>
      <w:bookmarkEnd w:id="27"/>
      <w:r>
        <w:rPr>
          <w:rFonts w:hint="eastAsia"/>
          <w:sz w:val="21"/>
          <w:szCs w:val="21"/>
        </w:rPr>
        <w:t xml:space="preserve">  </w:t>
      </w:r>
    </w:p>
    <w:p>
      <w:pPr>
        <w:pStyle w:val="7"/>
        <w:widowControl/>
        <w:spacing w:before="0" w:beforeAutospacing="0" w:after="0" w:afterAutospacing="0" w:line="360" w:lineRule="auto"/>
        <w:ind w:firstLine="420" w:firstLineChars="0"/>
        <w:rPr>
          <w:rStyle w:val="11"/>
          <w:rFonts w:hint="eastAsia" w:asciiTheme="minorHAnsi" w:hAnsiTheme="minorHAnsi" w:eastAsiaTheme="minorEastAsia" w:cstheme="minorBidi"/>
          <w:sz w:val="21"/>
          <w:szCs w:val="21"/>
        </w:rPr>
      </w:pPr>
      <w:r>
        <w:rPr>
          <w:rStyle w:val="11"/>
          <w:rFonts w:hint="eastAsia" w:asciiTheme="minorHAnsi" w:hAnsiTheme="minorHAnsi" w:eastAsiaTheme="minorEastAsia" w:cstheme="minorBidi"/>
          <w:sz w:val="21"/>
          <w:szCs w:val="21"/>
        </w:rPr>
        <w:t>二、主要成员情况</w:t>
      </w:r>
    </w:p>
    <w:p>
      <w:pPr>
        <w:pStyle w:val="7"/>
        <w:widowControl/>
        <w:spacing w:before="0" w:beforeAutospacing="0" w:after="0" w:afterAutospacing="0" w:line="360" w:lineRule="auto"/>
        <w:ind w:firstLine="420" w:firstLineChars="0"/>
        <w:rPr>
          <w:rFonts w:hint="eastAsia"/>
          <w:sz w:val="21"/>
          <w:szCs w:val="21"/>
        </w:rPr>
      </w:pPr>
      <w:bookmarkStart w:id="28" w:name="field_0_managerpersoninfo_1_start"/>
      <w:bookmarkEnd w:id="28"/>
      <w:r>
        <w:rPr>
          <w:rFonts w:hint="eastAsia"/>
          <w:sz w:val="21"/>
          <w:szCs w:val="21"/>
        </w:rPr>
        <w:t>1、基金管理人董事会成员</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w:t>
      </w:r>
      <w:r>
        <w:rPr>
          <w:rFonts w:hint="eastAsia"/>
          <w:sz w:val="21"/>
          <w:szCs w:val="21"/>
          <w:lang w:eastAsia="zh-CN"/>
        </w:rPr>
        <w:t>至</w:t>
      </w:r>
      <w:r>
        <w:rPr>
          <w:rFonts w:hint="eastAsia"/>
          <w:sz w:val="21"/>
          <w:szCs w:val="21"/>
          <w:lang w:val="en-US" w:eastAsia="zh-CN"/>
        </w:rPr>
        <w:t>2024年5月24日</w:t>
      </w:r>
      <w:r>
        <w:rPr>
          <w:rFonts w:hint="eastAsia"/>
          <w:sz w:val="21"/>
          <w:szCs w:val="21"/>
        </w:rPr>
        <w:t>代为履行博时基金管理有限公司总经理职务。自2020年4月1日起任博时基金管理有限公司党委书记。自2020年4月15日起，任博时基金管理有限公司董事长。</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lang w:eastAsia="zh-CN"/>
        </w:rPr>
        <w:t>张东先生，硕士，总经理。1989年至</w:t>
      </w:r>
      <w:r>
        <w:rPr>
          <w:rFonts w:hint="eastAsia"/>
          <w:sz w:val="21"/>
          <w:szCs w:val="21"/>
          <w:lang w:val="en-US" w:eastAsia="zh-CN"/>
        </w:rPr>
        <w:t>2024年先后在中国银行、招商银行从事零售金融、财富业务和财务会计等工作。2024年加入博时基金管理有限公司，现任公司总经理。</w:t>
      </w:r>
      <w:r>
        <w:rPr>
          <w:rFonts w:hint="eastAsia"/>
          <w:sz w:val="21"/>
          <w:szCs w:val="21"/>
        </w:rPr>
        <w:t>自202</w:t>
      </w:r>
      <w:r>
        <w:rPr>
          <w:rFonts w:hint="eastAsia"/>
          <w:sz w:val="21"/>
          <w:szCs w:val="21"/>
          <w:lang w:val="en-US" w:eastAsia="zh-CN"/>
        </w:rPr>
        <w:t>4</w:t>
      </w:r>
      <w:r>
        <w:rPr>
          <w:rFonts w:hint="eastAsia"/>
          <w:sz w:val="21"/>
          <w:szCs w:val="21"/>
        </w:rPr>
        <w:t>年</w:t>
      </w:r>
      <w:r>
        <w:rPr>
          <w:rFonts w:hint="eastAsia"/>
          <w:sz w:val="21"/>
          <w:szCs w:val="21"/>
          <w:lang w:val="en-US" w:eastAsia="zh-CN"/>
        </w:rPr>
        <w:t>7</w:t>
      </w:r>
      <w:r>
        <w:rPr>
          <w:rFonts w:hint="eastAsia"/>
          <w:sz w:val="21"/>
          <w:szCs w:val="21"/>
        </w:rPr>
        <w:t>月</w:t>
      </w:r>
      <w:r>
        <w:rPr>
          <w:rFonts w:hint="eastAsia"/>
          <w:sz w:val="21"/>
          <w:szCs w:val="21"/>
          <w:lang w:val="en-US" w:eastAsia="zh-CN"/>
        </w:rPr>
        <w:t>5日</w:t>
      </w:r>
      <w:r>
        <w:rPr>
          <w:rFonts w:hint="eastAsia"/>
          <w:sz w:val="21"/>
          <w:szCs w:val="21"/>
        </w:rPr>
        <w:t>起，任博时基金管理有限公司董事。</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罗立女士，毕业于中央财经大学经济学院，获经济学硕士学位，美国注册管理会计师，香港证券及投资学会高级从业资格，高级经济师。现任招商局集团财务部（产权部）副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2、基金管理人监事会成员</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胡艳君女士，经济师。本科毕业于中南财经政法大学财税系，取得学士学位；后取得中国财政科学研究院硕士学位。现任招商局集团有限公司财务部（产权部）副部长。历任招商局集团财务部总监，曾就职国家财政部。</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李兴春先生，硕士，高级经济师，美国注册管理会计师。2007.07--2023.07先后在天津港欧亚国际集装箱码头有限公司、天津港东疆建设开发有限公司、天津港（集团）有限公司、天津港股份有限公司担任科员、副科长、科长、项目投资经理、综合业务经理等岗位（期间2021.07--2022.07任天津泰达投资控股公司投资部挂职干部）；2023.07--今，任天津港（集团）有限公司投发管理部副总经理兼任天津港股份有限公司投资部副总经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严斌先生，硕士。1997年7月起先后在华侨城集团公司、博时基金管理有限公司工作。现任博时基金管理有限公司提质增效办主任。自2015年5月起，任博时基金管理有限公司监事。</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至今任登记清算部总经理。2024年3月7日起任审计部总经理。</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3、高级管理人员</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江向阳先生，简历同上。</w:t>
      </w:r>
    </w:p>
    <w:p>
      <w:pPr>
        <w:pStyle w:val="7"/>
        <w:widowControl/>
        <w:spacing w:before="0" w:beforeAutospacing="0" w:after="0" w:afterAutospacing="0" w:line="360" w:lineRule="auto"/>
        <w:ind w:firstLine="420" w:firstLineChars="0"/>
        <w:rPr>
          <w:rFonts w:hint="default"/>
          <w:sz w:val="21"/>
          <w:szCs w:val="21"/>
          <w:lang w:val="en-US" w:eastAsia="zh-CN"/>
        </w:rPr>
      </w:pPr>
      <w:bookmarkStart w:id="29" w:name="OLE_LINK3"/>
      <w:r>
        <w:rPr>
          <w:rFonts w:hint="eastAsia"/>
          <w:sz w:val="21"/>
          <w:szCs w:val="21"/>
          <w:lang w:eastAsia="zh-CN"/>
        </w:rPr>
        <w:t>张东先生，</w:t>
      </w:r>
      <w:r>
        <w:rPr>
          <w:rFonts w:hint="eastAsia"/>
          <w:sz w:val="21"/>
          <w:szCs w:val="21"/>
        </w:rPr>
        <w:t>简历同上。</w:t>
      </w:r>
    </w:p>
    <w:bookmarkEnd w:id="29"/>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基金零售等工作，兼任博时财富基金销售有限公司董事长</w:t>
      </w:r>
      <w:r>
        <w:rPr>
          <w:rFonts w:hint="eastAsia"/>
          <w:sz w:val="21"/>
          <w:szCs w:val="21"/>
          <w:lang w:val="en-US" w:eastAsia="zh-CN"/>
        </w:rPr>
        <w:t>和</w:t>
      </w:r>
      <w:r>
        <w:rPr>
          <w:rFonts w:hint="eastAsia"/>
          <w:sz w:val="21"/>
          <w:szCs w:val="21"/>
        </w:rPr>
        <w:t>博时资本管理有限公司董事</w:t>
      </w:r>
      <w:r>
        <w:rPr>
          <w:rFonts w:hint="eastAsia"/>
          <w:sz w:val="21"/>
          <w:szCs w:val="21"/>
          <w:lang w:val="en-US" w:eastAsia="zh-CN"/>
        </w:rPr>
        <w:t>长</w:t>
      </w:r>
      <w:r>
        <w:rPr>
          <w:rFonts w:hint="eastAsia"/>
          <w:sz w:val="21"/>
          <w:szCs w:val="21"/>
        </w:rPr>
        <w:t>。</w:t>
      </w:r>
    </w:p>
    <w:p>
      <w:pPr>
        <w:pStyle w:val="7"/>
        <w:widowControl/>
        <w:spacing w:before="0" w:beforeAutospacing="0" w:after="0" w:afterAutospacing="0" w:line="360" w:lineRule="auto"/>
        <w:ind w:firstLine="420" w:firstLineChars="0"/>
        <w:rPr>
          <w:sz w:val="21"/>
          <w:szCs w:val="21"/>
        </w:rPr>
      </w:pPr>
      <w:r>
        <w:rPr>
          <w:rFonts w:hint="eastAsia"/>
          <w:sz w:val="21"/>
          <w:szCs w:val="21"/>
        </w:rPr>
        <w:t xml:space="preserve">孙麒清女士，商法学硕士，督察长。曾供职于广东深港律师事务所。2002年加入博时基金管理有限公司，历任监察法律部法律顾问、监察法律部总经理。现任公司督察长，兼任博时财富基金销售有限公司董事。    </w:t>
      </w:r>
    </w:p>
    <w:p>
      <w:pPr>
        <w:pStyle w:val="7"/>
        <w:spacing w:before="0" w:beforeAutospacing="0" w:after="0" w:afterAutospacing="0" w:line="360" w:lineRule="auto"/>
        <w:ind w:firstLine="420"/>
        <w:rPr>
          <w:sz w:val="21"/>
          <w:szCs w:val="21"/>
        </w:rPr>
      </w:pPr>
      <w:bookmarkStart w:id="30" w:name="chapter_level1_5_53_section_2"/>
      <w:bookmarkEnd w:id="30"/>
      <w:r>
        <w:rPr>
          <w:rFonts w:hint="eastAsia"/>
          <w:sz w:val="21"/>
          <w:szCs w:val="21"/>
        </w:rPr>
        <w:t xml:space="preserve">4、本基金基金经理 </w:t>
      </w:r>
    </w:p>
    <w:p>
      <w:pPr>
        <w:pStyle w:val="7"/>
        <w:spacing w:before="0" w:beforeAutospacing="0" w:after="0" w:afterAutospacing="0" w:line="360" w:lineRule="auto"/>
        <w:ind w:firstLine="420"/>
        <w:rPr>
          <w:rFonts w:hint="eastAsia"/>
          <w:sz w:val="21"/>
          <w:szCs w:val="21"/>
        </w:rPr>
      </w:pPr>
      <w:bookmarkStart w:id="31" w:name="field_0_fundmanagerresume_1_start"/>
      <w:bookmarkEnd w:id="31"/>
      <w:r>
        <w:rPr>
          <w:rFonts w:hint="eastAsia"/>
          <w:sz w:val="21"/>
          <w:szCs w:val="21"/>
        </w:rPr>
        <w:t>王祥先生，硕士。2006年起先后在中粮期货、工商银行总行工作。2015年加入博时基金管理有限公司。曾任基金经理助理。现任博时黄金交易型开放式证券投资基金联接基金(2016年11月2日—至今)、上证自然资源交易型开放式指数证券投资基金(2016年11月2日—至今)、博时黄金交易型开放式证券投资基金(2016年11月2日—至今)、博时上证自然资源交易型开放式指数证券投资基金联接基金(2016年11月2日—至今)、博时中证光伏产业指数证券投资基金(2022年8月16日—至今)、博时中证疫苗与生物技术交易型开放式指数证券投资基金(2022年11月8日—至今)、博时中证农业主题指数型发起式证券投资基金(2022年12月13日—至今)、博时中证有色金属矿业主题指数证券投资基金(2023年5月16日—至今)、博时标普石油天然气勘探及生产精选行业指数型发起式证券投资基金（QDII）(2023年9月5日—至今)、博时中证基建工程指数型发起式证券投资基金(2024年3月19日—至今)、博时国证粮食产业指数型发起式证券投资基金(2024年4月9日—至今)、博时中证油气资源交易型开放式指数证券投资基金(2024年4</w:t>
      </w:r>
      <w:bookmarkStart w:id="32" w:name="chapter_level1_5_53_section_2_end"/>
      <w:bookmarkEnd w:id="32"/>
      <w:r>
        <w:rPr>
          <w:rFonts w:hint="eastAsia"/>
          <w:sz w:val="21"/>
          <w:szCs w:val="21"/>
        </w:rPr>
        <w:t>月19日—至今)的基金经理。</w:t>
      </w:r>
      <w:bookmarkStart w:id="33" w:name="field_0_fundmanagerresume_1_end"/>
      <w:bookmarkEnd w:id="33"/>
      <w:r>
        <w:rPr>
          <w:rFonts w:hint="eastAsia"/>
          <w:sz w:val="21"/>
          <w:szCs w:val="21"/>
        </w:rPr>
        <w:t xml:space="preserve">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5、</w:t>
      </w:r>
      <w:bookmarkStart w:id="34" w:name="OLE_LINK2"/>
      <w:bookmarkStart w:id="35" w:name="OLE_LINK1"/>
      <w:r>
        <w:rPr>
          <w:rFonts w:hint="eastAsia"/>
          <w:sz w:val="21"/>
          <w:szCs w:val="21"/>
        </w:rPr>
        <w:t>投资决策委员会</w:t>
      </w:r>
      <w:bookmarkEnd w:id="34"/>
      <w:bookmarkEnd w:id="35"/>
      <w:r>
        <w:rPr>
          <w:rFonts w:hint="eastAsia"/>
          <w:sz w:val="21"/>
          <w:szCs w:val="21"/>
        </w:rPr>
        <w:t xml:space="preserve">成员 </w:t>
      </w:r>
    </w:p>
    <w:p>
      <w:pPr>
        <w:pStyle w:val="7"/>
        <w:widowControl/>
        <w:spacing w:before="0" w:beforeAutospacing="0" w:after="0" w:afterAutospacing="0" w:line="360" w:lineRule="auto"/>
        <w:ind w:firstLine="420" w:firstLineChars="0"/>
        <w:rPr>
          <w:rFonts w:hint="eastAsia"/>
          <w:sz w:val="21"/>
          <w:szCs w:val="21"/>
        </w:rPr>
      </w:pPr>
      <w:bookmarkStart w:id="36" w:name="OLE_LINK5"/>
      <w:bookmarkStart w:id="37" w:name="OLE_LINK4"/>
      <w:r>
        <w:rPr>
          <w:rFonts w:hint="eastAsia"/>
          <w:sz w:val="21"/>
          <w:szCs w:val="21"/>
        </w:rPr>
        <w:t xml:space="preserve">公司首席资产配置官黄健斌先生。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公司投资决策委员会专职委员兼年金投资部总经理于善辉先生。</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 xml:space="preserve">首席基金经理过钧先生。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 xml:space="preserve">首席投资官兼权益投研一体化总监、权益投资四部总经理、境外投资部总经理曾鹏先生。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 xml:space="preserve">权益投资三部总经理兼权益投资三部投资总监蔡滨先生。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 xml:space="preserve">行业研究部总经理魏立先生。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 xml:space="preserve">宏观策略部总经理兼行业研究部研究总监金晟哲先生。 </w:t>
      </w:r>
    </w:p>
    <w:p>
      <w:pPr>
        <w:pStyle w:val="7"/>
        <w:widowControl/>
        <w:spacing w:before="0" w:beforeAutospacing="0" w:after="0" w:afterAutospacing="0" w:line="360" w:lineRule="auto"/>
        <w:ind w:firstLine="420" w:firstLineChars="0"/>
        <w:rPr>
          <w:rFonts w:hint="eastAsia"/>
          <w:sz w:val="21"/>
          <w:szCs w:val="21"/>
        </w:rPr>
      </w:pPr>
      <w:r>
        <w:rPr>
          <w:rFonts w:hint="eastAsia"/>
          <w:sz w:val="21"/>
          <w:szCs w:val="21"/>
        </w:rPr>
        <w:t>指数与量化投资部总经理兼指数与量化投资部投资总监赵云阳先生。</w:t>
      </w:r>
      <w:bookmarkEnd w:id="36"/>
      <w:r>
        <w:rPr>
          <w:rFonts w:hint="eastAsia"/>
          <w:sz w:val="21"/>
          <w:szCs w:val="21"/>
        </w:rPr>
        <w:t xml:space="preserve"> </w:t>
      </w:r>
      <w:bookmarkEnd w:id="37"/>
      <w:r>
        <w:rPr>
          <w:rFonts w:hint="eastAsia"/>
          <w:sz w:val="21"/>
          <w:szCs w:val="21"/>
        </w:rPr>
        <w:t xml:space="preserve"> </w:t>
      </w:r>
    </w:p>
    <w:p>
      <w:pPr>
        <w:pStyle w:val="7"/>
        <w:widowControl/>
        <w:spacing w:before="0" w:beforeAutospacing="0" w:after="0" w:afterAutospacing="0" w:line="360" w:lineRule="auto"/>
        <w:ind w:firstLine="420" w:firstLineChars="0"/>
        <w:rPr>
          <w:rFonts w:hint="eastAsia"/>
          <w:sz w:val="21"/>
          <w:szCs w:val="21"/>
        </w:rPr>
      </w:pPr>
      <w:bookmarkStart w:id="38" w:name="chapter_level1_5_53_section_3_end"/>
      <w:bookmarkEnd w:id="38"/>
      <w:r>
        <w:rPr>
          <w:rFonts w:hint="eastAsia"/>
          <w:sz w:val="21"/>
          <w:szCs w:val="21"/>
        </w:rPr>
        <w:t>6、上述人员之间均不存在近亲属关系。</w:t>
      </w:r>
    </w:p>
    <w:p>
      <w:pPr>
        <w:pStyle w:val="7"/>
        <w:spacing w:before="0" w:beforeAutospacing="0" w:after="0" w:afterAutospacing="0" w:line="360" w:lineRule="auto"/>
        <w:ind w:firstLine="420"/>
        <w:rPr>
          <w:sz w:val="21"/>
          <w:szCs w:val="21"/>
        </w:rPr>
      </w:pPr>
      <w:bookmarkStart w:id="39" w:name="chapter_level1_5_53_section_3"/>
      <w:bookmarkEnd w:id="39"/>
      <w:bookmarkStart w:id="40" w:name="chapter_level1_5_53_section_4"/>
      <w:bookmarkEnd w:id="40"/>
      <w:bookmarkStart w:id="41" w:name="field_0_managerpersoninfo2_1_start"/>
      <w:bookmarkEnd w:id="41"/>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2、办理基金备案手续； </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7、依法接受基金托管人的监督； </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 </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（5）侵占、挪用基金财产； </w:t>
      </w:r>
    </w:p>
    <w:p>
      <w:pPr>
        <w:pStyle w:val="7"/>
        <w:spacing w:before="0" w:beforeAutospacing="0" w:after="0" w:afterAutospacing="0" w:line="360" w:lineRule="auto"/>
        <w:ind w:firstLine="420"/>
        <w:rPr>
          <w:sz w:val="21"/>
          <w:szCs w:val="21"/>
        </w:rPr>
      </w:pPr>
      <w:r>
        <w:rPr>
          <w:rFonts w:hint="eastAsia"/>
          <w:sz w:val="21"/>
          <w:szCs w:val="21"/>
        </w:rPr>
        <w:t>（6）泄露因职务便利获取的未公开信息、利用该信息从事或者明示、暗示他人从事相关的交易活动；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（7）玩忽职守，不按照规定履行职责； </w:t>
      </w:r>
    </w:p>
    <w:p>
      <w:pPr>
        <w:pStyle w:val="7"/>
        <w:spacing w:before="0" w:beforeAutospacing="0" w:after="0" w:afterAutospacing="0" w:line="360" w:lineRule="auto"/>
        <w:ind w:firstLine="420"/>
        <w:rPr>
          <w:sz w:val="21"/>
          <w:szCs w:val="21"/>
        </w:rPr>
      </w:pPr>
      <w:r>
        <w:rPr>
          <w:rFonts w:hint="eastAsia"/>
          <w:sz w:val="21"/>
          <w:szCs w:val="21"/>
        </w:rPr>
        <w:t>（8）法律、行政法规和中国证监会规定禁止的其他行为；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5、基金管理人承诺不从事其他法规规定禁止从事的行为。 </w:t>
      </w:r>
    </w:p>
    <w:p>
      <w:pPr>
        <w:pStyle w:val="7"/>
        <w:spacing w:before="0" w:beforeAutospacing="0" w:after="0" w:afterAutospacing="0" w:line="360" w:lineRule="auto"/>
        <w:ind w:firstLine="420"/>
        <w:rPr>
          <w:sz w:val="21"/>
          <w:szCs w:val="21"/>
        </w:rPr>
      </w:pPr>
      <w:r>
        <w:rPr>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4、不以任何形式为其他组织或个人进行证券交易。 </w:t>
      </w:r>
    </w:p>
    <w:p>
      <w:pPr>
        <w:pStyle w:val="7"/>
        <w:spacing w:before="0" w:beforeAutospacing="0" w:after="0" w:afterAutospacing="0" w:line="360" w:lineRule="auto"/>
        <w:ind w:firstLine="420"/>
        <w:rPr>
          <w:sz w:val="21"/>
          <w:szCs w:val="21"/>
        </w:rPr>
      </w:pPr>
      <w:r>
        <w:rPr>
          <w:rFonts w:hint="eastAsia"/>
          <w:sz w:val="21"/>
          <w:szCs w:val="21"/>
        </w:rPr>
        <w:t>六、基金管理人的内部控制制度</w:t>
      </w:r>
    </w:p>
    <w:p>
      <w:pPr>
        <w:pStyle w:val="7"/>
        <w:spacing w:before="0" w:beforeAutospacing="0" w:after="0" w:afterAutospacing="0" w:line="360" w:lineRule="auto"/>
        <w:ind w:firstLine="420"/>
        <w:rPr>
          <w:sz w:val="21"/>
          <w:szCs w:val="21"/>
        </w:rPr>
      </w:pPr>
      <w:r>
        <w:rPr>
          <w:rFonts w:hint="eastAsia"/>
          <w:sz w:val="21"/>
          <w:szCs w:val="21"/>
        </w:rPr>
        <w:t>1、风险管理的原则 </w:t>
      </w:r>
    </w:p>
    <w:p>
      <w:pPr>
        <w:pStyle w:val="7"/>
        <w:spacing w:before="0" w:beforeAutospacing="0" w:after="0" w:afterAutospacing="0" w:line="360" w:lineRule="auto"/>
        <w:ind w:firstLine="420"/>
        <w:rPr>
          <w:sz w:val="21"/>
          <w:szCs w:val="21"/>
        </w:rPr>
      </w:pPr>
      <w:r>
        <w:rPr>
          <w:rFonts w:hint="eastAsia"/>
          <w:sz w:val="21"/>
          <w:szCs w:val="21"/>
        </w:rPr>
        <w:t>（1）全面性原则 </w:t>
      </w:r>
    </w:p>
    <w:p>
      <w:pPr>
        <w:pStyle w:val="7"/>
        <w:spacing w:before="0" w:beforeAutospacing="0" w:after="0" w:afterAutospacing="0" w:line="360" w:lineRule="auto"/>
        <w:ind w:firstLine="420"/>
        <w:rPr>
          <w:sz w:val="21"/>
          <w:szCs w:val="21"/>
        </w:rPr>
      </w:pPr>
      <w:r>
        <w:rPr>
          <w:rFonts w:hint="eastAsia"/>
          <w:sz w:val="21"/>
          <w:szCs w:val="21"/>
        </w:rPr>
        <w:t>公司风险管理必须覆盖公司的所有部门和岗位，渗透各项业务过程和业务环节。 </w:t>
      </w:r>
    </w:p>
    <w:p>
      <w:pPr>
        <w:pStyle w:val="7"/>
        <w:spacing w:before="0" w:beforeAutospacing="0" w:after="0" w:afterAutospacing="0" w:line="360" w:lineRule="auto"/>
        <w:ind w:firstLine="420"/>
        <w:rPr>
          <w:sz w:val="21"/>
          <w:szCs w:val="21"/>
        </w:rPr>
      </w:pPr>
      <w:r>
        <w:rPr>
          <w:rFonts w:hint="eastAsia"/>
          <w:sz w:val="21"/>
          <w:szCs w:val="21"/>
        </w:rPr>
        <w:t>（2）独立性原则 </w:t>
      </w:r>
    </w:p>
    <w:p>
      <w:pPr>
        <w:pStyle w:val="7"/>
        <w:spacing w:before="0" w:beforeAutospacing="0" w:after="0" w:afterAutospacing="0" w:line="360" w:lineRule="auto"/>
        <w:ind w:firstLine="420"/>
        <w:rPr>
          <w:sz w:val="21"/>
          <w:szCs w:val="21"/>
        </w:rPr>
      </w:pPr>
      <w:r>
        <w:rPr>
          <w:rFonts w:hint="eastAsia"/>
          <w:sz w:val="21"/>
          <w:szCs w:val="21"/>
        </w:rPr>
        <w:t>公司设立独立的监察部，监察部保持高度的独立性和权威性，负责对公司各部门风险控制工作进行稽核和检查。 </w:t>
      </w:r>
    </w:p>
    <w:p>
      <w:pPr>
        <w:pStyle w:val="7"/>
        <w:spacing w:before="0" w:beforeAutospacing="0" w:after="0" w:afterAutospacing="0" w:line="360" w:lineRule="auto"/>
        <w:ind w:firstLine="420"/>
        <w:rPr>
          <w:sz w:val="21"/>
          <w:szCs w:val="21"/>
        </w:rPr>
      </w:pPr>
      <w:r>
        <w:rPr>
          <w:rFonts w:hint="eastAsia"/>
          <w:sz w:val="21"/>
          <w:szCs w:val="21"/>
        </w:rPr>
        <w:t>（3）相互制约原则 </w:t>
      </w:r>
    </w:p>
    <w:p>
      <w:pPr>
        <w:pStyle w:val="7"/>
        <w:spacing w:before="0" w:beforeAutospacing="0" w:after="0" w:afterAutospacing="0" w:line="360" w:lineRule="auto"/>
        <w:ind w:firstLine="420"/>
        <w:rPr>
          <w:sz w:val="21"/>
          <w:szCs w:val="21"/>
        </w:rPr>
      </w:pPr>
      <w:r>
        <w:rPr>
          <w:rFonts w:hint="eastAsia"/>
          <w:sz w:val="21"/>
          <w:szCs w:val="21"/>
        </w:rPr>
        <w:t>公司及各部门在内部组织结构的设计上要形成一种相互制约的机制，建立不同岗位之间的制衡体系。 </w:t>
      </w:r>
    </w:p>
    <w:p>
      <w:pPr>
        <w:pStyle w:val="7"/>
        <w:spacing w:before="0" w:beforeAutospacing="0" w:after="0" w:afterAutospacing="0" w:line="360" w:lineRule="auto"/>
        <w:ind w:firstLine="420"/>
        <w:rPr>
          <w:sz w:val="21"/>
          <w:szCs w:val="21"/>
        </w:rPr>
      </w:pPr>
      <w:r>
        <w:rPr>
          <w:rFonts w:hint="eastAsia"/>
          <w:sz w:val="21"/>
          <w:szCs w:val="21"/>
        </w:rPr>
        <w:t>（4）定性和定量相结合原则 </w:t>
      </w:r>
    </w:p>
    <w:p>
      <w:pPr>
        <w:pStyle w:val="7"/>
        <w:spacing w:before="0" w:beforeAutospacing="0" w:after="0" w:afterAutospacing="0" w:line="360" w:lineRule="auto"/>
        <w:ind w:firstLine="420"/>
        <w:rPr>
          <w:sz w:val="21"/>
          <w:szCs w:val="21"/>
        </w:rPr>
      </w:pPr>
      <w:r>
        <w:rPr>
          <w:rFonts w:hint="eastAsia"/>
          <w:sz w:val="21"/>
          <w:szCs w:val="21"/>
        </w:rPr>
        <w:t>建立完备的风险管理指标体系，使风险管理更具客观性和操作性。 </w:t>
      </w:r>
    </w:p>
    <w:p>
      <w:pPr>
        <w:pStyle w:val="7"/>
        <w:spacing w:before="0" w:beforeAutospacing="0" w:after="0" w:afterAutospacing="0" w:line="360" w:lineRule="auto"/>
        <w:ind w:firstLine="420"/>
        <w:rPr>
          <w:sz w:val="21"/>
          <w:szCs w:val="21"/>
        </w:rPr>
      </w:pPr>
      <w:r>
        <w:rPr>
          <w:rFonts w:hint="eastAsia"/>
          <w:sz w:val="21"/>
          <w:szCs w:val="21"/>
        </w:rPr>
        <w:t>2、风险管理和内部风险控制体系结构 </w:t>
      </w:r>
    </w:p>
    <w:p>
      <w:pPr>
        <w:pStyle w:val="7"/>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监察部负责监察公司的风险管理措施的执行。具体而言，包括如下组成部分： </w:t>
      </w:r>
    </w:p>
    <w:p>
      <w:pPr>
        <w:pStyle w:val="7"/>
        <w:spacing w:before="0" w:beforeAutospacing="0" w:after="0" w:afterAutospacing="0" w:line="360" w:lineRule="auto"/>
        <w:ind w:firstLine="420"/>
        <w:rPr>
          <w:sz w:val="21"/>
          <w:szCs w:val="21"/>
        </w:rPr>
      </w:pPr>
      <w:r>
        <w:rPr>
          <w:rFonts w:hint="eastAsia"/>
          <w:sz w:val="21"/>
          <w:szCs w:val="21"/>
        </w:rPr>
        <w:t>（1）董事会 </w:t>
      </w:r>
    </w:p>
    <w:p>
      <w:pPr>
        <w:pStyle w:val="7"/>
        <w:spacing w:before="0" w:beforeAutospacing="0" w:after="0" w:afterAutospacing="0" w:line="360" w:lineRule="auto"/>
        <w:ind w:firstLine="420"/>
        <w:rPr>
          <w:sz w:val="21"/>
          <w:szCs w:val="21"/>
        </w:rPr>
      </w:pPr>
      <w:r>
        <w:rPr>
          <w:rFonts w:hint="eastAsia"/>
          <w:sz w:val="21"/>
          <w:szCs w:val="21"/>
        </w:rPr>
        <w:t>负责制定公司的风险管理政策，对风险管理负完全的和最终的责任。 </w:t>
      </w:r>
    </w:p>
    <w:p>
      <w:pPr>
        <w:pStyle w:val="7"/>
        <w:spacing w:before="0" w:beforeAutospacing="0" w:after="0" w:afterAutospacing="0" w:line="360" w:lineRule="auto"/>
        <w:ind w:firstLine="420"/>
        <w:rPr>
          <w:sz w:val="21"/>
          <w:szCs w:val="21"/>
        </w:rPr>
      </w:pPr>
      <w:r>
        <w:rPr>
          <w:rFonts w:hint="eastAsia"/>
          <w:sz w:val="21"/>
          <w:szCs w:val="21"/>
        </w:rPr>
        <w:t>（2）风险管理委员会 </w:t>
      </w:r>
    </w:p>
    <w:p>
      <w:pPr>
        <w:pStyle w:val="7"/>
        <w:spacing w:before="0" w:beforeAutospacing="0" w:after="0" w:afterAutospacing="0" w:line="360" w:lineRule="auto"/>
        <w:ind w:firstLine="420"/>
        <w:rPr>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pPr>
        <w:pStyle w:val="7"/>
        <w:spacing w:before="0" w:beforeAutospacing="0" w:after="0" w:afterAutospacing="0" w:line="360" w:lineRule="auto"/>
        <w:ind w:firstLine="420"/>
        <w:rPr>
          <w:sz w:val="21"/>
          <w:szCs w:val="21"/>
        </w:rPr>
      </w:pPr>
      <w:r>
        <w:rPr>
          <w:rFonts w:hint="eastAsia"/>
          <w:sz w:val="21"/>
          <w:szCs w:val="21"/>
        </w:rPr>
        <w:t>（3）督察长 </w:t>
      </w:r>
    </w:p>
    <w:p>
      <w:pPr>
        <w:pStyle w:val="7"/>
        <w:spacing w:before="0" w:beforeAutospacing="0" w:after="0" w:afterAutospacing="0" w:line="360" w:lineRule="auto"/>
        <w:ind w:firstLine="420"/>
        <w:rPr>
          <w:sz w:val="21"/>
          <w:szCs w:val="21"/>
        </w:rPr>
      </w:pPr>
      <w:r>
        <w:rPr>
          <w:rFonts w:hint="eastAsia"/>
          <w:sz w:val="21"/>
          <w:szCs w:val="21"/>
        </w:rPr>
        <w:t>独立行使督察权利；直接对董事会负责；按季向风险管理委员会提交独立的风险管理报告和风险管理建议。 </w:t>
      </w:r>
    </w:p>
    <w:p>
      <w:pPr>
        <w:pStyle w:val="7"/>
        <w:spacing w:before="0" w:beforeAutospacing="0" w:after="0" w:afterAutospacing="0" w:line="360" w:lineRule="auto"/>
        <w:ind w:firstLine="420"/>
        <w:rPr>
          <w:sz w:val="21"/>
          <w:szCs w:val="21"/>
        </w:rPr>
      </w:pPr>
      <w:r>
        <w:rPr>
          <w:rFonts w:hint="eastAsia"/>
          <w:sz w:val="21"/>
          <w:szCs w:val="21"/>
        </w:rPr>
        <w:t>（4）监察法律部 </w:t>
      </w:r>
    </w:p>
    <w:p>
      <w:pPr>
        <w:pStyle w:val="7"/>
        <w:spacing w:before="0" w:beforeAutospacing="0" w:after="0" w:afterAutospacing="0" w:line="360" w:lineRule="auto"/>
        <w:ind w:firstLine="420"/>
        <w:rPr>
          <w:sz w:val="21"/>
          <w:szCs w:val="21"/>
        </w:rPr>
      </w:pPr>
      <w:r>
        <w:rPr>
          <w:rFonts w:hint="eastAsia"/>
          <w:sz w:val="21"/>
          <w:szCs w:val="21"/>
        </w:rPr>
        <w:t>监察法律部负责对公司风险管理政策和措施的执行情况进行监察，并为每一个部门的风险管理系统的发展提供协助，使公司在一种风险管理和控制的环境中实现业务目标。 </w:t>
      </w:r>
    </w:p>
    <w:p>
      <w:pPr>
        <w:pStyle w:val="7"/>
        <w:spacing w:before="0" w:beforeAutospacing="0" w:after="0" w:afterAutospacing="0" w:line="360" w:lineRule="auto"/>
        <w:ind w:firstLine="420"/>
        <w:rPr>
          <w:sz w:val="21"/>
          <w:szCs w:val="21"/>
        </w:rPr>
      </w:pPr>
      <w:r>
        <w:rPr>
          <w:rFonts w:hint="eastAsia"/>
          <w:sz w:val="21"/>
          <w:szCs w:val="21"/>
        </w:rPr>
        <w:t>（5）风险管理部 </w:t>
      </w:r>
    </w:p>
    <w:p>
      <w:pPr>
        <w:pStyle w:val="7"/>
        <w:spacing w:before="0" w:beforeAutospacing="0" w:after="0" w:afterAutospacing="0" w:line="360" w:lineRule="auto"/>
        <w:ind w:firstLine="420"/>
        <w:rPr>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 </w:t>
      </w:r>
    </w:p>
    <w:p>
      <w:pPr>
        <w:pStyle w:val="7"/>
        <w:spacing w:before="0" w:beforeAutospacing="0" w:after="0" w:afterAutospacing="0" w:line="360" w:lineRule="auto"/>
        <w:ind w:firstLine="420"/>
        <w:rPr>
          <w:sz w:val="21"/>
          <w:szCs w:val="21"/>
        </w:rPr>
      </w:pPr>
      <w:r>
        <w:rPr>
          <w:rFonts w:hint="eastAsia"/>
          <w:sz w:val="21"/>
          <w:szCs w:val="21"/>
        </w:rPr>
        <w:t>（6）业务部门 </w:t>
      </w:r>
    </w:p>
    <w:p>
      <w:pPr>
        <w:pStyle w:val="7"/>
        <w:spacing w:before="0" w:beforeAutospacing="0" w:after="0" w:afterAutospacing="0" w:line="360" w:lineRule="auto"/>
        <w:ind w:firstLine="420"/>
        <w:rPr>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 </w:t>
      </w:r>
    </w:p>
    <w:p>
      <w:pPr>
        <w:pStyle w:val="7"/>
        <w:spacing w:before="0" w:beforeAutospacing="0" w:after="0" w:afterAutospacing="0" w:line="360" w:lineRule="auto"/>
        <w:ind w:firstLine="420"/>
        <w:rPr>
          <w:sz w:val="21"/>
          <w:szCs w:val="21"/>
        </w:rPr>
      </w:pPr>
      <w:r>
        <w:rPr>
          <w:rFonts w:hint="eastAsia"/>
          <w:sz w:val="21"/>
          <w:szCs w:val="21"/>
        </w:rPr>
        <w:t>3、风险管理和内部风险控制的措施 </w:t>
      </w:r>
    </w:p>
    <w:p>
      <w:pPr>
        <w:pStyle w:val="7"/>
        <w:spacing w:before="0" w:beforeAutospacing="0" w:after="0" w:afterAutospacing="0" w:line="360" w:lineRule="auto"/>
        <w:ind w:firstLine="420"/>
        <w:rPr>
          <w:sz w:val="21"/>
          <w:szCs w:val="21"/>
        </w:rPr>
      </w:pPr>
      <w:r>
        <w:rPr>
          <w:rFonts w:hint="eastAsia"/>
          <w:sz w:val="21"/>
          <w:szCs w:val="21"/>
        </w:rPr>
        <w:t>（1）建立内控结构，完善内控制度 </w:t>
      </w:r>
    </w:p>
    <w:p>
      <w:pPr>
        <w:pStyle w:val="7"/>
        <w:spacing w:before="0" w:beforeAutospacing="0" w:after="0" w:afterAutospacing="0" w:line="360" w:lineRule="auto"/>
        <w:ind w:firstLine="420"/>
        <w:rPr>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 </w:t>
      </w:r>
    </w:p>
    <w:p>
      <w:pPr>
        <w:pStyle w:val="7"/>
        <w:spacing w:before="0" w:beforeAutospacing="0" w:after="0" w:afterAutospacing="0" w:line="360" w:lineRule="auto"/>
        <w:ind w:firstLine="420"/>
        <w:rPr>
          <w:sz w:val="21"/>
          <w:szCs w:val="21"/>
        </w:rPr>
      </w:pPr>
      <w:r>
        <w:rPr>
          <w:rFonts w:hint="eastAsia"/>
          <w:sz w:val="21"/>
          <w:szCs w:val="21"/>
        </w:rPr>
        <w:t>（2）建立相互分离、相互制衡的内控机制 </w:t>
      </w:r>
    </w:p>
    <w:p>
      <w:pPr>
        <w:pStyle w:val="7"/>
        <w:spacing w:before="0" w:beforeAutospacing="0" w:after="0" w:afterAutospacing="0" w:line="360" w:lineRule="auto"/>
        <w:ind w:firstLine="420"/>
        <w:rPr>
          <w:sz w:val="21"/>
          <w:szCs w:val="21"/>
        </w:rPr>
      </w:pPr>
      <w:r>
        <w:rPr>
          <w:rFonts w:hint="eastAsia"/>
          <w:sz w:val="21"/>
          <w:szCs w:val="21"/>
        </w:rPr>
        <w:t>建立、健全了各项制度，做到基金经理分开，投资决策分开，基金交易集中，形成不同部门，不同岗位之间的制衡机制，从制度上减少和防范风险。 </w:t>
      </w:r>
    </w:p>
    <w:p>
      <w:pPr>
        <w:pStyle w:val="7"/>
        <w:spacing w:before="0" w:beforeAutospacing="0" w:after="0" w:afterAutospacing="0" w:line="360" w:lineRule="auto"/>
        <w:ind w:firstLine="420"/>
        <w:rPr>
          <w:sz w:val="21"/>
          <w:szCs w:val="21"/>
        </w:rPr>
      </w:pPr>
      <w:r>
        <w:rPr>
          <w:rFonts w:hint="eastAsia"/>
          <w:sz w:val="21"/>
          <w:szCs w:val="21"/>
        </w:rPr>
        <w:t>（3）建立、健全岗位责任制 </w:t>
      </w:r>
    </w:p>
    <w:p>
      <w:pPr>
        <w:pStyle w:val="7"/>
        <w:spacing w:before="0" w:beforeAutospacing="0" w:after="0" w:afterAutospacing="0" w:line="360" w:lineRule="auto"/>
        <w:ind w:firstLine="420"/>
        <w:rPr>
          <w:sz w:val="21"/>
          <w:szCs w:val="21"/>
        </w:rPr>
      </w:pPr>
      <w:r>
        <w:rPr>
          <w:rFonts w:hint="eastAsia"/>
          <w:sz w:val="21"/>
          <w:szCs w:val="21"/>
        </w:rPr>
        <w:t>建立、健全了岗位责任制，使每个员工都明确自己的任务、职责，并及时将各自工作领域中的风险隐患上报，以防范和减少风险。 </w:t>
      </w:r>
    </w:p>
    <w:p>
      <w:pPr>
        <w:pStyle w:val="7"/>
        <w:spacing w:before="0" w:beforeAutospacing="0" w:after="0" w:afterAutospacing="0" w:line="360" w:lineRule="auto"/>
        <w:ind w:firstLine="420"/>
        <w:rPr>
          <w:sz w:val="21"/>
          <w:szCs w:val="21"/>
        </w:rPr>
      </w:pPr>
      <w:r>
        <w:rPr>
          <w:rFonts w:hint="eastAsia"/>
          <w:sz w:val="21"/>
          <w:szCs w:val="21"/>
        </w:rPr>
        <w:t>（4）建立风险分类、识别、评估、报告、提示程序 </w:t>
      </w:r>
    </w:p>
    <w:p>
      <w:pPr>
        <w:pStyle w:val="7"/>
        <w:spacing w:before="0" w:beforeAutospacing="0" w:after="0" w:afterAutospacing="0" w:line="360" w:lineRule="auto"/>
        <w:ind w:firstLine="420"/>
        <w:rPr>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 </w:t>
      </w:r>
    </w:p>
    <w:p>
      <w:pPr>
        <w:pStyle w:val="7"/>
        <w:spacing w:before="0" w:beforeAutospacing="0" w:after="0" w:afterAutospacing="0" w:line="360" w:lineRule="auto"/>
        <w:ind w:firstLine="420"/>
        <w:rPr>
          <w:sz w:val="21"/>
          <w:szCs w:val="21"/>
        </w:rPr>
      </w:pPr>
      <w:r>
        <w:rPr>
          <w:rFonts w:hint="eastAsia"/>
          <w:sz w:val="21"/>
          <w:szCs w:val="21"/>
        </w:rPr>
        <w:t>（5）建立有效的内部监控系统 </w:t>
      </w:r>
    </w:p>
    <w:p>
      <w:pPr>
        <w:pStyle w:val="7"/>
        <w:spacing w:before="0" w:beforeAutospacing="0" w:after="0" w:afterAutospacing="0" w:line="360" w:lineRule="auto"/>
        <w:ind w:firstLine="420"/>
        <w:rPr>
          <w:sz w:val="21"/>
          <w:szCs w:val="21"/>
        </w:rPr>
      </w:pPr>
      <w:r>
        <w:rPr>
          <w:rFonts w:hint="eastAsia"/>
          <w:sz w:val="21"/>
          <w:szCs w:val="21"/>
        </w:rPr>
        <w:t>建立了足够、有效的内部监控系统，如电脑预警系统、投资监控系统，对可能出现的各种风险进行全面和实时的监控。 </w:t>
      </w:r>
    </w:p>
    <w:p>
      <w:pPr>
        <w:pStyle w:val="7"/>
        <w:spacing w:before="0" w:beforeAutospacing="0" w:after="0" w:afterAutospacing="0" w:line="360" w:lineRule="auto"/>
        <w:ind w:firstLine="420"/>
        <w:rPr>
          <w:sz w:val="21"/>
          <w:szCs w:val="21"/>
        </w:rPr>
      </w:pPr>
      <w:r>
        <w:rPr>
          <w:rFonts w:hint="eastAsia"/>
          <w:sz w:val="21"/>
          <w:szCs w:val="21"/>
        </w:rPr>
        <w:t>（6）使用数量化的风险管理手段 </w:t>
      </w:r>
    </w:p>
    <w:p>
      <w:pPr>
        <w:pStyle w:val="7"/>
        <w:spacing w:before="0" w:beforeAutospacing="0" w:after="0" w:afterAutospacing="0" w:line="360" w:lineRule="auto"/>
        <w:ind w:firstLine="420"/>
        <w:rPr>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 </w:t>
      </w:r>
    </w:p>
    <w:p>
      <w:pPr>
        <w:pStyle w:val="7"/>
        <w:spacing w:before="0" w:beforeAutospacing="0" w:after="0" w:afterAutospacing="0" w:line="360" w:lineRule="auto"/>
        <w:ind w:firstLine="420"/>
        <w:rPr>
          <w:sz w:val="21"/>
          <w:szCs w:val="21"/>
        </w:rPr>
      </w:pPr>
      <w:r>
        <w:rPr>
          <w:rFonts w:hint="eastAsia"/>
          <w:sz w:val="21"/>
          <w:szCs w:val="21"/>
        </w:rPr>
        <w:t>（7）提供足够的培训 </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2" w:name="chapter_level1_5_53_section_4_end"/>
      <w:bookmarkEnd w:id="42"/>
      <w:r>
        <w:rPr>
          <w:rFonts w:hint="eastAsia"/>
          <w:sz w:val="21"/>
          <w:szCs w:val="21"/>
        </w:rPr>
        <w:t>控制风险。 </w:t>
      </w:r>
    </w:p>
    <w:p>
      <w:pPr>
        <w:widowControl/>
        <w:jc w:val="left"/>
        <w:rPr>
          <w:rFonts w:ascii="宋体" w:hAnsi="宋体" w:eastAsia="宋体"/>
        </w:rPr>
      </w:pPr>
      <w:bookmarkStart w:id="43" w:name="chapter_level1_6_55_section_1_end"/>
      <w:bookmarkEnd w:id="43"/>
      <w:r>
        <w:rPr>
          <w:rFonts w:ascii="宋体" w:hAnsi="宋体" w:eastAsia="宋体"/>
        </w:rPr>
        <w:br w:type="page"/>
      </w:r>
    </w:p>
    <w:p>
      <w:pPr>
        <w:pStyle w:val="2"/>
        <w:jc w:val="center"/>
        <w:rPr>
          <w:rFonts w:ascii="宋体" w:hAnsi="宋体" w:eastAsia="宋体"/>
          <w:sz w:val="30"/>
        </w:rPr>
      </w:pPr>
      <w:bookmarkStart w:id="44" w:name="chapter_level1_6_55"/>
      <w:bookmarkStart w:id="45" w:name="_Toc176190823"/>
      <w:r>
        <w:rPr>
          <w:rFonts w:hint="eastAsia" w:ascii="宋体" w:hAnsi="宋体" w:eastAsia="宋体"/>
          <w:sz w:val="30"/>
        </w:rPr>
        <w:t>第四部分  基金托管人</w:t>
      </w:r>
      <w:bookmarkEnd w:id="44"/>
      <w:bookmarkEnd w:id="45"/>
    </w:p>
    <w:p>
      <w:pPr>
        <w:pStyle w:val="7"/>
        <w:spacing w:before="0" w:beforeAutospacing="0" w:after="0" w:afterAutospacing="0" w:line="360" w:lineRule="auto"/>
        <w:ind w:firstLine="420"/>
        <w:rPr>
          <w:sz w:val="21"/>
          <w:szCs w:val="21"/>
        </w:rPr>
      </w:pPr>
      <w:bookmarkStart w:id="46" w:name="field_0_trustcompanyinfo_1_start"/>
      <w:bookmarkEnd w:id="46"/>
      <w:bookmarkStart w:id="47" w:name="chapter_level1_6_55_section_1"/>
      <w:bookmarkEnd w:id="47"/>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1、基本情况 </w:t>
      </w:r>
    </w:p>
    <w:p>
      <w:pPr>
        <w:pStyle w:val="7"/>
        <w:spacing w:before="0" w:beforeAutospacing="0" w:after="0" w:afterAutospacing="0" w:line="360" w:lineRule="auto"/>
        <w:ind w:firstLine="420"/>
        <w:rPr>
          <w:sz w:val="21"/>
          <w:szCs w:val="21"/>
        </w:rPr>
      </w:pPr>
      <w:r>
        <w:rPr>
          <w:rFonts w:hint="eastAsia"/>
          <w:sz w:val="21"/>
          <w:szCs w:val="21"/>
        </w:rPr>
        <w:t xml:space="preserve">名称：兴业银行股份有限公司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注册地址：福建省福州市台江区江滨中大道398号兴业银行大厦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办公地址：上海市银城路167号 </w:t>
      </w:r>
    </w:p>
    <w:p>
      <w:pPr>
        <w:pStyle w:val="7"/>
        <w:spacing w:before="0" w:beforeAutospacing="0" w:after="0" w:afterAutospacing="0" w:line="360" w:lineRule="auto"/>
        <w:ind w:firstLine="420"/>
        <w:rPr>
          <w:sz w:val="21"/>
          <w:szCs w:val="21"/>
        </w:rPr>
      </w:pPr>
      <w:r>
        <w:rPr>
          <w:rFonts w:hint="eastAsia"/>
          <w:sz w:val="21"/>
          <w:szCs w:val="21"/>
        </w:rPr>
        <w:t xml:space="preserve">邮政编码：200120 </w:t>
      </w:r>
    </w:p>
    <w:p>
      <w:pPr>
        <w:pStyle w:val="7"/>
        <w:spacing w:before="0" w:beforeAutospacing="0" w:after="0" w:afterAutospacing="0" w:line="360" w:lineRule="auto"/>
        <w:ind w:firstLine="420"/>
        <w:rPr>
          <w:sz w:val="21"/>
          <w:szCs w:val="21"/>
        </w:rPr>
      </w:pPr>
      <w:r>
        <w:rPr>
          <w:rFonts w:hint="eastAsia"/>
          <w:sz w:val="21"/>
          <w:szCs w:val="21"/>
        </w:rPr>
        <w:t xml:space="preserve">法定代表人：吕家进  </w:t>
      </w:r>
    </w:p>
    <w:p>
      <w:pPr>
        <w:pStyle w:val="7"/>
        <w:spacing w:before="0" w:beforeAutospacing="0" w:after="0" w:afterAutospacing="0" w:line="360" w:lineRule="auto"/>
        <w:ind w:firstLine="420"/>
        <w:rPr>
          <w:sz w:val="21"/>
          <w:szCs w:val="21"/>
        </w:rPr>
      </w:pPr>
      <w:r>
        <w:rPr>
          <w:rFonts w:hint="eastAsia"/>
          <w:sz w:val="21"/>
          <w:szCs w:val="21"/>
        </w:rPr>
        <w:t xml:space="preserve">成立日期：1988年8月22日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批准设立机关和批准设立文号：中国人民银行总行，银复[1988]347号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基金托管业务批准文号：中国证监会证监基金字[2005]74号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注册资本：207.74亿元人民币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2、发展概况及财务状况 </w:t>
      </w:r>
    </w:p>
    <w:p>
      <w:pPr>
        <w:pStyle w:val="7"/>
        <w:spacing w:before="0" w:beforeAutospacing="0" w:after="0" w:afterAutospacing="0" w:line="360" w:lineRule="auto"/>
        <w:ind w:firstLine="420"/>
        <w:rPr>
          <w:sz w:val="21"/>
          <w:szCs w:val="21"/>
        </w:rPr>
      </w:pPr>
      <w:r>
        <w:rPr>
          <w:rFonts w:hint="eastAsia"/>
          <w:sz w:val="21"/>
          <w:szCs w:val="21"/>
        </w:rPr>
        <w:t xml:space="preserve">兴业银行成立于1988年8月，是经国务院、中国人民银行批准成立的首批股份制商业银行之一，总行设在福建省福州市，2007年2月5日正式在上海证券交易所挂牌上市（股票代码：601166），注册资本207.74亿元。截至2023年12月31日，兴业银行资产总额达10.16万亿元，实现营业收入2108.31亿元，同比降低5.19%，实现归属于母公司股东的净利润771.16亿元。开业三十多年来，兴业银行始终坚持“真诚服务，相伴成长”的经营理念，致力于为客户提供全面、优质、高效的金融服务。 </w:t>
      </w:r>
    </w:p>
    <w:p>
      <w:pPr>
        <w:pStyle w:val="7"/>
        <w:spacing w:before="0" w:beforeAutospacing="0" w:after="0" w:afterAutospacing="0" w:line="360" w:lineRule="auto"/>
        <w:ind w:firstLine="420"/>
        <w:rPr>
          <w:sz w:val="21"/>
          <w:szCs w:val="21"/>
        </w:rPr>
      </w:pPr>
      <w:r>
        <w:rPr>
          <w:rFonts w:hint="eastAsia"/>
          <w:sz w:val="21"/>
          <w:szCs w:val="21"/>
        </w:rPr>
        <w:t xml:space="preserve">二、托管业务部部门设置及员工情况 </w:t>
      </w:r>
    </w:p>
    <w:p>
      <w:pPr>
        <w:pStyle w:val="7"/>
        <w:spacing w:before="0" w:beforeAutospacing="0" w:after="0" w:afterAutospacing="0" w:line="360" w:lineRule="auto"/>
        <w:ind w:firstLine="420"/>
        <w:rPr>
          <w:sz w:val="21"/>
          <w:szCs w:val="21"/>
        </w:rPr>
      </w:pPr>
      <w:r>
        <w:rPr>
          <w:rFonts w:hint="eastAsia"/>
          <w:sz w:val="21"/>
          <w:szCs w:val="21"/>
        </w:rPr>
        <w:t xml:space="preserve">兴业银行股份有限公司总行设资产托管部，下设综合管理处、基金证券业务处、信托保险业务处、理财私募业务处、产品管理处、稽核监察处、投资监督管理处、运行管理处等处室，共有员工100余人，业务岗位人员均具有基金从业资格。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兴业银行股份有限公司于2005年4月26日取得基金托管资格。基金托管业务批准文号：证监基金字[2005]74号。截至2024年6月30日，兴业银行共托管证券投资基金724只，托管基金的基金资产净值合计25372.53亿元，基金份额合计24324.13亿份。 </w:t>
      </w:r>
      <w:bookmarkStart w:id="48" w:name="field_0_trustcompanyinfo_1_end"/>
      <w:bookmarkEnd w:id="48"/>
      <w:r>
        <w:rPr>
          <w:rFonts w:hint="eastAsia"/>
          <w:sz w:val="21"/>
          <w:szCs w:val="21"/>
        </w:rPr>
        <w:t xml:space="preserve">  </w:t>
      </w:r>
    </w:p>
    <w:p>
      <w:pPr>
        <w:pStyle w:val="7"/>
        <w:spacing w:before="0" w:beforeAutospacing="0" w:after="0" w:afterAutospacing="0" w:line="360" w:lineRule="auto"/>
        <w:ind w:firstLine="420"/>
        <w:rPr>
          <w:sz w:val="21"/>
          <w:szCs w:val="21"/>
        </w:rPr>
      </w:pPr>
      <w:bookmarkStart w:id="49" w:name="chapter_level1_6_55_section_2"/>
      <w:bookmarkEnd w:id="49"/>
      <w:bookmarkStart w:id="50" w:name="field_0_trustcontrollawinfo_1_start"/>
      <w:bookmarkEnd w:id="50"/>
      <w:r>
        <w:rPr>
          <w:rFonts w:hint="eastAsia"/>
          <w:sz w:val="21"/>
          <w:szCs w:val="21"/>
        </w:rPr>
        <w:t xml:space="preserve">四、基金托管人的内部控制制度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（一）内部控制目标 </w:t>
      </w:r>
    </w:p>
    <w:p>
      <w:pPr>
        <w:pStyle w:val="7"/>
        <w:spacing w:before="0" w:beforeAutospacing="0" w:after="0" w:afterAutospacing="0" w:line="360" w:lineRule="auto"/>
        <w:ind w:firstLine="420"/>
        <w:rPr>
          <w:sz w:val="21"/>
          <w:szCs w:val="21"/>
        </w:rPr>
      </w:pPr>
      <w:r>
        <w:rPr>
          <w:rFonts w:hint="eastAsia"/>
          <w:sz w:val="21"/>
          <w:szCs w:val="21"/>
        </w:rPr>
        <w:t xml:space="preserve">严格遵守国家有关托管业务的法律法规、行业监管规章和行内有关管理规定，守法经营、规范运作、严格监察，确保业务的稳健运行，保证基金资产的安全完整，确保有关信息的真实、准确、完整、及时，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（二）内部控制组织结构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兴业银行基金托管业务内部控制组织架构由总行内部控制委员会、总行风险管理部门、总行审计部、总行资产托管部、总行运营管理部及分行托管运营机构共同组成。各级内部控制组织依照本行相关制度对本行托管业务风险管理和内部控制实施管理。 </w:t>
      </w:r>
    </w:p>
    <w:p>
      <w:pPr>
        <w:pStyle w:val="7"/>
        <w:spacing w:before="0" w:beforeAutospacing="0" w:after="0" w:afterAutospacing="0" w:line="360" w:lineRule="auto"/>
        <w:ind w:firstLine="420"/>
        <w:rPr>
          <w:sz w:val="21"/>
          <w:szCs w:val="21"/>
        </w:rPr>
      </w:pPr>
      <w:r>
        <w:rPr>
          <w:rFonts w:hint="eastAsia"/>
          <w:sz w:val="21"/>
          <w:szCs w:val="21"/>
        </w:rPr>
        <w:t xml:space="preserve">（三）内部控制原则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1、全面性原则：内部控制贯穿资产托管业务的全过程，覆盖各项业务和产品，以及从事资产托管业务的各机构和从业人员； </w:t>
      </w:r>
    </w:p>
    <w:p>
      <w:pPr>
        <w:pStyle w:val="7"/>
        <w:spacing w:before="0" w:beforeAutospacing="0" w:after="0" w:afterAutospacing="0" w:line="360" w:lineRule="auto"/>
        <w:ind w:firstLine="420"/>
        <w:rPr>
          <w:sz w:val="21"/>
          <w:szCs w:val="21"/>
        </w:rPr>
      </w:pPr>
      <w:r>
        <w:rPr>
          <w:rFonts w:hint="eastAsia"/>
          <w:sz w:val="21"/>
          <w:szCs w:val="21"/>
        </w:rPr>
        <w:t xml:space="preserve">2、重要性原则：内部控制应当在全面控制的基础上，关注重要业务事项和高风险领域； </w:t>
      </w:r>
    </w:p>
    <w:p>
      <w:pPr>
        <w:pStyle w:val="7"/>
        <w:spacing w:before="0" w:beforeAutospacing="0" w:after="0" w:afterAutospacing="0" w:line="360" w:lineRule="auto"/>
        <w:ind w:firstLine="420"/>
        <w:rPr>
          <w:sz w:val="21"/>
          <w:szCs w:val="21"/>
        </w:rPr>
      </w:pPr>
      <w:r>
        <w:rPr>
          <w:rFonts w:hint="eastAsia"/>
          <w:sz w:val="21"/>
          <w:szCs w:val="21"/>
        </w:rPr>
        <w:t xml:space="preserve">3、独立性原则：开展托管业务的部门和岗位的设置应权责分明、相对独立、相互制衡； </w:t>
      </w:r>
    </w:p>
    <w:p>
      <w:pPr>
        <w:pStyle w:val="7"/>
        <w:spacing w:before="0" w:beforeAutospacing="0" w:after="0" w:afterAutospacing="0" w:line="360" w:lineRule="auto"/>
        <w:ind w:firstLine="420"/>
        <w:rPr>
          <w:sz w:val="21"/>
          <w:szCs w:val="21"/>
        </w:rPr>
      </w:pPr>
      <w:r>
        <w:rPr>
          <w:rFonts w:hint="eastAsia"/>
          <w:sz w:val="21"/>
          <w:szCs w:val="21"/>
        </w:rPr>
        <w:t xml:space="preserve">4、审慎性原则：内控与风险管理必须以防范风险，保证托管资产的安全与完整为出发点，“内控优先”，“制度优先”，审慎发展资产托管业务； </w:t>
      </w:r>
    </w:p>
    <w:p>
      <w:pPr>
        <w:pStyle w:val="7"/>
        <w:spacing w:before="0" w:beforeAutospacing="0" w:after="0" w:afterAutospacing="0" w:line="360" w:lineRule="auto"/>
        <w:ind w:firstLine="420"/>
        <w:rPr>
          <w:sz w:val="21"/>
          <w:szCs w:val="21"/>
        </w:rPr>
      </w:pPr>
      <w:r>
        <w:rPr>
          <w:rFonts w:hint="eastAsia"/>
          <w:sz w:val="21"/>
          <w:szCs w:val="21"/>
        </w:rPr>
        <w:t xml:space="preserve">5、制衡性原则：内部控制应当在治理结构、机构设置及权责分配、业务流程等方面形成相互制约、相互监督，同时兼顾运营效率； </w:t>
      </w:r>
    </w:p>
    <w:p>
      <w:pPr>
        <w:pStyle w:val="7"/>
        <w:spacing w:before="0" w:beforeAutospacing="0" w:after="0" w:afterAutospacing="0" w:line="360" w:lineRule="auto"/>
        <w:ind w:firstLine="420"/>
        <w:rPr>
          <w:sz w:val="21"/>
          <w:szCs w:val="21"/>
        </w:rPr>
      </w:pPr>
      <w:r>
        <w:rPr>
          <w:rFonts w:hint="eastAsia"/>
          <w:sz w:val="21"/>
          <w:szCs w:val="21"/>
        </w:rPr>
        <w:t xml:space="preserve">6、适应性原则：内部控制体系应同所处的环境相适应，以合理的成本实现内控目标，内部制度的制订应当具有前瞻性，并应当根据国家政策、法律及经营管理的需要，适时进行相应修改和完善；内部控制存在的问题应当能够得到及时反馈和纠正； </w:t>
      </w:r>
    </w:p>
    <w:p>
      <w:pPr>
        <w:pStyle w:val="7"/>
        <w:spacing w:before="0" w:beforeAutospacing="0" w:after="0" w:afterAutospacing="0" w:line="360" w:lineRule="auto"/>
        <w:ind w:firstLine="420"/>
        <w:rPr>
          <w:sz w:val="21"/>
          <w:szCs w:val="21"/>
        </w:rPr>
      </w:pPr>
      <w:r>
        <w:rPr>
          <w:rFonts w:hint="eastAsia"/>
          <w:sz w:val="21"/>
          <w:szCs w:val="21"/>
        </w:rPr>
        <w:t xml:space="preserve">7、成本效益原则：内部控制应当权衡实施成本与预期效益，以适当的成本实现有效控制。 </w:t>
      </w:r>
    </w:p>
    <w:p>
      <w:pPr>
        <w:pStyle w:val="7"/>
        <w:spacing w:before="0" w:beforeAutospacing="0" w:after="0" w:afterAutospacing="0" w:line="360" w:lineRule="auto"/>
        <w:ind w:firstLine="420"/>
        <w:rPr>
          <w:sz w:val="21"/>
          <w:szCs w:val="21"/>
        </w:rPr>
      </w:pPr>
      <w:r>
        <w:rPr>
          <w:rFonts w:hint="eastAsia"/>
          <w:sz w:val="21"/>
          <w:szCs w:val="21"/>
        </w:rPr>
        <w:t xml:space="preserve">（四）内部控制制度及措施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pPr>
        <w:pStyle w:val="7"/>
        <w:spacing w:before="0" w:beforeAutospacing="0" w:after="0" w:afterAutospacing="0" w:line="360" w:lineRule="auto"/>
        <w:ind w:firstLine="420"/>
        <w:rPr>
          <w:sz w:val="21"/>
          <w:szCs w:val="21"/>
        </w:rPr>
      </w:pPr>
      <w:r>
        <w:rPr>
          <w:rFonts w:hint="eastAsia"/>
          <w:sz w:val="21"/>
          <w:szCs w:val="21"/>
        </w:rPr>
        <w:t xml:space="preserve">3、风险识别与评估：稽核监察处指导业务处室进行风险识别、评估，制定并实施风险控制措施。 </w:t>
      </w:r>
    </w:p>
    <w:p>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基金托管人负有对基金管理人的投资运作行使监督权的职责。根据《基金法》、《运作办法》、基金合同及其他有关规定，托管人对基金的投资对象和范围、投资组合比例、投资限制、费用的计提和支付方式、基金会计核算、基金资产估值和基金净值的计算、收益分配、申购赎回以及其他有关基金投资和运作的事项，对基金管理人进行业务监督、核查。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违反《基金法》、《运作办法》、基金合同和有关法律法规规定的行为，应及时以书面形式通知基金管理人限期纠正，基金管理人收到通知后应及时核对并以书面形式对基金托管人发出回函。在限期内，基金托管人有权随时对通知事项进行复查，督促基金管理人改正。基金管理人对基金托管人通知的违规事项未能在限期内纠正的，基金托管人应报告中国证监会。基金托管人发现基金管理人有重大违规行为，立即报告中国证监会，同时，通知基金管理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基金托管人发现基金管理人依据交易程序已经生效的投资指令违反法律、行政法规和其他有关规定，或者违反基金合同约定的，应当立即通知基金管理人，并及时向中国证监会报</w:t>
      </w:r>
      <w:bookmarkStart w:id="51" w:name="chapter_level1_6_55_section_2_end"/>
      <w:bookmarkEnd w:id="51"/>
      <w:r>
        <w:rPr>
          <w:rFonts w:hint="eastAsia"/>
          <w:sz w:val="21"/>
          <w:szCs w:val="21"/>
        </w:rPr>
        <w:t xml:space="preserve">告。 </w:t>
      </w:r>
      <w:bookmarkStart w:id="52" w:name="field_0_trustcontrollawinfo_1_end"/>
      <w:bookmarkEnd w:id="5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3" w:name="_Toc176190824"/>
      <w:bookmarkStart w:id="54" w:name="chapter_level1_7_56"/>
      <w:r>
        <w:rPr>
          <w:rFonts w:hint="eastAsia" w:ascii="宋体" w:hAnsi="宋体" w:eastAsia="宋体"/>
          <w:sz w:val="30"/>
        </w:rPr>
        <w:t>第五部分  相关服务机构</w:t>
      </w:r>
      <w:bookmarkEnd w:id="53"/>
      <w:bookmarkEnd w:id="54"/>
    </w:p>
    <w:p>
      <w:pPr>
        <w:pStyle w:val="7"/>
        <w:spacing w:before="0" w:beforeAutospacing="0" w:after="0" w:afterAutospacing="0" w:line="360" w:lineRule="auto"/>
        <w:ind w:firstLine="420"/>
        <w:rPr>
          <w:sz w:val="21"/>
          <w:szCs w:val="21"/>
        </w:rPr>
      </w:pPr>
      <w:bookmarkStart w:id="55" w:name="chapter_level1_7_56_section_1"/>
      <w:bookmarkEnd w:id="55"/>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6" w:name="field_0_marketcompanyinfo_1_start"/>
      <w:bookmarkEnd w:id="56"/>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7" w:name="chapter_level1_7_56_section_1_end"/>
      <w:bookmarkEnd w:id="57"/>
      <w:r>
        <w:rPr>
          <w:rFonts w:hint="eastAsia"/>
          <w:sz w:val="21"/>
          <w:szCs w:val="21"/>
        </w:rPr>
        <w:t xml:space="preserve">博时一线通：95105568（免长途话费） </w:t>
      </w:r>
      <w:bookmarkStart w:id="58" w:name="field_0_marketcompanyinfo_1_end"/>
      <w:bookmarkEnd w:id="58"/>
      <w:r>
        <w:rPr>
          <w:rFonts w:hint="eastAsia"/>
          <w:sz w:val="21"/>
          <w:szCs w:val="21"/>
        </w:rPr>
        <w:t xml:space="preserve">  </w:t>
      </w:r>
    </w:p>
    <w:p>
      <w:pPr>
        <w:pStyle w:val="7"/>
        <w:spacing w:before="0" w:beforeAutospacing="0" w:after="0" w:afterAutospacing="0" w:line="360" w:lineRule="auto"/>
        <w:ind w:firstLine="420"/>
        <w:rPr>
          <w:sz w:val="21"/>
          <w:szCs w:val="21"/>
        </w:rPr>
      </w:pPr>
      <w:bookmarkStart w:id="59" w:name="chapter_level1_7_56_section_2"/>
      <w:bookmarkEnd w:id="59"/>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0" w:name="field_0_allproxysaletables_1_start"/>
      <w:bookmarkEnd w:id="60"/>
      <w:r>
        <w:rPr>
          <w:rFonts w:hint="eastAsia"/>
          <w:b/>
          <w:bCs/>
          <w:sz w:val="21"/>
          <w:szCs w:val="21"/>
        </w:rPr>
        <w:t>(1)兴业银行股份有限公司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(2)苏州银行股份有限公司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(3)鼎信汇金（北京）投资管理有限公司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(4)上海挖财基金销售有限公司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http://wacaijijin.com/ </w:t>
            </w:r>
          </w:p>
        </w:tc>
      </w:tr>
    </w:tbl>
    <w:p>
      <w:pPr>
        <w:pStyle w:val="7"/>
        <w:spacing w:before="0" w:beforeAutospacing="0" w:after="0" w:afterAutospacing="0" w:line="360" w:lineRule="auto"/>
        <w:ind w:firstLine="420"/>
        <w:rPr>
          <w:sz w:val="21"/>
          <w:szCs w:val="21"/>
        </w:rPr>
      </w:pPr>
      <w:r>
        <w:rPr>
          <w:rFonts w:hint="eastAsia"/>
          <w:b/>
          <w:bCs/>
          <w:sz w:val="21"/>
          <w:szCs w:val="21"/>
        </w:rPr>
        <w:t>(5)腾安基金销售（深圳）有限公司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(6)北京度小满基金销售有限公司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(7)博时财富基金销售有限公司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(8)诺亚正行基金销售有限公司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(9)上海天天基金销售有限公司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(10)蚂蚁（杭州）基金销售有限公司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(11)浙江同花顺基金销售有限公司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(13)嘉实财富管理有限公司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(14)泛华普益基金销售有限公司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www.puyiwm.com </w:t>
            </w:r>
          </w:p>
        </w:tc>
      </w:tr>
    </w:tbl>
    <w:p>
      <w:pPr>
        <w:pStyle w:val="7"/>
        <w:spacing w:before="0" w:beforeAutospacing="0" w:after="0" w:afterAutospacing="0" w:line="360" w:lineRule="auto"/>
        <w:ind w:firstLine="420"/>
        <w:rPr>
          <w:sz w:val="21"/>
          <w:szCs w:val="21"/>
        </w:rPr>
      </w:pPr>
      <w:r>
        <w:rPr>
          <w:rFonts w:hint="eastAsia"/>
          <w:b/>
          <w:bCs/>
          <w:sz w:val="21"/>
          <w:szCs w:val="21"/>
        </w:rPr>
        <w:t>(15)宜信普泽（北京）基金销售有限公司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(16)南京苏宁基金销售有限公司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(17)北京新浪仓石基金销售有限公司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(18)上海万得基金销售有限公司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(19)上海联泰基金销售有限公司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中国（上海）自由贸易试验区富特北路277号3层310室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上海市长宁区福泉北路 518 号 8 座 3 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燕斌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021-52822063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400-166-6788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www.66zichan.com </w:t>
            </w:r>
          </w:p>
        </w:tc>
      </w:tr>
    </w:tbl>
    <w:p>
      <w:pPr>
        <w:pStyle w:val="7"/>
        <w:spacing w:before="0" w:beforeAutospacing="0" w:after="0" w:afterAutospacing="0" w:line="360" w:lineRule="auto"/>
        <w:ind w:firstLine="420"/>
        <w:rPr>
          <w:sz w:val="21"/>
          <w:szCs w:val="21"/>
        </w:rPr>
      </w:pPr>
      <w:r>
        <w:rPr>
          <w:rFonts w:hint="eastAsia"/>
          <w:b/>
          <w:bCs/>
          <w:sz w:val="21"/>
          <w:szCs w:val="21"/>
        </w:rPr>
        <w:t>(20)上海陆金所基金销售有限公司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(21)珠海盈米基金销售有限公司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(22)奕丰基金销售有限公司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 栋 201 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深圳市南山区海德三道航天科技广场A座17楼1703-04室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TEO WEE HOWE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叶健、左琴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0755-89460507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0755-21674453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400-684-0500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www.ifastps.com.cn </w:t>
            </w:r>
          </w:p>
        </w:tc>
      </w:tr>
    </w:tbl>
    <w:p>
      <w:pPr>
        <w:pStyle w:val="7"/>
        <w:spacing w:before="0" w:beforeAutospacing="0" w:after="0" w:afterAutospacing="0" w:line="360" w:lineRule="auto"/>
        <w:ind w:firstLine="420"/>
        <w:rPr>
          <w:sz w:val="21"/>
          <w:szCs w:val="21"/>
        </w:rPr>
      </w:pPr>
      <w:r>
        <w:rPr>
          <w:rFonts w:hint="eastAsia"/>
          <w:b/>
          <w:bCs/>
          <w:sz w:val="21"/>
          <w:szCs w:val="21"/>
        </w:rPr>
        <w:t>(23)中证金牛（北京）基金销售有限公司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(24)京东肯特瑞基金销售有限公司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(25)深圳市金斧子基金销售有限公司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(26)北京雪球基金销售有限公司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(27)上海华夏财富投资管理有限公司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(28)中信期货有限公司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(29)中信证券股份有限公司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400-889-5548/95548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(30)中信证券（山东）有限责任公司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(31)中信证券华南股份有限公司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(32)平安证券股份有限公司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(33)东方财富证券股份有限公司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(34)国金证券股份有限公司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(35)华瑞保险销售有限公司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(36)玄元保险代理有限公司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rPr>
          <w:rFonts w:ascii="宋体" w:hAnsi="宋体" w:eastAsia="宋体"/>
          <w:sz w:val="24"/>
          <w:szCs w:val="24"/>
        </w:rPr>
      </w:pPr>
      <w:bookmarkStart w:id="61" w:name="field_0_allproxysaletables_1_end"/>
      <w:bookmarkEnd w:id="61"/>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2" w:name="chapter_level1_7_56_section_2_end"/>
      <w:bookmarkEnd w:id="62"/>
    </w:p>
    <w:p>
      <w:pPr>
        <w:pStyle w:val="7"/>
        <w:spacing w:before="0" w:beforeAutospacing="0" w:after="0" w:afterAutospacing="0" w:line="360" w:lineRule="auto"/>
        <w:ind w:firstLine="420"/>
        <w:rPr>
          <w:sz w:val="21"/>
          <w:szCs w:val="21"/>
        </w:rPr>
      </w:pPr>
      <w:bookmarkStart w:id="63" w:name="chapter_level1_7_56_section_3"/>
      <w:bookmarkEnd w:id="63"/>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4" w:name="field_0_registercompanyinfo_1_start"/>
      <w:bookmarkEnd w:id="64"/>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5" w:name="field_0_registercompanyinfo_1_end"/>
      <w:bookmarkEnd w:id="6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电话：021-51150298 </w:t>
      </w:r>
    </w:p>
    <w:p>
      <w:pPr>
        <w:pStyle w:val="7"/>
        <w:spacing w:before="0" w:beforeAutospacing="0" w:after="0" w:afterAutospacing="0" w:line="360" w:lineRule="auto"/>
        <w:ind w:firstLine="420"/>
        <w:rPr>
          <w:sz w:val="21"/>
          <w:szCs w:val="21"/>
        </w:rPr>
      </w:pPr>
      <w:r>
        <w:rPr>
          <w:rFonts w:hint="eastAsia"/>
          <w:sz w:val="21"/>
          <w:szCs w:val="21"/>
        </w:rPr>
        <w:t xml:space="preserve">传真：021-51150298 </w:t>
      </w:r>
    </w:p>
    <w:p>
      <w:pPr>
        <w:pStyle w:val="7"/>
        <w:spacing w:before="0" w:beforeAutospacing="0" w:after="0" w:afterAutospacing="0" w:line="360" w:lineRule="auto"/>
        <w:ind w:firstLine="420"/>
        <w:rPr>
          <w:sz w:val="21"/>
          <w:szCs w:val="21"/>
        </w:rPr>
      </w:pPr>
      <w:r>
        <w:rPr>
          <w:rFonts w:hint="eastAsia"/>
          <w:sz w:val="21"/>
          <w:szCs w:val="21"/>
        </w:rPr>
        <w:t xml:space="preserve">联系人：廖海 </w:t>
      </w:r>
    </w:p>
    <w:p>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pPr>
        <w:pStyle w:val="7"/>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66" w:name="field_0_accountingorgfullname_1"/>
      <w:r>
        <w:rPr>
          <w:rFonts w:hint="eastAsia"/>
          <w:sz w:val="21"/>
          <w:szCs w:val="21"/>
        </w:rPr>
        <w:t>安永华明会计师事务所（特殊普通合伙）</w:t>
      </w:r>
      <w:bookmarkEnd w:id="66"/>
      <w:r>
        <w:rPr>
          <w:rFonts w:hint="eastAsia"/>
          <w:sz w:val="21"/>
          <w:szCs w:val="21"/>
        </w:rPr>
        <w:t xml:space="preserve">  </w:t>
      </w:r>
    </w:p>
    <w:p>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 蒋燕华、朱燕 </w:t>
      </w:r>
    </w:p>
    <w:p>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联系人：朱燕 </w:t>
      </w:r>
      <w:bookmarkStart w:id="69" w:name="field_0_accountingcompanyinfo_1_end"/>
      <w:bookmarkEnd w:id="6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0" w:name="_Toc176190825"/>
      <w:bookmarkStart w:id="71" w:name="chapter_level1_9_58"/>
      <w:r>
        <w:rPr>
          <w:rFonts w:hint="eastAsia" w:ascii="宋体" w:hAnsi="宋体" w:eastAsia="宋体"/>
          <w:sz w:val="30"/>
        </w:rPr>
        <w:t>第六部分 基金的募集与基金合同的生效</w:t>
      </w:r>
      <w:bookmarkEnd w:id="70"/>
      <w:bookmarkEnd w:id="71"/>
    </w:p>
    <w:p>
      <w:pPr>
        <w:pStyle w:val="7"/>
        <w:spacing w:before="0" w:beforeAutospacing="0" w:after="0" w:afterAutospacing="0" w:line="360" w:lineRule="auto"/>
        <w:ind w:firstLine="420"/>
        <w:rPr>
          <w:sz w:val="21"/>
          <w:szCs w:val="21"/>
        </w:rPr>
      </w:pPr>
      <w:bookmarkStart w:id="72" w:name="chapter_level1_9_58_section_1"/>
      <w:bookmarkEnd w:id="72"/>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3" w:name="field_2343_approveddate_1"/>
      <w:r>
        <w:rPr>
          <w:sz w:val="21"/>
          <w:szCs w:val="21"/>
        </w:rPr>
        <w:t>2024年1月12日</w:t>
      </w:r>
      <w:bookmarkEnd w:id="73"/>
      <w:r>
        <w:rPr>
          <w:rFonts w:hint="eastAsia"/>
          <w:sz w:val="21"/>
          <w:szCs w:val="21"/>
        </w:rPr>
        <w:t>证监许可</w:t>
      </w:r>
      <w:bookmarkStart w:id="74" w:name="field_2343_lotnumber_1"/>
      <w:r>
        <w:rPr>
          <w:sz w:val="21"/>
          <w:szCs w:val="21"/>
        </w:rPr>
        <w:t>[2024]70</w:t>
      </w:r>
      <w:bookmarkEnd w:id="74"/>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5" w:name="field_58_raisebegindate_1"/>
      <w:r>
        <w:rPr>
          <w:sz w:val="21"/>
          <w:szCs w:val="21"/>
        </w:rPr>
        <w:t>2024年3月18日</w:t>
      </w:r>
      <w:bookmarkEnd w:id="75"/>
      <w:r>
        <w:rPr>
          <w:rFonts w:hint="eastAsia"/>
          <w:sz w:val="21"/>
          <w:szCs w:val="21"/>
        </w:rPr>
        <w:t>至</w:t>
      </w:r>
      <w:bookmarkStart w:id="76" w:name="field_58_raiseenddate_1"/>
      <w:r>
        <w:rPr>
          <w:sz w:val="21"/>
          <w:szCs w:val="21"/>
        </w:rPr>
        <w:t>2024年4月3日</w:t>
      </w:r>
      <w:bookmarkEnd w:id="76"/>
      <w:r>
        <w:rPr>
          <w:rFonts w:hint="eastAsia"/>
          <w:sz w:val="21"/>
          <w:szCs w:val="21"/>
        </w:rPr>
        <w:t>期间，基金份额共募集</w:t>
      </w:r>
      <w:bookmarkStart w:id="77" w:name="field_58_raisetotal_1"/>
      <w:r>
        <w:rPr>
          <w:sz w:val="21"/>
          <w:szCs w:val="21"/>
        </w:rPr>
        <w:t>21,782,446.20</w:t>
      </w:r>
      <w:bookmarkEnd w:id="77"/>
      <w:r>
        <w:rPr>
          <w:rFonts w:hint="eastAsia"/>
          <w:sz w:val="21"/>
          <w:szCs w:val="21"/>
        </w:rPr>
        <w:t>份（含利息结转的份额），募集有效认购总户数为</w:t>
      </w:r>
      <w:bookmarkStart w:id="78" w:name="field_58_effectivetotal_1"/>
      <w:r>
        <w:rPr>
          <w:sz w:val="21"/>
          <w:szCs w:val="21"/>
        </w:rPr>
        <w:t>6,026</w:t>
      </w:r>
      <w:bookmarkEnd w:id="78"/>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9" w:name="field_58_operation_1"/>
      <w:r>
        <w:rPr>
          <w:rFonts w:hint="eastAsia"/>
          <w:sz w:val="21"/>
          <w:szCs w:val="21"/>
        </w:rPr>
        <w:t>契约型开放式</w:t>
      </w:r>
      <w:bookmarkEnd w:id="79"/>
      <w:r>
        <w:rPr>
          <w:rFonts w:hint="eastAsia"/>
          <w:sz w:val="21"/>
          <w:szCs w:val="21"/>
        </w:rPr>
        <w:t>，存续期间为</w:t>
      </w:r>
      <w:bookmarkStart w:id="80" w:name="field_58_duration_1"/>
      <w:r>
        <w:rPr>
          <w:rFonts w:hint="eastAsia"/>
          <w:sz w:val="21"/>
          <w:szCs w:val="21"/>
        </w:rPr>
        <w:t>不定期</w:t>
      </w:r>
      <w:bookmarkEnd w:id="8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81" w:name="chapter_level1_9_58_section_1_end"/>
      <w:bookmarkEnd w:id="81"/>
      <w:r>
        <w:rPr>
          <w:rFonts w:hint="eastAsia"/>
          <w:sz w:val="21"/>
          <w:szCs w:val="21"/>
        </w:rPr>
        <w:t>本基金的基金合同已于</w:t>
      </w:r>
      <w:bookmarkStart w:id="82" w:name="field_0_foundday_1"/>
      <w:r>
        <w:rPr>
          <w:sz w:val="21"/>
          <w:szCs w:val="21"/>
        </w:rPr>
        <w:t>2024年4月9日</w:t>
      </w:r>
      <w:bookmarkEnd w:id="82"/>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3" w:name="chapter_level1_9_58_section_2"/>
      <w:bookmarkEnd w:id="83"/>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5" w:name="_Toc176190826"/>
      <w:bookmarkStart w:id="86" w:name="chapter_level1_10_59"/>
      <w:r>
        <w:rPr>
          <w:rFonts w:hint="eastAsia" w:ascii="宋体" w:hAnsi="宋体" w:eastAsia="宋体"/>
          <w:sz w:val="30"/>
        </w:rPr>
        <w:t>第七部分  基金份额的申购与赎回</w:t>
      </w:r>
      <w:bookmarkEnd w:id="85"/>
      <w:bookmarkEnd w:id="86"/>
    </w:p>
    <w:p>
      <w:pPr>
        <w:pStyle w:val="7"/>
        <w:spacing w:before="0" w:beforeAutospacing="0" w:after="0" w:afterAutospacing="0" w:line="360" w:lineRule="auto"/>
        <w:ind w:firstLine="420"/>
        <w:rPr>
          <w:sz w:val="21"/>
          <w:szCs w:val="21"/>
        </w:rPr>
      </w:pPr>
      <w:bookmarkStart w:id="87" w:name="chapter_level1_10_59_section_1"/>
      <w:bookmarkEnd w:id="87"/>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88" w:name="chapter_level1_10_59_section_1_end"/>
      <w:bookmarkEnd w:id="88"/>
      <w:r>
        <w:rPr>
          <w:rFonts w:hint="eastAsia"/>
          <w:sz w:val="21"/>
          <w:szCs w:val="21"/>
        </w:rPr>
        <w:t xml:space="preserve">与赎回。 </w:t>
      </w:r>
    </w:p>
    <w:p>
      <w:pPr>
        <w:pStyle w:val="7"/>
        <w:spacing w:before="0" w:beforeAutospacing="0" w:after="0" w:afterAutospacing="0" w:line="360" w:lineRule="auto"/>
        <w:ind w:firstLine="420"/>
        <w:rPr>
          <w:sz w:val="21"/>
          <w:szCs w:val="21"/>
        </w:rPr>
      </w:pPr>
      <w:bookmarkStart w:id="89" w:name="chapter_level1_10_59_section_2"/>
      <w:bookmarkEnd w:id="89"/>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bookmarkStart w:id="90" w:name="chapter_level1_10_59_section_2_end"/>
      <w:bookmarkEnd w:id="90"/>
      <w:r>
        <w:rPr>
          <w:rFonts w:hint="eastAsia"/>
          <w:sz w:val="21"/>
          <w:szCs w:val="21"/>
        </w:rPr>
        <w:t xml:space="preserve">本基金已于2024年4月29日开放日常申购、赎回业务。 </w:t>
      </w:r>
    </w:p>
    <w:p>
      <w:pPr>
        <w:pStyle w:val="7"/>
        <w:spacing w:before="0" w:beforeAutospacing="0" w:after="0" w:afterAutospacing="0" w:line="360" w:lineRule="auto"/>
        <w:ind w:firstLine="420"/>
        <w:rPr>
          <w:sz w:val="21"/>
          <w:szCs w:val="21"/>
        </w:rPr>
      </w:pPr>
      <w:bookmarkStart w:id="91" w:name="chapter_level1_10_59_section_3"/>
      <w:bookmarkEnd w:id="91"/>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pPr>
        <w:pStyle w:val="7"/>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pPr>
        <w:pStyle w:val="7"/>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92" w:name="field_59_dealerfirstpurminamount_1"/>
      <w:r>
        <w:rPr>
          <w:sz w:val="21"/>
          <w:szCs w:val="21"/>
        </w:rPr>
        <w:t>1.00</w:t>
      </w:r>
      <w:bookmarkEnd w:id="92"/>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93" w:name="field_59_minholdshare_1"/>
      <w:r>
        <w:rPr>
          <w:sz w:val="21"/>
          <w:szCs w:val="21"/>
        </w:rPr>
        <w:t>1</w:t>
      </w:r>
      <w:bookmarkEnd w:id="93"/>
      <w:r>
        <w:rPr>
          <w:rFonts w:hint="eastAsia"/>
          <w:sz w:val="21"/>
          <w:szCs w:val="21"/>
        </w:rPr>
        <w:t>份，若某笔赎回导致单个交易账户的A类基金份额或C类基金份额余额少于</w:t>
      </w:r>
      <w:bookmarkStart w:id="94" w:name="field_59_minholdshare_2"/>
      <w:r>
        <w:rPr>
          <w:sz w:val="21"/>
          <w:szCs w:val="21"/>
        </w:rPr>
        <w:t>1</w:t>
      </w:r>
      <w:bookmarkEnd w:id="94"/>
      <w:r>
        <w:rPr>
          <w:rFonts w:hint="eastAsia"/>
          <w:sz w:val="21"/>
          <w:szCs w:val="21"/>
        </w:rPr>
        <w:t xml:space="preserve">份时，该类别基金份额余额部分必须一同赎回。 </w:t>
      </w:r>
    </w:p>
    <w:p>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5" w:name="field_59_minholdshare_3"/>
      <w:r>
        <w:rPr>
          <w:sz w:val="21"/>
          <w:szCs w:val="21"/>
        </w:rPr>
        <w:t>1</w:t>
      </w:r>
      <w:bookmarkEnd w:id="95"/>
      <w:r>
        <w:rPr>
          <w:rFonts w:hint="eastAsia"/>
          <w:sz w:val="21"/>
          <w:szCs w:val="21"/>
        </w:rPr>
        <w:t>份，若投资者单个交易账户持有的基金份额余额不足</w:t>
      </w:r>
      <w:bookmarkStart w:id="96" w:name="field_59_minholdshare_4"/>
      <w:r>
        <w:rPr>
          <w:sz w:val="21"/>
          <w:szCs w:val="21"/>
        </w:rPr>
        <w:t>1</w:t>
      </w:r>
      <w:bookmarkEnd w:id="96"/>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6、基金管理人可在不违反法律法规的情况下，调整上述规定申购金额和赎回份额等数量限制。基金管理人必须在调整实施前依照《信息披露办法》的有关规定在规定媒介上公告。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2、赎回费用 </w:t>
      </w:r>
    </w:p>
    <w:p>
      <w:pPr>
        <w:pStyle w:val="7"/>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bl>
    <w:p>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pPr>
        <w:pStyle w:val="7"/>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净申购金额＝100,000/ (1＋1.00%)＝99,009.90 元 </w:t>
      </w:r>
    </w:p>
    <w:p>
      <w:pPr>
        <w:pStyle w:val="7"/>
        <w:spacing w:before="0" w:beforeAutospacing="0" w:after="0" w:afterAutospacing="0" w:line="360" w:lineRule="auto"/>
        <w:ind w:firstLine="420"/>
        <w:rPr>
          <w:sz w:val="21"/>
          <w:szCs w:val="21"/>
        </w:rPr>
      </w:pPr>
      <w:r>
        <w:rPr>
          <w:rFonts w:hint="eastAsia"/>
          <w:sz w:val="21"/>
          <w:szCs w:val="21"/>
        </w:rPr>
        <w:t xml:space="preserve">申购费用＝100,000－99,009.90 =990.10元 </w:t>
      </w:r>
    </w:p>
    <w:p>
      <w:pPr>
        <w:pStyle w:val="7"/>
        <w:spacing w:before="0" w:beforeAutospacing="0" w:after="0" w:afterAutospacing="0" w:line="360" w:lineRule="auto"/>
        <w:ind w:firstLine="420"/>
        <w:rPr>
          <w:sz w:val="21"/>
          <w:szCs w:val="21"/>
        </w:rPr>
      </w:pPr>
      <w:r>
        <w:rPr>
          <w:rFonts w:hint="eastAsia"/>
          <w:sz w:val="21"/>
          <w:szCs w:val="21"/>
        </w:rPr>
        <w:t xml:space="preserve">申购份额＝99,009.90 /1.0160＝97,450.69份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w:t>
      </w:r>
      <w:bookmarkStart w:id="97" w:name="field_63_netdecimal_1"/>
      <w:r>
        <w:rPr>
          <w:sz w:val="21"/>
          <w:szCs w:val="21"/>
        </w:rPr>
        <w:t>4</w:t>
      </w:r>
      <w:bookmarkEnd w:id="97"/>
      <w:r>
        <w:rPr>
          <w:rFonts w:hint="eastAsia"/>
          <w:sz w:val="21"/>
          <w:szCs w:val="21"/>
        </w:rPr>
        <w:t>位，小数点后第</w:t>
      </w:r>
      <w:bookmarkStart w:id="98" w:name="field_0_netdecimaladd1_1"/>
      <w:r>
        <w:rPr>
          <w:sz w:val="21"/>
          <w:szCs w:val="21"/>
        </w:rPr>
        <w:t>5</w:t>
      </w:r>
      <w:bookmarkEnd w:id="98"/>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基金管理人可以在不违反法律法规的范围内，对上述登记办理时间进行调整，但不得实质影响投资人的合法权益，并最迟于实施前依照《信息披露办法》的有关规定在规定媒介公告。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9、港股通的业务规则发生重大变化时。 </w:t>
      </w:r>
    </w:p>
    <w:p>
      <w:pPr>
        <w:pStyle w:val="7"/>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10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5、发生继续接受赎回申请将损害现有基金份额持有人利益的情形时，基金管理人可暂停接受基金份额持有人的赎回申请。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9" w:name="field_49_mintredeemscale_2"/>
      <w:r>
        <w:rPr>
          <w:sz w:val="21"/>
          <w:szCs w:val="21"/>
        </w:rPr>
        <w:t>10</w:t>
      </w:r>
      <w:bookmarkEnd w:id="99"/>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w:t>
      </w:r>
      <w:bookmarkStart w:id="100" w:name="field_49_mintredeemscale_3"/>
      <w:r>
        <w:rPr>
          <w:sz w:val="21"/>
          <w:szCs w:val="21"/>
        </w:rPr>
        <w:t>10</w:t>
      </w:r>
      <w:bookmarkEnd w:id="10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（3）本基金发生巨额赎回时，对于单个基金份额持有人当日赎回申请超过上一工作日基金总份额</w:t>
      </w:r>
      <w:bookmarkStart w:id="101" w:name="field_49_mintredeemscale_4"/>
      <w:r>
        <w:rPr>
          <w:sz w:val="21"/>
          <w:szCs w:val="21"/>
        </w:rPr>
        <w:t>10</w:t>
      </w:r>
      <w:bookmarkEnd w:id="101"/>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102" w:name="chapter_level1_10_59_section_3_end"/>
      <w:bookmarkEnd w:id="102"/>
      <w:r>
        <w:rPr>
          <w:rFonts w:hint="eastAsia"/>
          <w:sz w:val="21"/>
          <w:szCs w:val="21"/>
        </w:rPr>
        <w:t xml:space="preserve">各类基金份额净值。 </w:t>
      </w:r>
    </w:p>
    <w:p>
      <w:pPr>
        <w:pStyle w:val="7"/>
        <w:spacing w:before="0" w:beforeAutospacing="0" w:after="0" w:afterAutospacing="0" w:line="360" w:lineRule="auto"/>
        <w:ind w:firstLine="420"/>
        <w:rPr>
          <w:sz w:val="21"/>
          <w:szCs w:val="21"/>
        </w:rPr>
      </w:pPr>
      <w:bookmarkStart w:id="103" w:name="chapter_level1_10_59_section_4"/>
      <w:bookmarkEnd w:id="103"/>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本基金已于2024年4月29日开放日常转换业务。 </w:t>
      </w:r>
    </w:p>
    <w:p>
      <w:pPr>
        <w:pStyle w:val="7"/>
        <w:spacing w:before="0" w:beforeAutospacing="0" w:after="0" w:afterAutospacing="0" w:line="360" w:lineRule="auto"/>
        <w:ind w:firstLine="420"/>
        <w:rPr>
          <w:sz w:val="21"/>
          <w:szCs w:val="21"/>
        </w:rPr>
      </w:pPr>
      <w:r>
        <w:rPr>
          <w:rFonts w:hint="eastAsia"/>
          <w:sz w:val="21"/>
          <w:szCs w:val="21"/>
        </w:rPr>
        <w:t>1</w:t>
      </w:r>
      <w:r>
        <w:rPr>
          <w:rFonts w:hint="eastAsia"/>
          <w:sz w:val="21"/>
          <w:szCs w:val="21"/>
          <w:lang w:val="en-US" w:eastAsia="zh-CN"/>
        </w:rPr>
        <w:t>.</w:t>
      </w:r>
      <w:r>
        <w:rPr>
          <w:rFonts w:hint="eastAsia"/>
          <w:sz w:val="21"/>
          <w:szCs w:val="21"/>
        </w:rPr>
        <w:t xml:space="preserve">转换费率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w:t>
      </w:r>
      <w:bookmarkStart w:id="213" w:name="_GoBack"/>
      <w:bookmarkEnd w:id="213"/>
      <w:r>
        <w:rPr>
          <w:rFonts w:hint="eastAsia"/>
          <w:sz w:val="21"/>
          <w:szCs w:val="21"/>
        </w:rPr>
        <w:t xml:space="preserve">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pPr>
        <w:pStyle w:val="7"/>
        <w:spacing w:before="0" w:beforeAutospacing="0" w:after="0" w:afterAutospacing="0" w:line="360" w:lineRule="auto"/>
        <w:ind w:firstLine="420"/>
        <w:rPr>
          <w:sz w:val="21"/>
          <w:szCs w:val="21"/>
        </w:rPr>
      </w:pPr>
      <w:bookmarkStart w:id="104" w:name="chapter_level1_10_59_section_4_end"/>
      <w:bookmarkEnd w:id="104"/>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bookmarkStart w:id="105" w:name="chapter_level1_10_59_section_5"/>
      <w:bookmarkEnd w:id="105"/>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6" w:name="chapter_level1_10_59_section_5_end"/>
      <w:bookmarkEnd w:id="106"/>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7" w:name="chapter_level1_10_59_section_6"/>
      <w:bookmarkEnd w:id="107"/>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本基金已于2024年4月29日开放定期定额投资业务。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8" w:name="chapter_level1_10_59_section_6_end"/>
      <w:bookmarkEnd w:id="108"/>
      <w:r>
        <w:rPr>
          <w:rFonts w:hint="eastAsia"/>
          <w:sz w:val="21"/>
          <w:szCs w:val="21"/>
        </w:rPr>
        <w:t xml:space="preserve">在确认成功后直接计入投资者的基金账户。  </w:t>
      </w:r>
    </w:p>
    <w:p>
      <w:pPr>
        <w:pStyle w:val="7"/>
        <w:spacing w:before="0" w:beforeAutospacing="0" w:after="0" w:afterAutospacing="0" w:line="360" w:lineRule="auto"/>
        <w:ind w:firstLine="420"/>
        <w:rPr>
          <w:sz w:val="21"/>
          <w:szCs w:val="21"/>
        </w:rPr>
      </w:pPr>
      <w:bookmarkStart w:id="109" w:name="chapter_level1_10_59_section_7"/>
      <w:bookmarkEnd w:id="109"/>
      <w:r>
        <w:rPr>
          <w:rStyle w:val="11"/>
          <w:rFonts w:hint="eastAsia"/>
          <w:sz w:val="21"/>
          <w:szCs w:val="21"/>
        </w:rPr>
        <w:t>十八、基金份额的冻结、解冻与质押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110" w:name="chapter_level1_10_59_section_7_end"/>
      <w:bookmarkEnd w:id="110"/>
      <w:r>
        <w:rPr>
          <w:rFonts w:hint="eastAsia"/>
          <w:sz w:val="21"/>
          <w:szCs w:val="21"/>
        </w:rPr>
        <w:t xml:space="preserve">规定或相关公告。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1" w:name="chapter_level1_11_60"/>
      <w:bookmarkStart w:id="112" w:name="_Toc176190852"/>
      <w:r>
        <w:rPr>
          <w:rFonts w:hint="eastAsia" w:ascii="宋体" w:hAnsi="宋体" w:eastAsia="宋体"/>
          <w:sz w:val="30"/>
        </w:rPr>
        <w:t>第八部分  基金的投资</w:t>
      </w:r>
      <w:bookmarkEnd w:id="111"/>
      <w:bookmarkEnd w:id="112"/>
    </w:p>
    <w:p>
      <w:pPr>
        <w:pStyle w:val="7"/>
        <w:spacing w:before="0" w:beforeAutospacing="0" w:after="0" w:afterAutospacing="0" w:line="360" w:lineRule="auto"/>
        <w:ind w:firstLine="420"/>
        <w:rPr>
          <w:sz w:val="21"/>
          <w:szCs w:val="21"/>
        </w:rPr>
      </w:pPr>
      <w:bookmarkStart w:id="113" w:name="chapter_level1_11_60_section_1"/>
      <w:bookmarkEnd w:id="113"/>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4" w:name="field_60_investmenttarget_1_start"/>
      <w:bookmarkEnd w:id="114"/>
      <w:r>
        <w:rPr>
          <w:rFonts w:hint="eastAsia"/>
          <w:sz w:val="21"/>
          <w:szCs w:val="21"/>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bookmarkStart w:id="115" w:name="field_60_investmenttarget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6" w:name="field_60_investmentrange_1_start"/>
      <w:bookmarkEnd w:id="116"/>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本基金可根据法律法规的规定参与融资及转融通证券出借业务。未来在法律法规允许的前提下，本基金可根据相关法律法规规定参与融券业务。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7" w:name="field_60_investmentrange_1_end"/>
      <w:bookmarkEnd w:id="11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8" w:name="field_60_investmentstrategy_1_start"/>
      <w:bookmarkEnd w:id="118"/>
      <w:r>
        <w:rPr>
          <w:rFonts w:hint="eastAsia"/>
          <w:sz w:val="21"/>
          <w:szCs w:val="21"/>
        </w:rPr>
        <w:t xml:space="preserve">1、组合复制策略  </w:t>
      </w:r>
    </w:p>
    <w:p>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pStyle w:val="7"/>
        <w:spacing w:before="0" w:beforeAutospacing="0" w:after="0" w:afterAutospacing="0" w:line="360" w:lineRule="auto"/>
        <w:ind w:firstLine="420"/>
        <w:rPr>
          <w:sz w:val="21"/>
          <w:szCs w:val="21"/>
        </w:rPr>
      </w:pPr>
      <w:r>
        <w:rPr>
          <w:rFonts w:hint="eastAsia"/>
          <w:sz w:val="21"/>
          <w:szCs w:val="21"/>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pPr>
        <w:pStyle w:val="7"/>
        <w:spacing w:before="0" w:beforeAutospacing="0" w:after="0" w:afterAutospacing="0" w:line="360" w:lineRule="auto"/>
        <w:ind w:firstLine="420"/>
        <w:rPr>
          <w:sz w:val="21"/>
          <w:szCs w:val="21"/>
        </w:rPr>
      </w:pPr>
      <w:r>
        <w:rPr>
          <w:rFonts w:hint="eastAsia"/>
          <w:sz w:val="21"/>
          <w:szCs w:val="21"/>
        </w:rPr>
        <w:t xml:space="preserve">2、债券（除可转换债券和可交换债券）投资策略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3、港股通标的股票投资策略 </w:t>
      </w:r>
    </w:p>
    <w:p>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pPr>
        <w:pStyle w:val="7"/>
        <w:spacing w:before="0" w:beforeAutospacing="0" w:after="0" w:afterAutospacing="0" w:line="360" w:lineRule="auto"/>
        <w:ind w:firstLine="420"/>
        <w:rPr>
          <w:sz w:val="21"/>
          <w:szCs w:val="21"/>
        </w:rPr>
      </w:pPr>
      <w:r>
        <w:rPr>
          <w:rFonts w:hint="eastAsia"/>
          <w:sz w:val="21"/>
          <w:szCs w:val="21"/>
        </w:rPr>
        <w:t xml:space="preserve">4、资产支持证券的投资策略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pStyle w:val="7"/>
        <w:spacing w:before="0" w:beforeAutospacing="0" w:after="0" w:afterAutospacing="0" w:line="360" w:lineRule="auto"/>
        <w:ind w:firstLine="420"/>
        <w:rPr>
          <w:sz w:val="21"/>
          <w:szCs w:val="21"/>
        </w:rPr>
      </w:pPr>
      <w:r>
        <w:rPr>
          <w:rFonts w:hint="eastAsia"/>
          <w:sz w:val="21"/>
          <w:szCs w:val="21"/>
        </w:rPr>
        <w:t xml:space="preserve">5、可转换债券和可交换债券投资策略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6、衍生品投资策略 </w:t>
      </w:r>
    </w:p>
    <w:p>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7、融资及转融通证券出借业务投资策略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未来，随着投资工具的发展和丰富，本基金可在不改变投资目标的前提下，相应调整和更新相关投资策略，并在更新的招募说明书中公告。 </w:t>
      </w:r>
      <w:bookmarkStart w:id="119" w:name="field_60_investmentstrategy_1_end"/>
      <w:bookmarkEnd w:id="11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（1）本基金的股票资产投资比例不低于基金资产的90%，其中投资于标的指数成份股和备选成份股的资产不低于非现金基金资产的80%，投资港股通标的股票的比例不超过本基金股票资产的10%；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（11）本基金投资于股指期货和国债期货，还应遵循如下投资组合限制：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pPr>
        <w:pStyle w:val="7"/>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（12）本基金投资于股票期权，还应遵循如下投资组合限制：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pPr>
        <w:pStyle w:val="7"/>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（13）本基金参与转融通证券出借业务，需遵守下列投资限制： </w:t>
      </w:r>
    </w:p>
    <w:p>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pPr>
        <w:pStyle w:val="7"/>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（16）本基金投资存托凭证的比例限制依照境内上市交易的股票执行，与境内上市交易的股票合并计算； </w:t>
      </w:r>
    </w:p>
    <w:p>
      <w:pPr>
        <w:pStyle w:val="7"/>
        <w:spacing w:before="0" w:beforeAutospacing="0" w:after="0" w:afterAutospacing="0" w:line="360" w:lineRule="auto"/>
        <w:ind w:firstLine="420"/>
        <w:rPr>
          <w:sz w:val="21"/>
          <w:szCs w:val="21"/>
        </w:rPr>
      </w:pPr>
      <w:r>
        <w:rPr>
          <w:rFonts w:hint="eastAsia"/>
          <w:sz w:val="21"/>
          <w:szCs w:val="21"/>
        </w:rPr>
        <w:t xml:space="preserve">（17）相关法律法规以及监管部门规定的和基金合同约定的其它投资比例限制。 </w:t>
      </w:r>
    </w:p>
    <w:p>
      <w:pPr>
        <w:pStyle w:val="7"/>
        <w:spacing w:before="0" w:beforeAutospacing="0" w:after="0" w:afterAutospacing="0" w:line="360" w:lineRule="auto"/>
        <w:ind w:firstLine="420"/>
        <w:rPr>
          <w:sz w:val="21"/>
          <w:szCs w:val="21"/>
        </w:rPr>
      </w:pPr>
      <w:r>
        <w:rPr>
          <w:rFonts w:hint="eastAsia"/>
          <w:sz w:val="21"/>
          <w:szCs w:val="21"/>
        </w:rPr>
        <w:t xml:space="preserve">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pPr>
        <w:pStyle w:val="7"/>
        <w:spacing w:before="0" w:beforeAutospacing="0" w:after="0" w:afterAutospacing="0" w:line="360" w:lineRule="auto"/>
        <w:ind w:firstLine="420"/>
        <w:rPr>
          <w:sz w:val="21"/>
          <w:szCs w:val="21"/>
        </w:rPr>
      </w:pPr>
      <w:r>
        <w:rPr>
          <w:rStyle w:val="11"/>
          <w:rFonts w:hint="eastAsia"/>
          <w:sz w:val="21"/>
          <w:szCs w:val="21"/>
        </w:rPr>
        <w:t>五、标的指数与业绩比较基准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本基金的标的指数为：国证粮食产业指数。 </w:t>
      </w:r>
    </w:p>
    <w:p>
      <w:pPr>
        <w:pStyle w:val="7"/>
        <w:spacing w:before="0" w:beforeAutospacing="0" w:after="0" w:afterAutospacing="0" w:line="360" w:lineRule="auto"/>
        <w:ind w:firstLine="420"/>
        <w:rPr>
          <w:sz w:val="21"/>
          <w:szCs w:val="21"/>
        </w:rPr>
      </w:pPr>
      <w:r>
        <w:rPr>
          <w:rFonts w:hint="eastAsia"/>
          <w:sz w:val="21"/>
          <w:szCs w:val="21"/>
        </w:rPr>
        <w:t xml:space="preserve">本基金业绩比较基准为：国证粮食产业指数收益率×95%+银行活期存款利率(税后)×5%。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pPr>
        <w:pStyle w:val="7"/>
        <w:spacing w:before="0" w:beforeAutospacing="0" w:after="0" w:afterAutospacing="0" w:line="360" w:lineRule="auto"/>
        <w:ind w:firstLine="420"/>
        <w:rPr>
          <w:sz w:val="21"/>
          <w:szCs w:val="21"/>
        </w:rPr>
      </w:pPr>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20" w:name="field_60_riskyield_1_start"/>
      <w:bookmarkEnd w:id="120"/>
      <w:r>
        <w:rPr>
          <w:rFonts w:hint="eastAsia"/>
          <w:sz w:val="21"/>
          <w:szCs w:val="21"/>
        </w:rPr>
        <w:t xml:space="preserve">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 </w:t>
      </w:r>
      <w:bookmarkStart w:id="121" w:name="field_60_riskyield_1_end"/>
      <w:bookmarkEnd w:id="12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2" w:name="chapter_level1_11_60_section_1_end"/>
      <w:bookmarkEnd w:id="122"/>
      <w:r>
        <w:rPr>
          <w:rFonts w:hint="eastAsia"/>
          <w:sz w:val="21"/>
          <w:szCs w:val="21"/>
        </w:rPr>
        <w:t xml:space="preserve">对投资者权益有重大影响的事项详见本招募说明书“侧袋机制”部分的规定。 </w:t>
      </w:r>
    </w:p>
    <w:p>
      <w:pPr>
        <w:pStyle w:val="7"/>
        <w:spacing w:before="0" w:beforeAutospacing="0" w:after="0" w:afterAutospacing="0" w:line="360" w:lineRule="auto"/>
        <w:ind w:firstLine="420"/>
        <w:rPr>
          <w:sz w:val="21"/>
          <w:szCs w:val="21"/>
        </w:rPr>
      </w:pPr>
      <w:bookmarkStart w:id="123" w:name="chapter_level1_11_60_section_2"/>
      <w:bookmarkEnd w:id="123"/>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4" w:name="field_2343_financeendday_2"/>
      <w:r>
        <w:rPr>
          <w:sz w:val="21"/>
          <w:szCs w:val="21"/>
        </w:rPr>
        <w:t>2024年6月30日</w:t>
      </w:r>
      <w:bookmarkEnd w:id="124"/>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25" w:name="field_0_fundportfolio_1_start"/>
      <w:bookmarkEnd w:id="125"/>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20,003,416.00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20,003,416.00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1,233,823.25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256,256.87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21,493,496.12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2,277,055.00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16,763,729.00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79.78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504,618.00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458,014.00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20,003,416.00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95.20</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002385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大北农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288,600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1,111,110.00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000792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盐湖股份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1,109,820.00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002311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海大集团</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1,044,510.00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云天化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1,000,130.00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600873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梅花生物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911,820.00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000998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隆平高科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895,513.00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000408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藏格矿业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818,380.00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600598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北大荒</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751,898.00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300999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金龙鱼</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700,160.00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603345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安井食品</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698,514.00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3.32</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7,697.65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248,559.22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256,256.87</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26" w:name="chapter_level1_11_60_section_2_end"/>
      <w:bookmarkEnd w:id="126"/>
      <w:r>
        <w:rPr>
          <w:rFonts w:hint="eastAsia"/>
          <w:sz w:val="21"/>
          <w:szCs w:val="21"/>
        </w:rPr>
        <w:t>由于四舍五入的原因，分项之和与合计项之间可能存在尾差。</w:t>
      </w:r>
      <w:bookmarkStart w:id="127" w:name="field_0_fundportfolio_1_end"/>
      <w:bookmarkEnd w:id="12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8" w:name="_Toc176190853"/>
      <w:bookmarkStart w:id="129" w:name="chapter_level1_12_3500"/>
      <w:r>
        <w:rPr>
          <w:rFonts w:hint="eastAsia" w:ascii="宋体" w:hAnsi="宋体" w:eastAsia="宋体"/>
          <w:sz w:val="30"/>
        </w:rPr>
        <w:t>第九部分 基金的业绩</w:t>
      </w:r>
      <w:bookmarkEnd w:id="128"/>
      <w:bookmarkEnd w:id="129"/>
    </w:p>
    <w:p>
      <w:pPr>
        <w:pStyle w:val="7"/>
        <w:spacing w:before="0" w:beforeAutospacing="0" w:after="0" w:afterAutospacing="0" w:line="360" w:lineRule="auto"/>
        <w:ind w:firstLine="420"/>
        <w:rPr>
          <w:sz w:val="21"/>
          <w:szCs w:val="21"/>
        </w:rPr>
      </w:pPr>
      <w:bookmarkStart w:id="130" w:name="chapter_level1_12_3500_section_1"/>
      <w:bookmarkEnd w:id="13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31" w:name="field_0_indatatable_1_start"/>
      <w:bookmarkEnd w:id="131"/>
      <w:r>
        <w:rPr>
          <w:rFonts w:hint="eastAsia"/>
          <w:sz w:val="21"/>
          <w:szCs w:val="21"/>
        </w:rPr>
        <w:t>博时国证粮食产业指数发起式A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5"/>
        <w:gridCol w:w="1042"/>
        <w:gridCol w:w="1252"/>
        <w:gridCol w:w="1228"/>
        <w:gridCol w:w="741"/>
        <w:gridCol w:w="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r>
    </w:tbl>
    <w:p>
      <w:pPr>
        <w:pStyle w:val="7"/>
        <w:spacing w:before="0" w:beforeAutospacing="0" w:after="0" w:afterAutospacing="0" w:line="360" w:lineRule="auto"/>
        <w:ind w:firstLine="420"/>
        <w:rPr>
          <w:sz w:val="21"/>
          <w:szCs w:val="21"/>
        </w:rPr>
      </w:pPr>
      <w:r>
        <w:rPr>
          <w:rFonts w:hint="eastAsia"/>
          <w:sz w:val="21"/>
          <w:szCs w:val="21"/>
        </w:rPr>
        <w:t>博时国证粮食产业指数发起式C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5"/>
        <w:gridCol w:w="1042"/>
        <w:gridCol w:w="1252"/>
        <w:gridCol w:w="1228"/>
        <w:gridCol w:w="741"/>
        <w:gridCol w:w="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2024.04.09-2024.06.30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r>
    </w:tbl>
    <w:p>
      <w:pPr>
        <w:pStyle w:val="7"/>
        <w:spacing w:before="0" w:beforeAutospacing="0" w:after="0" w:afterAutospacing="0" w:line="360" w:lineRule="auto"/>
        <w:ind w:firstLine="420"/>
        <w:rPr>
          <w:sz w:val="21"/>
          <w:szCs w:val="21"/>
        </w:rPr>
      </w:pPr>
      <w:bookmarkStart w:id="132" w:name="field_0_indatatable_1_end"/>
      <w:bookmarkEnd w:id="132"/>
      <w:bookmarkStart w:id="133" w:name="chapter_level1_12_3500_section_1_end"/>
      <w:bookmarkEnd w:id="13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4" w:name="chapter_level1_13_62"/>
      <w:bookmarkStart w:id="135" w:name="_Toc176190854"/>
      <w:r>
        <w:rPr>
          <w:rFonts w:hint="eastAsia" w:ascii="宋体" w:hAnsi="宋体" w:eastAsia="宋体"/>
          <w:sz w:val="30"/>
        </w:rPr>
        <w:t>第十部分  基金的财产</w:t>
      </w:r>
      <w:bookmarkEnd w:id="134"/>
      <w:bookmarkEnd w:id="135"/>
    </w:p>
    <w:p>
      <w:pPr>
        <w:pStyle w:val="7"/>
        <w:spacing w:before="0" w:beforeAutospacing="0" w:after="0" w:afterAutospacing="0" w:line="360" w:lineRule="auto"/>
        <w:ind w:firstLine="420"/>
        <w:rPr>
          <w:sz w:val="21"/>
          <w:szCs w:val="21"/>
        </w:rPr>
      </w:pPr>
      <w:bookmarkStart w:id="136" w:name="chapter_level1_13_62_section_1"/>
      <w:bookmarkEnd w:id="136"/>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7" w:name="chapter_level1_13_62_section_1_end"/>
      <w:bookmarkEnd w:id="137"/>
      <w:r>
        <w:rPr>
          <w:rFonts w:hint="eastAsia"/>
          <w:sz w:val="21"/>
          <w:szCs w:val="21"/>
        </w:rPr>
        <w:t>得相互抵销。非因基金财产本身承担的债务，不得对基金财产强制执行。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8" w:name="_Toc176190855"/>
      <w:bookmarkStart w:id="139" w:name="chapter_level1_14_63"/>
      <w:r>
        <w:rPr>
          <w:rFonts w:hint="eastAsia" w:ascii="宋体" w:hAnsi="宋体" w:eastAsia="宋体"/>
          <w:sz w:val="30"/>
        </w:rPr>
        <w:t>第十一部分  基金资产的估值</w:t>
      </w:r>
      <w:bookmarkEnd w:id="138"/>
      <w:bookmarkEnd w:id="139"/>
    </w:p>
    <w:p>
      <w:pPr>
        <w:pStyle w:val="7"/>
        <w:spacing w:before="0" w:beforeAutospacing="0" w:after="0" w:afterAutospacing="0" w:line="360" w:lineRule="auto"/>
        <w:ind w:firstLine="420"/>
        <w:rPr>
          <w:sz w:val="21"/>
          <w:szCs w:val="21"/>
        </w:rPr>
      </w:pPr>
      <w:bookmarkStart w:id="140" w:name="chapter_level1_14_63_section_1"/>
      <w:bookmarkEnd w:id="140"/>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本基金的估值日为本基金相关的证券交易场所的交易日以及国家法律法规规定需要对外披露基金净值的非交易日。</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基金所拥有的股票（含存托凭证）、股指期货合约、国债期货合约、股票期权合约、债券和银行存款本息、应收款项、资产支持证券、其它投资等资产及负债。</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基金管理人在确定相关金融资产和金融负债的公允价值时，应符合《企业会计准则》、监管部门有关规定。</w:t>
      </w:r>
    </w:p>
    <w:p>
      <w:pPr>
        <w:pStyle w:val="7"/>
        <w:spacing w:before="0" w:beforeAutospacing="0" w:after="0" w:afterAutospacing="0" w:line="360" w:lineRule="auto"/>
        <w:ind w:firstLine="420"/>
        <w:rPr>
          <w:sz w:val="21"/>
          <w:szCs w:val="21"/>
        </w:rPr>
      </w:pPr>
      <w:r>
        <w:rPr>
          <w:rFonts w:hint="eastAsia"/>
          <w:sz w:val="21"/>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pStyle w:val="7"/>
        <w:spacing w:before="0" w:beforeAutospacing="0" w:after="0" w:afterAutospacing="0" w:line="360" w:lineRule="auto"/>
        <w:ind w:firstLine="420"/>
        <w:rPr>
          <w:sz w:val="21"/>
          <w:szCs w:val="21"/>
        </w:rPr>
      </w:pPr>
      <w:r>
        <w:rPr>
          <w:rFonts w:hint="eastAsia"/>
          <w:sz w:val="21"/>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pStyle w:val="7"/>
        <w:spacing w:before="0" w:beforeAutospacing="0" w:after="0" w:afterAutospacing="0" w:line="360" w:lineRule="auto"/>
        <w:ind w:firstLine="420"/>
        <w:rPr>
          <w:sz w:val="21"/>
          <w:szCs w:val="21"/>
        </w:rPr>
      </w:pPr>
      <w:r>
        <w:rPr>
          <w:rFonts w:hint="eastAsia"/>
          <w:sz w:val="21"/>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pStyle w:val="7"/>
        <w:spacing w:before="0" w:beforeAutospacing="0" w:after="0" w:afterAutospacing="0" w:line="360" w:lineRule="auto"/>
        <w:ind w:firstLine="420"/>
        <w:rPr>
          <w:sz w:val="21"/>
          <w:szCs w:val="21"/>
        </w:rPr>
      </w:pPr>
      <w:r>
        <w:rPr>
          <w:rFonts w:hint="eastAsia"/>
          <w:sz w:val="21"/>
          <w:szCs w:val="21"/>
        </w:rPr>
        <w:t>（三）如经济环境发生重大变化或证券发行人发生影响证券价格的重大事件，使潜在估值调整对前一估值日的基金资产净值的影响在0.25%以上的，应对估值进行调整并确定公允价值。</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1、证券交易所上市的有价证券的估值</w:t>
      </w:r>
    </w:p>
    <w:p>
      <w:pPr>
        <w:pStyle w:val="7"/>
        <w:spacing w:before="0" w:beforeAutospacing="0" w:after="0" w:afterAutospacing="0" w:line="360" w:lineRule="auto"/>
        <w:ind w:firstLine="420"/>
        <w:rPr>
          <w:sz w:val="21"/>
          <w:szCs w:val="21"/>
        </w:rPr>
      </w:pPr>
      <w:r>
        <w:rPr>
          <w:rFonts w:hint="eastAsia"/>
          <w:sz w:val="21"/>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sz w:val="21"/>
          <w:szCs w:val="21"/>
        </w:rPr>
      </w:pPr>
      <w:r>
        <w:rPr>
          <w:rFonts w:hint="eastAsia"/>
          <w:sz w:val="21"/>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pStyle w:val="7"/>
        <w:spacing w:before="0" w:beforeAutospacing="0" w:after="0" w:afterAutospacing="0" w:line="360" w:lineRule="auto"/>
        <w:ind w:firstLine="420"/>
        <w:rPr>
          <w:sz w:val="21"/>
          <w:szCs w:val="21"/>
        </w:rPr>
      </w:pPr>
      <w:r>
        <w:rPr>
          <w:rFonts w:hint="eastAsia"/>
          <w:sz w:val="21"/>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pStyle w:val="7"/>
        <w:spacing w:before="0" w:beforeAutospacing="0" w:after="0" w:afterAutospacing="0" w:line="360" w:lineRule="auto"/>
        <w:ind w:firstLine="420"/>
        <w:rPr>
          <w:sz w:val="21"/>
          <w:szCs w:val="21"/>
        </w:rPr>
      </w:pPr>
      <w:r>
        <w:rPr>
          <w:rFonts w:hint="eastAsia"/>
          <w:sz w:val="21"/>
          <w:szCs w:val="21"/>
        </w:rPr>
        <w:t>交易所上市实行全价交易的固定收益品种（可转换债券除外），选取第三方估值机构提供的估值全价减去估值全价中所含的固定收益品种（税后）应收利息得到的净价进行估值；</w:t>
      </w:r>
    </w:p>
    <w:p>
      <w:pPr>
        <w:pStyle w:val="7"/>
        <w:spacing w:before="0" w:beforeAutospacing="0" w:after="0" w:afterAutospacing="0" w:line="360" w:lineRule="auto"/>
        <w:ind w:firstLine="420"/>
        <w:rPr>
          <w:sz w:val="21"/>
          <w:szCs w:val="21"/>
        </w:rPr>
      </w:pPr>
      <w:r>
        <w:rPr>
          <w:rFonts w:hint="eastAsia"/>
          <w:sz w:val="21"/>
          <w:szCs w:val="21"/>
        </w:rPr>
        <w:t>（4）交易所上市不存在活跃市场的有价证券，采用估值技术确定公允价值。</w:t>
      </w:r>
    </w:p>
    <w:p>
      <w:pPr>
        <w:pStyle w:val="7"/>
        <w:spacing w:before="0" w:beforeAutospacing="0" w:after="0" w:afterAutospacing="0" w:line="360" w:lineRule="auto"/>
        <w:ind w:firstLine="420"/>
        <w:rPr>
          <w:sz w:val="21"/>
          <w:szCs w:val="21"/>
        </w:rPr>
      </w:pPr>
      <w:r>
        <w:rPr>
          <w:rFonts w:hint="eastAsia"/>
          <w:sz w:val="21"/>
          <w:szCs w:val="21"/>
        </w:rPr>
        <w:t>2、处于未上市期间的有价证券应区分如下情况处理：</w:t>
      </w:r>
    </w:p>
    <w:p>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pStyle w:val="7"/>
        <w:spacing w:before="0" w:beforeAutospacing="0" w:after="0" w:afterAutospacing="0" w:line="360" w:lineRule="auto"/>
        <w:ind w:firstLine="420"/>
        <w:rPr>
          <w:sz w:val="21"/>
          <w:szCs w:val="21"/>
        </w:rPr>
      </w:pPr>
      <w:r>
        <w:rPr>
          <w:rFonts w:hint="eastAsia"/>
          <w:sz w:val="21"/>
          <w:szCs w:val="21"/>
        </w:rPr>
        <w:t>3、本基金投资存托凭证的估值核算，依照境内上市交易的股票执行。</w:t>
      </w:r>
    </w:p>
    <w:p>
      <w:pPr>
        <w:pStyle w:val="7"/>
        <w:spacing w:before="0" w:beforeAutospacing="0" w:after="0" w:afterAutospacing="0" w:line="360" w:lineRule="auto"/>
        <w:ind w:firstLine="420"/>
        <w:rPr>
          <w:sz w:val="21"/>
          <w:szCs w:val="21"/>
        </w:rPr>
      </w:pPr>
      <w:r>
        <w:rPr>
          <w:rFonts w:hint="eastAsia"/>
          <w:sz w:val="21"/>
          <w:szCs w:val="21"/>
        </w:rPr>
        <w:t>4、银行间的有价证券的估值</w:t>
      </w:r>
    </w:p>
    <w:p>
      <w:pPr>
        <w:pStyle w:val="7"/>
        <w:spacing w:before="0" w:beforeAutospacing="0" w:after="0" w:afterAutospacing="0" w:line="360" w:lineRule="auto"/>
        <w:ind w:firstLine="420"/>
        <w:rPr>
          <w:sz w:val="21"/>
          <w:szCs w:val="21"/>
        </w:rPr>
      </w:pPr>
      <w:r>
        <w:rPr>
          <w:rFonts w:hint="eastAsia"/>
          <w:sz w:val="21"/>
          <w:szCs w:val="21"/>
        </w:rPr>
        <w:t>（1）对银行间市场上不含权的固定收益品种，按照第三方估值机构提供的相应品种当日的估值净价确定公允价值；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pStyle w:val="7"/>
        <w:spacing w:before="0" w:beforeAutospacing="0" w:after="0" w:afterAutospacing="0" w:line="360" w:lineRule="auto"/>
        <w:ind w:firstLine="420"/>
        <w:rPr>
          <w:sz w:val="21"/>
          <w:szCs w:val="21"/>
        </w:rPr>
      </w:pPr>
      <w:r>
        <w:rPr>
          <w:rFonts w:hint="eastAsia"/>
          <w:sz w:val="21"/>
          <w:szCs w:val="21"/>
        </w:rPr>
        <w:t>（3）对银行间市场未上市，且第三方估值机构未提供估值价格的债券，采用当前情况下适用并且有足够可利用数据和其他信息支持的估值技术确定其公允价值。</w:t>
      </w:r>
    </w:p>
    <w:p>
      <w:pPr>
        <w:pStyle w:val="7"/>
        <w:spacing w:before="0" w:beforeAutospacing="0" w:after="0" w:afterAutospacing="0" w:line="360" w:lineRule="auto"/>
        <w:ind w:firstLine="420"/>
        <w:rPr>
          <w:sz w:val="21"/>
          <w:szCs w:val="21"/>
        </w:rPr>
      </w:pPr>
      <w:r>
        <w:rPr>
          <w:rFonts w:hint="eastAsia"/>
          <w:sz w:val="21"/>
          <w:szCs w:val="21"/>
        </w:rPr>
        <w:t>5、资产支持证券的估值</w:t>
      </w:r>
    </w:p>
    <w:p>
      <w:pPr>
        <w:pStyle w:val="7"/>
        <w:spacing w:before="0" w:beforeAutospacing="0" w:after="0" w:afterAutospacing="0" w:line="360" w:lineRule="auto"/>
        <w:ind w:firstLine="420"/>
        <w:rPr>
          <w:sz w:val="21"/>
          <w:szCs w:val="21"/>
        </w:rPr>
      </w:pPr>
      <w:r>
        <w:rPr>
          <w:rFonts w:hint="eastAsia"/>
          <w:sz w:val="21"/>
          <w:szCs w:val="21"/>
        </w:rPr>
        <w:t>（1）交易所上市的资产支持证券，按估值日第三方估值机构提供的价格估值。</w:t>
      </w:r>
    </w:p>
    <w:p>
      <w:pPr>
        <w:pStyle w:val="7"/>
        <w:spacing w:before="0" w:beforeAutospacing="0" w:after="0" w:afterAutospacing="0" w:line="360" w:lineRule="auto"/>
        <w:ind w:firstLine="420"/>
        <w:rPr>
          <w:sz w:val="21"/>
          <w:szCs w:val="21"/>
        </w:rPr>
      </w:pPr>
      <w:r>
        <w:rPr>
          <w:rFonts w:hint="eastAsia"/>
          <w:sz w:val="21"/>
          <w:szCs w:val="21"/>
        </w:rPr>
        <w:t>（2）对全国银行间市场上的资产支持证券，按照第三方估值机构提供的相应品种当日的估值净价确定公允价值。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6、同一证券同时在两个或两个以上市场交易的，按证券所处的市场分别估值。</w:t>
      </w:r>
    </w:p>
    <w:p>
      <w:pPr>
        <w:pStyle w:val="7"/>
        <w:spacing w:before="0" w:beforeAutospacing="0" w:after="0" w:afterAutospacing="0" w:line="360" w:lineRule="auto"/>
        <w:ind w:firstLine="420"/>
        <w:rPr>
          <w:sz w:val="21"/>
          <w:szCs w:val="21"/>
        </w:rPr>
      </w:pPr>
      <w:r>
        <w:rPr>
          <w:rFonts w:hint="eastAsia"/>
          <w:sz w:val="21"/>
          <w:szCs w:val="21"/>
        </w:rPr>
        <w:t>7、本基金投资股指期货合约、国债期货合约，一般以估值当日结算价进行估值，估值当日无结算价的，且最近交易日后经济环境未发生重大变化的，采用最近交易日结算价估值。</w:t>
      </w:r>
    </w:p>
    <w:p>
      <w:pPr>
        <w:pStyle w:val="7"/>
        <w:spacing w:before="0" w:beforeAutospacing="0" w:after="0" w:afterAutospacing="0" w:line="360" w:lineRule="auto"/>
        <w:ind w:firstLine="420"/>
        <w:rPr>
          <w:sz w:val="21"/>
          <w:szCs w:val="21"/>
        </w:rPr>
      </w:pPr>
      <w:r>
        <w:rPr>
          <w:rFonts w:hint="eastAsia"/>
          <w:sz w:val="21"/>
          <w:szCs w:val="21"/>
        </w:rPr>
        <w:t>8、本基金投资股票期权，根据相关法律法规以及监管部门的规定估值。</w:t>
      </w:r>
    </w:p>
    <w:p>
      <w:pPr>
        <w:pStyle w:val="7"/>
        <w:spacing w:before="0" w:beforeAutospacing="0" w:after="0" w:afterAutospacing="0" w:line="360" w:lineRule="auto"/>
        <w:ind w:firstLine="420"/>
        <w:rPr>
          <w:sz w:val="21"/>
          <w:szCs w:val="21"/>
        </w:rPr>
      </w:pPr>
      <w:r>
        <w:rPr>
          <w:rFonts w:hint="eastAsia"/>
          <w:sz w:val="21"/>
          <w:szCs w:val="21"/>
        </w:rPr>
        <w:t>9、本基金参与融资或转融通证券出借业务的，应参照行业协会的相关规定进行估值，确保估值的公允性。</w:t>
      </w:r>
    </w:p>
    <w:p>
      <w:pPr>
        <w:pStyle w:val="7"/>
        <w:spacing w:before="0" w:beforeAutospacing="0" w:after="0" w:afterAutospacing="0" w:line="360" w:lineRule="auto"/>
        <w:ind w:firstLine="420"/>
        <w:rPr>
          <w:sz w:val="21"/>
          <w:szCs w:val="21"/>
        </w:rPr>
      </w:pPr>
      <w:r>
        <w:rPr>
          <w:rFonts w:hint="eastAsia"/>
          <w:sz w:val="21"/>
          <w:szCs w:val="21"/>
        </w:rPr>
        <w:t>10、汇率</w:t>
      </w:r>
    </w:p>
    <w:p>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pPr>
        <w:pStyle w:val="7"/>
        <w:spacing w:before="0" w:beforeAutospacing="0" w:after="0" w:afterAutospacing="0" w:line="360" w:lineRule="auto"/>
        <w:ind w:firstLine="420"/>
        <w:rPr>
          <w:sz w:val="21"/>
          <w:szCs w:val="21"/>
        </w:rPr>
      </w:pPr>
      <w:r>
        <w:rPr>
          <w:rFonts w:hint="eastAsia"/>
          <w:sz w:val="21"/>
          <w:szCs w:val="21"/>
        </w:rPr>
        <w:t>11、如有确凿证据表明按上述方法进行估值不能客观反映其公允价值的，基金管理人可根据具体情况与基金托管人商定后，按最能反映公允价值的价格估值。</w:t>
      </w:r>
    </w:p>
    <w:p>
      <w:pPr>
        <w:pStyle w:val="7"/>
        <w:spacing w:before="0" w:beforeAutospacing="0" w:after="0" w:afterAutospacing="0" w:line="360" w:lineRule="auto"/>
        <w:ind w:firstLine="420"/>
        <w:rPr>
          <w:sz w:val="21"/>
          <w:szCs w:val="21"/>
        </w:rPr>
      </w:pPr>
      <w:r>
        <w:rPr>
          <w:rFonts w:hint="eastAsia"/>
          <w:sz w:val="21"/>
          <w:szCs w:val="21"/>
        </w:rPr>
        <w:t>12、当发生大额申购或赎回情形时，基金管理人可以采用摆动定价机制，以确保基金估值的公平性。具体处理原则与操作规范遵循相关法律法规以及监管部门、自律规则的规定。</w:t>
      </w:r>
    </w:p>
    <w:p>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1" w:name="chapter_level1_14_63_section_1_end"/>
      <w:bookmarkEnd w:id="141"/>
      <w:r>
        <w:rPr>
          <w:rFonts w:hint="eastAsia"/>
          <w:sz w:val="21"/>
          <w:szCs w:val="21"/>
        </w:rPr>
        <w:t>对外予以公布。</w:t>
      </w:r>
    </w:p>
    <w:p>
      <w:pPr>
        <w:pStyle w:val="7"/>
        <w:spacing w:before="0" w:beforeAutospacing="0" w:after="0" w:afterAutospacing="0" w:line="360" w:lineRule="auto"/>
        <w:ind w:firstLine="420"/>
        <w:rPr>
          <w:sz w:val="21"/>
          <w:szCs w:val="21"/>
        </w:rPr>
      </w:pPr>
      <w:bookmarkStart w:id="142" w:name="chapter_level1_14_63_section_2"/>
      <w:bookmarkEnd w:id="142"/>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r>
        <w:rPr>
          <w:rFonts w:hint="eastAsia"/>
          <w:sz w:val="21"/>
          <w:szCs w:val="21"/>
          <w:lang w:val="en-US" w:eastAsia="zh-CN"/>
        </w:rPr>
        <w:t>0.0001</w:t>
      </w:r>
      <w:r>
        <w:rPr>
          <w:rFonts w:hint="eastAsia"/>
          <w:sz w:val="21"/>
          <w:szCs w:val="21"/>
        </w:rPr>
        <w:t>元，小数点后第</w:t>
      </w:r>
      <w:bookmarkStart w:id="143" w:name="field_0_netdecimaladd1_2"/>
      <w:r>
        <w:rPr>
          <w:sz w:val="21"/>
          <w:szCs w:val="21"/>
        </w:rPr>
        <w:t>5</w:t>
      </w:r>
      <w:bookmarkEnd w:id="143"/>
      <w:r>
        <w:rPr>
          <w:rFonts w:hint="eastAsia"/>
          <w:sz w:val="21"/>
          <w:szCs w:val="21"/>
        </w:rPr>
        <w:t>位四舍五入。基金管理人可以设立大额赎回情形下的净值精度应急调整机制。国家另有规定的，从其规定。</w:t>
      </w:r>
    </w:p>
    <w:p>
      <w:pPr>
        <w:pStyle w:val="7"/>
        <w:spacing w:before="0" w:beforeAutospacing="0" w:after="0" w:afterAutospacing="0" w:line="360" w:lineRule="auto"/>
        <w:ind w:firstLine="420"/>
        <w:rPr>
          <w:sz w:val="21"/>
          <w:szCs w:val="21"/>
        </w:rPr>
      </w:pPr>
      <w:r>
        <w:rPr>
          <w:rFonts w:hint="eastAsia"/>
          <w:sz w:val="21"/>
          <w:szCs w:val="21"/>
        </w:rPr>
        <w:t>基金管理人于每个工作日计算基金资产净值及各类基金份额净值，并按规定公告。</w:t>
      </w:r>
    </w:p>
    <w:p>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4" w:name="field_63_netdecimal_2"/>
      <w:r>
        <w:rPr>
          <w:sz w:val="21"/>
          <w:szCs w:val="21"/>
        </w:rPr>
        <w:t>4</w:t>
      </w:r>
      <w:bookmarkEnd w:id="144"/>
      <w:r>
        <w:rPr>
          <w:rFonts w:hint="eastAsia"/>
          <w:sz w:val="21"/>
          <w:szCs w:val="21"/>
        </w:rPr>
        <w:t>位以内(含第</w:t>
      </w:r>
      <w:bookmarkStart w:id="145" w:name="field_63_netdecimal_3"/>
      <w:r>
        <w:rPr>
          <w:sz w:val="21"/>
          <w:szCs w:val="21"/>
        </w:rPr>
        <w:t>4</w:t>
      </w:r>
      <w:bookmarkEnd w:id="145"/>
      <w:r>
        <w:rPr>
          <w:rFonts w:hint="eastAsia"/>
          <w:sz w:val="21"/>
          <w:szCs w:val="21"/>
        </w:rPr>
        <w:t>位)发生估值错误时，视为该类基金份额净值错误。</w:t>
      </w:r>
    </w:p>
    <w:p>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pPr>
        <w:pStyle w:val="7"/>
        <w:spacing w:before="0" w:beforeAutospacing="0" w:after="0" w:afterAutospacing="0" w:line="360" w:lineRule="auto"/>
        <w:ind w:firstLine="420"/>
        <w:rPr>
          <w:sz w:val="21"/>
          <w:szCs w:val="21"/>
        </w:rPr>
      </w:pPr>
      <w:r>
        <w:rPr>
          <w:rFonts w:hint="eastAsia"/>
          <w:sz w:val="21"/>
          <w:szCs w:val="21"/>
        </w:rPr>
        <w:t>2、估值错误处理原则</w:t>
      </w:r>
    </w:p>
    <w:p>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pPr>
        <w:pStyle w:val="7"/>
        <w:spacing w:before="0" w:beforeAutospacing="0" w:after="0" w:afterAutospacing="0" w:line="360" w:lineRule="auto"/>
        <w:ind w:firstLine="420"/>
        <w:rPr>
          <w:sz w:val="21"/>
          <w:szCs w:val="21"/>
        </w:rPr>
      </w:pPr>
      <w:r>
        <w:rPr>
          <w:rFonts w:hint="eastAsia"/>
          <w:sz w:val="21"/>
          <w:szCs w:val="21"/>
        </w:rPr>
        <w:t>3、估值错误处理程序</w:t>
      </w:r>
    </w:p>
    <w:p>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pPr>
        <w:pStyle w:val="7"/>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pPr>
        <w:pStyle w:val="7"/>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pPr>
        <w:pStyle w:val="7"/>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pPr>
        <w:pStyle w:val="7"/>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pPr>
        <w:pStyle w:val="7"/>
        <w:spacing w:before="0" w:beforeAutospacing="0" w:after="0" w:afterAutospacing="0" w:line="360" w:lineRule="auto"/>
        <w:ind w:firstLine="420"/>
        <w:rPr>
          <w:sz w:val="21"/>
          <w:szCs w:val="21"/>
        </w:rPr>
      </w:pPr>
      <w:r>
        <w:rPr>
          <w:rFonts w:hint="eastAsia"/>
          <w:sz w:val="21"/>
          <w:szCs w:val="21"/>
        </w:rPr>
        <w:t>3、当特定资产占前一估值日基金资产净值50%以上的，经与基金托管人协商确认后，基金管理人应当暂停估值；</w:t>
      </w:r>
    </w:p>
    <w:p>
      <w:pPr>
        <w:pStyle w:val="7"/>
        <w:spacing w:before="0" w:beforeAutospacing="0" w:after="0" w:afterAutospacing="0" w:line="360" w:lineRule="auto"/>
        <w:ind w:firstLine="420"/>
        <w:rPr>
          <w:sz w:val="21"/>
          <w:szCs w:val="21"/>
        </w:rPr>
      </w:pPr>
      <w:r>
        <w:rPr>
          <w:rFonts w:hint="eastAsia"/>
          <w:sz w:val="21"/>
          <w:szCs w:val="21"/>
        </w:rPr>
        <w:t>4、法律法规规定、中国证监会和基金合同认定的其它情形。</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1、基金管理人或基金托管人按估值方法的第11项进行估值时，所造成的误差不作为基金资产估值错误处理。</w:t>
      </w:r>
    </w:p>
    <w:p>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6" w:name="chapter_level1_14_63_section_2_end"/>
      <w:bookmarkEnd w:id="146"/>
      <w:r>
        <w:rPr>
          <w:rFonts w:hint="eastAsia"/>
          <w:sz w:val="21"/>
          <w:szCs w:val="21"/>
        </w:rPr>
        <w:t>的基金净值信息，暂停披露侧袋账户基金净值信息。</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7" w:name="chapter_level1_15_64"/>
      <w:bookmarkStart w:id="148" w:name="_Toc176190856"/>
      <w:r>
        <w:rPr>
          <w:rFonts w:hint="eastAsia" w:ascii="宋体" w:hAnsi="宋体" w:eastAsia="宋体"/>
          <w:sz w:val="30"/>
        </w:rPr>
        <w:t>第十二部分  基金的收益与分配</w:t>
      </w:r>
      <w:bookmarkEnd w:id="147"/>
      <w:bookmarkEnd w:id="148"/>
    </w:p>
    <w:p>
      <w:pPr>
        <w:pStyle w:val="7"/>
        <w:spacing w:before="0" w:beforeAutospacing="0" w:after="0" w:afterAutospacing="0" w:line="360" w:lineRule="auto"/>
        <w:ind w:firstLine="420"/>
        <w:rPr>
          <w:sz w:val="21"/>
          <w:szCs w:val="21"/>
        </w:rPr>
      </w:pPr>
      <w:bookmarkStart w:id="149" w:name="chapter_level1_15_64_section_1"/>
      <w:bookmarkEnd w:id="149"/>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1、由于本基金A类基金份额不收取销售服务费，而C类基金份额收取销售服务费，各基金份额类别对应的可供分配利润将有所不同，本基金同一类别的每一基金份额享有同等分配权；</w:t>
      </w:r>
    </w:p>
    <w:p>
      <w:pPr>
        <w:pStyle w:val="7"/>
        <w:spacing w:before="0" w:beforeAutospacing="0" w:after="0" w:afterAutospacing="0" w:line="360" w:lineRule="auto"/>
        <w:ind w:firstLine="420"/>
        <w:rPr>
          <w:sz w:val="21"/>
          <w:szCs w:val="21"/>
        </w:rPr>
      </w:pPr>
      <w:r>
        <w:rPr>
          <w:rFonts w:hint="eastAsia"/>
          <w:sz w:val="21"/>
          <w:szCs w:val="21"/>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pStyle w:val="7"/>
        <w:spacing w:before="0" w:beforeAutospacing="0" w:after="0" w:afterAutospacing="0" w:line="360" w:lineRule="auto"/>
        <w:ind w:firstLine="420"/>
        <w:rPr>
          <w:sz w:val="21"/>
          <w:szCs w:val="21"/>
        </w:rPr>
      </w:pPr>
      <w:r>
        <w:rPr>
          <w:rFonts w:hint="eastAsia"/>
          <w:sz w:val="21"/>
          <w:szCs w:val="21"/>
        </w:rPr>
        <w:t>3、基金收益分配后各类基金份额净值不能低于面值，即基金收益分配基准日的各类基金份额净值减去每单位该类基金份额收益分配金额后不能低于面值；</w:t>
      </w:r>
    </w:p>
    <w:p>
      <w:pPr>
        <w:pStyle w:val="7"/>
        <w:spacing w:before="0" w:beforeAutospacing="0" w:after="0" w:afterAutospacing="0" w:line="360" w:lineRule="auto"/>
        <w:ind w:firstLine="420"/>
        <w:rPr>
          <w:sz w:val="21"/>
          <w:szCs w:val="21"/>
        </w:rPr>
      </w:pPr>
      <w:r>
        <w:rPr>
          <w:rFonts w:hint="eastAsia"/>
          <w:sz w:val="21"/>
          <w:szCs w:val="21"/>
        </w:rPr>
        <w:t>4、法律法规或监管机关另有规定的，从其规定。</w:t>
      </w:r>
    </w:p>
    <w:p>
      <w:pPr>
        <w:pStyle w:val="7"/>
        <w:spacing w:before="0" w:beforeAutospacing="0" w:after="0" w:afterAutospacing="0" w:line="360" w:lineRule="auto"/>
        <w:ind w:firstLine="420"/>
        <w:rPr>
          <w:sz w:val="21"/>
          <w:szCs w:val="21"/>
        </w:rPr>
      </w:pPr>
      <w:r>
        <w:rPr>
          <w:rFonts w:hint="eastAsia"/>
          <w:sz w:val="21"/>
          <w:szCs w:val="21"/>
        </w:rPr>
        <w:t>在不违反法律法规及基金合同约定，并对基金份额持有人利益无实质不利影响的前提下，基金管理人经与基金托管人协商一致后，可对基金收益分配原则和支付方式进行调整，不需召开基金份额持有人大会。</w:t>
      </w:r>
    </w:p>
    <w:p>
      <w:pPr>
        <w:pStyle w:val="7"/>
        <w:spacing w:before="0" w:beforeAutospacing="0" w:after="0" w:afterAutospacing="0" w:line="360" w:lineRule="auto"/>
        <w:ind w:firstLine="420"/>
        <w:rPr>
          <w:sz w:val="21"/>
          <w:szCs w:val="21"/>
        </w:rPr>
      </w:pPr>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基金收益分配方案中应载明截至收益分配基准日的可供分配利润、基金收益分配对象、分配时间、分配数额及比例、分配方式等内容。</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50" w:name="chapter_level1_15_64_section_1_end"/>
      <w:bookmarkEnd w:id="150"/>
      <w:r>
        <w:rPr>
          <w:rFonts w:hint="eastAsia"/>
          <w:sz w:val="21"/>
          <w:szCs w:val="21"/>
        </w:rPr>
        <w:t>分的规定。</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1" w:name="chapter_level1_16_65"/>
      <w:bookmarkStart w:id="152" w:name="_Toc176190857"/>
      <w:r>
        <w:rPr>
          <w:rFonts w:hint="eastAsia" w:ascii="宋体" w:hAnsi="宋体" w:eastAsia="宋体"/>
          <w:sz w:val="30"/>
        </w:rPr>
        <w:t>第十三部分  基金的费用与税收</w:t>
      </w:r>
      <w:bookmarkEnd w:id="151"/>
      <w:bookmarkEnd w:id="152"/>
    </w:p>
    <w:p>
      <w:pPr>
        <w:pStyle w:val="7"/>
        <w:spacing w:before="0" w:beforeAutospacing="0" w:after="0" w:afterAutospacing="0" w:line="360" w:lineRule="auto"/>
        <w:ind w:firstLine="420"/>
        <w:rPr>
          <w:sz w:val="21"/>
          <w:szCs w:val="21"/>
        </w:rPr>
      </w:pPr>
      <w:bookmarkStart w:id="153" w:name="chapter_level1_16_65_section_1"/>
      <w:bookmarkEnd w:id="153"/>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1、基金管理人的管理费；</w:t>
      </w:r>
    </w:p>
    <w:p>
      <w:pPr>
        <w:pStyle w:val="7"/>
        <w:spacing w:before="0" w:beforeAutospacing="0" w:after="0" w:afterAutospacing="0" w:line="360" w:lineRule="auto"/>
        <w:ind w:firstLine="420"/>
        <w:rPr>
          <w:sz w:val="21"/>
          <w:szCs w:val="21"/>
        </w:rPr>
      </w:pPr>
      <w:r>
        <w:rPr>
          <w:rFonts w:hint="eastAsia"/>
          <w:sz w:val="21"/>
          <w:szCs w:val="21"/>
        </w:rPr>
        <w:t>2、基金托管人的托管费；</w:t>
      </w:r>
    </w:p>
    <w:p>
      <w:pPr>
        <w:pStyle w:val="7"/>
        <w:spacing w:before="0" w:beforeAutospacing="0" w:after="0" w:afterAutospacing="0" w:line="360" w:lineRule="auto"/>
        <w:ind w:firstLine="420"/>
        <w:rPr>
          <w:sz w:val="21"/>
          <w:szCs w:val="21"/>
        </w:rPr>
      </w:pPr>
      <w:r>
        <w:rPr>
          <w:rFonts w:hint="eastAsia"/>
          <w:sz w:val="21"/>
          <w:szCs w:val="21"/>
        </w:rPr>
        <w:t>3、C类基金份额的销售服务费；</w:t>
      </w:r>
    </w:p>
    <w:p>
      <w:pPr>
        <w:pStyle w:val="7"/>
        <w:spacing w:before="0" w:beforeAutospacing="0" w:after="0" w:afterAutospacing="0" w:line="360" w:lineRule="auto"/>
        <w:ind w:firstLine="420"/>
        <w:rPr>
          <w:sz w:val="21"/>
          <w:szCs w:val="21"/>
        </w:rPr>
      </w:pPr>
      <w:r>
        <w:rPr>
          <w:rFonts w:hint="eastAsia"/>
          <w:sz w:val="21"/>
          <w:szCs w:val="21"/>
        </w:rPr>
        <w:t>4、基金合同生效后与基金相关的信息披露费用，法律法规、中国证监会另有规定的除外；</w:t>
      </w:r>
    </w:p>
    <w:p>
      <w:pPr>
        <w:pStyle w:val="7"/>
        <w:spacing w:before="0" w:beforeAutospacing="0" w:after="0" w:afterAutospacing="0" w:line="360" w:lineRule="auto"/>
        <w:ind w:firstLine="420"/>
        <w:rPr>
          <w:sz w:val="21"/>
          <w:szCs w:val="21"/>
        </w:rPr>
      </w:pPr>
      <w:r>
        <w:rPr>
          <w:rFonts w:hint="eastAsia"/>
          <w:sz w:val="21"/>
          <w:szCs w:val="21"/>
        </w:rPr>
        <w:t>5、基金合同生效后与基金相关的会计师费、公证费、律师费、诉讼费和仲裁费；</w:t>
      </w:r>
    </w:p>
    <w:p>
      <w:pPr>
        <w:pStyle w:val="7"/>
        <w:spacing w:before="0" w:beforeAutospacing="0" w:after="0" w:afterAutospacing="0" w:line="360" w:lineRule="auto"/>
        <w:ind w:firstLine="420"/>
        <w:rPr>
          <w:sz w:val="21"/>
          <w:szCs w:val="21"/>
        </w:rPr>
      </w:pPr>
      <w:r>
        <w:rPr>
          <w:rFonts w:hint="eastAsia"/>
          <w:sz w:val="21"/>
          <w:szCs w:val="21"/>
        </w:rPr>
        <w:t>6、基金份额持有人大会费用；</w:t>
      </w:r>
    </w:p>
    <w:p>
      <w:pPr>
        <w:pStyle w:val="7"/>
        <w:spacing w:before="0" w:beforeAutospacing="0" w:after="0" w:afterAutospacing="0" w:line="360" w:lineRule="auto"/>
        <w:ind w:firstLine="420"/>
        <w:rPr>
          <w:sz w:val="21"/>
          <w:szCs w:val="21"/>
        </w:rPr>
      </w:pPr>
      <w:r>
        <w:rPr>
          <w:rFonts w:hint="eastAsia"/>
          <w:sz w:val="21"/>
          <w:szCs w:val="21"/>
        </w:rPr>
        <w:t>7、基金的证券、期货、期权交易费用；</w:t>
      </w:r>
    </w:p>
    <w:p>
      <w:pPr>
        <w:pStyle w:val="7"/>
        <w:spacing w:before="0" w:beforeAutospacing="0" w:after="0" w:afterAutospacing="0" w:line="360" w:lineRule="auto"/>
        <w:ind w:firstLine="420"/>
        <w:rPr>
          <w:sz w:val="21"/>
          <w:szCs w:val="21"/>
        </w:rPr>
      </w:pPr>
      <w:r>
        <w:rPr>
          <w:rFonts w:hint="eastAsia"/>
          <w:sz w:val="21"/>
          <w:szCs w:val="21"/>
        </w:rPr>
        <w:t>8、基金的银行汇划费用；</w:t>
      </w:r>
    </w:p>
    <w:p>
      <w:pPr>
        <w:pStyle w:val="7"/>
        <w:spacing w:before="0" w:beforeAutospacing="0" w:after="0" w:afterAutospacing="0" w:line="360" w:lineRule="auto"/>
        <w:ind w:firstLine="420"/>
        <w:rPr>
          <w:sz w:val="21"/>
          <w:szCs w:val="21"/>
        </w:rPr>
      </w:pPr>
      <w:r>
        <w:rPr>
          <w:rFonts w:hint="eastAsia"/>
          <w:sz w:val="21"/>
          <w:szCs w:val="21"/>
        </w:rPr>
        <w:t>9、账户开户费用、账户维护费用；</w:t>
      </w:r>
    </w:p>
    <w:p>
      <w:pPr>
        <w:pStyle w:val="7"/>
        <w:spacing w:before="0" w:beforeAutospacing="0" w:after="0" w:afterAutospacing="0" w:line="360" w:lineRule="auto"/>
        <w:ind w:firstLine="420"/>
        <w:rPr>
          <w:sz w:val="21"/>
          <w:szCs w:val="21"/>
        </w:rPr>
      </w:pPr>
      <w:r>
        <w:rPr>
          <w:rFonts w:hint="eastAsia"/>
          <w:sz w:val="21"/>
          <w:szCs w:val="21"/>
        </w:rPr>
        <w:t>10、因投资港股通标的股票而产生的各项合理费用；</w:t>
      </w:r>
    </w:p>
    <w:p>
      <w:pPr>
        <w:pStyle w:val="7"/>
        <w:spacing w:before="0" w:beforeAutospacing="0" w:after="0" w:afterAutospacing="0" w:line="360" w:lineRule="auto"/>
        <w:ind w:firstLine="420"/>
        <w:rPr>
          <w:sz w:val="21"/>
          <w:szCs w:val="21"/>
        </w:rPr>
      </w:pPr>
      <w:r>
        <w:rPr>
          <w:rFonts w:hint="eastAsia"/>
          <w:sz w:val="21"/>
          <w:szCs w:val="21"/>
        </w:rPr>
        <w:t>11、按照国家有关规定和基金合同约定，可以在基金财产中列支的其他费用。</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4" w:name="field_0_managementrate_1"/>
      <w:r>
        <w:rPr>
          <w:sz w:val="21"/>
          <w:szCs w:val="21"/>
        </w:rPr>
        <w:t>0.50</w:t>
      </w:r>
      <w:bookmarkEnd w:id="154"/>
      <w:r>
        <w:rPr>
          <w:rFonts w:hint="eastAsia"/>
          <w:sz w:val="21"/>
          <w:szCs w:val="21"/>
        </w:rPr>
        <w:t>%年费率计提。管理费的计算方法如下：</w:t>
      </w:r>
    </w:p>
    <w:p>
      <w:pPr>
        <w:pStyle w:val="7"/>
        <w:spacing w:before="0" w:beforeAutospacing="0" w:after="0" w:afterAutospacing="0" w:line="360" w:lineRule="auto"/>
        <w:ind w:firstLine="420"/>
        <w:rPr>
          <w:sz w:val="21"/>
          <w:szCs w:val="21"/>
        </w:rPr>
      </w:pPr>
      <w:r>
        <w:rPr>
          <w:rFonts w:hint="eastAsia"/>
          <w:sz w:val="21"/>
          <w:szCs w:val="21"/>
        </w:rPr>
        <w:t>H＝E×</w:t>
      </w:r>
      <w:bookmarkStart w:id="155" w:name="field_0_managementrate_2"/>
      <w:r>
        <w:rPr>
          <w:sz w:val="21"/>
          <w:szCs w:val="21"/>
        </w:rPr>
        <w:t>0.50</w:t>
      </w:r>
      <w:bookmarkEnd w:id="155"/>
      <w:r>
        <w:rPr>
          <w:rFonts w:hint="eastAsia"/>
          <w:sz w:val="21"/>
          <w:szCs w:val="21"/>
        </w:rPr>
        <w:t>%÷当年实际天数</w:t>
      </w:r>
    </w:p>
    <w:p>
      <w:pPr>
        <w:pStyle w:val="7"/>
        <w:spacing w:before="0" w:beforeAutospacing="0" w:after="0" w:afterAutospacing="0" w:line="360" w:lineRule="auto"/>
        <w:ind w:firstLine="420"/>
        <w:rPr>
          <w:sz w:val="21"/>
          <w:szCs w:val="21"/>
        </w:rPr>
      </w:pPr>
      <w:r>
        <w:rPr>
          <w:rFonts w:hint="eastAsia"/>
          <w:sz w:val="21"/>
          <w:szCs w:val="21"/>
        </w:rPr>
        <w:t>H为每日应计提的基金管理费</w:t>
      </w:r>
    </w:p>
    <w:p>
      <w:pPr>
        <w:pStyle w:val="7"/>
        <w:spacing w:before="0" w:beforeAutospacing="0" w:after="0" w:afterAutospacing="0" w:line="360" w:lineRule="auto"/>
        <w:ind w:firstLine="420"/>
        <w:rPr>
          <w:sz w:val="21"/>
          <w:szCs w:val="21"/>
        </w:rPr>
      </w:pPr>
      <w:r>
        <w:rPr>
          <w:rFonts w:hint="eastAsia"/>
          <w:sz w:val="21"/>
          <w:szCs w:val="21"/>
        </w:rPr>
        <w:t>E为前一日的基金资产净值</w:t>
      </w:r>
    </w:p>
    <w:p>
      <w:pPr>
        <w:pStyle w:val="7"/>
        <w:spacing w:before="0" w:beforeAutospacing="0" w:after="0" w:afterAutospacing="0" w:line="360" w:lineRule="auto"/>
        <w:ind w:firstLine="420"/>
        <w:rPr>
          <w:sz w:val="21"/>
          <w:szCs w:val="21"/>
        </w:rPr>
      </w:pPr>
      <w:r>
        <w:rPr>
          <w:rFonts w:hint="eastAsia"/>
          <w:sz w:val="21"/>
          <w:szCs w:val="21"/>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2、基金托管人的托管费</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6" w:name="field_0_trusteerate_1"/>
      <w:r>
        <w:rPr>
          <w:sz w:val="21"/>
          <w:szCs w:val="21"/>
        </w:rPr>
        <w:t>0.10</w:t>
      </w:r>
      <w:bookmarkEnd w:id="156"/>
      <w:r>
        <w:rPr>
          <w:rFonts w:hint="eastAsia"/>
          <w:sz w:val="21"/>
          <w:szCs w:val="21"/>
        </w:rPr>
        <w:t>%年费率计提。托管费的计算方法如下：</w:t>
      </w:r>
    </w:p>
    <w:p>
      <w:pPr>
        <w:pStyle w:val="7"/>
        <w:spacing w:before="0" w:beforeAutospacing="0" w:after="0" w:afterAutospacing="0" w:line="360" w:lineRule="auto"/>
        <w:ind w:firstLine="420"/>
        <w:rPr>
          <w:sz w:val="21"/>
          <w:szCs w:val="21"/>
        </w:rPr>
      </w:pPr>
      <w:r>
        <w:rPr>
          <w:rFonts w:hint="eastAsia"/>
          <w:sz w:val="21"/>
          <w:szCs w:val="21"/>
        </w:rPr>
        <w:t>H＝E×</w:t>
      </w:r>
      <w:bookmarkStart w:id="157" w:name="field_0_trusteerate_2"/>
      <w:r>
        <w:rPr>
          <w:sz w:val="21"/>
          <w:szCs w:val="21"/>
        </w:rPr>
        <w:t>0.10</w:t>
      </w:r>
      <w:bookmarkEnd w:id="157"/>
      <w:r>
        <w:rPr>
          <w:rFonts w:hint="eastAsia"/>
          <w:sz w:val="21"/>
          <w:szCs w:val="21"/>
        </w:rPr>
        <w:t>%÷当年实际天数</w:t>
      </w:r>
    </w:p>
    <w:p>
      <w:pPr>
        <w:pStyle w:val="7"/>
        <w:spacing w:before="0" w:beforeAutospacing="0" w:after="0" w:afterAutospacing="0" w:line="360" w:lineRule="auto"/>
        <w:ind w:firstLine="420"/>
        <w:rPr>
          <w:sz w:val="21"/>
          <w:szCs w:val="21"/>
        </w:rPr>
      </w:pPr>
      <w:r>
        <w:rPr>
          <w:rFonts w:hint="eastAsia"/>
          <w:sz w:val="21"/>
          <w:szCs w:val="21"/>
        </w:rPr>
        <w:t>H为每日应计提的基金托管费</w:t>
      </w:r>
    </w:p>
    <w:p>
      <w:pPr>
        <w:pStyle w:val="7"/>
        <w:spacing w:before="0" w:beforeAutospacing="0" w:after="0" w:afterAutospacing="0" w:line="360" w:lineRule="auto"/>
        <w:ind w:firstLine="420"/>
        <w:rPr>
          <w:sz w:val="21"/>
          <w:szCs w:val="21"/>
        </w:rPr>
      </w:pPr>
      <w:r>
        <w:rPr>
          <w:rFonts w:hint="eastAsia"/>
          <w:sz w:val="21"/>
          <w:szCs w:val="21"/>
        </w:rPr>
        <w:t>E为前一日的基金资产净值</w:t>
      </w:r>
    </w:p>
    <w:p>
      <w:pPr>
        <w:pStyle w:val="7"/>
        <w:spacing w:before="0" w:beforeAutospacing="0" w:after="0" w:afterAutospacing="0" w:line="360" w:lineRule="auto"/>
        <w:ind w:firstLine="420"/>
        <w:rPr>
          <w:sz w:val="21"/>
          <w:szCs w:val="21"/>
        </w:rPr>
      </w:pPr>
      <w:r>
        <w:rPr>
          <w:rFonts w:hint="eastAsia"/>
          <w:sz w:val="21"/>
          <w:szCs w:val="21"/>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3、C类份额的销售服务费</w:t>
      </w:r>
    </w:p>
    <w:p>
      <w:pPr>
        <w:pStyle w:val="7"/>
        <w:spacing w:before="0" w:beforeAutospacing="0" w:after="0" w:afterAutospacing="0" w:line="360" w:lineRule="auto"/>
        <w:ind w:firstLine="420"/>
        <w:rPr>
          <w:sz w:val="21"/>
          <w:szCs w:val="21"/>
        </w:rPr>
      </w:pPr>
      <w:r>
        <w:rPr>
          <w:rFonts w:hint="eastAsia"/>
          <w:sz w:val="21"/>
          <w:szCs w:val="21"/>
        </w:rPr>
        <w:t>本基金A类基金份额不收取销售服务费，C类基金份额的销售服务费年费率为0.30%。</w:t>
      </w:r>
    </w:p>
    <w:p>
      <w:pPr>
        <w:pStyle w:val="7"/>
        <w:spacing w:before="0" w:beforeAutospacing="0" w:after="0" w:afterAutospacing="0" w:line="360" w:lineRule="auto"/>
        <w:ind w:firstLine="420"/>
        <w:rPr>
          <w:sz w:val="21"/>
          <w:szCs w:val="21"/>
        </w:rPr>
      </w:pPr>
      <w:r>
        <w:rPr>
          <w:rFonts w:hint="eastAsia"/>
          <w:sz w:val="21"/>
          <w:szCs w:val="21"/>
        </w:rPr>
        <w:t>本基金销售服务费按前一日C类基金资产净值的0.30%年费率计提。计算方法如下： </w:t>
      </w:r>
    </w:p>
    <w:p>
      <w:pPr>
        <w:pStyle w:val="7"/>
        <w:spacing w:before="0" w:beforeAutospacing="0" w:after="0" w:afterAutospacing="0" w:line="360" w:lineRule="auto"/>
        <w:ind w:firstLine="420"/>
        <w:rPr>
          <w:sz w:val="21"/>
          <w:szCs w:val="21"/>
        </w:rPr>
      </w:pPr>
      <w:r>
        <w:rPr>
          <w:rFonts w:hint="eastAsia"/>
          <w:sz w:val="21"/>
          <w:szCs w:val="21"/>
        </w:rPr>
        <w:t>H＝E×0.30%÷当年实际天数 </w:t>
      </w:r>
    </w:p>
    <w:p>
      <w:pPr>
        <w:pStyle w:val="7"/>
        <w:spacing w:before="0" w:beforeAutospacing="0" w:after="0" w:afterAutospacing="0" w:line="360" w:lineRule="auto"/>
        <w:ind w:firstLine="420"/>
        <w:rPr>
          <w:sz w:val="21"/>
          <w:szCs w:val="21"/>
        </w:rPr>
      </w:pPr>
      <w:r>
        <w:rPr>
          <w:rFonts w:hint="eastAsia"/>
          <w:sz w:val="21"/>
          <w:szCs w:val="21"/>
        </w:rPr>
        <w:t>H为C类基金份额每日应计提的销售服务费</w:t>
      </w:r>
    </w:p>
    <w:p>
      <w:pPr>
        <w:pStyle w:val="7"/>
        <w:spacing w:before="0" w:beforeAutospacing="0" w:after="0" w:afterAutospacing="0" w:line="360" w:lineRule="auto"/>
        <w:ind w:firstLine="420"/>
        <w:rPr>
          <w:sz w:val="21"/>
          <w:szCs w:val="21"/>
        </w:rPr>
      </w:pPr>
      <w:r>
        <w:rPr>
          <w:rFonts w:hint="eastAsia"/>
          <w:sz w:val="21"/>
          <w:szCs w:val="21"/>
        </w:rPr>
        <w:t>E为C类基金份额前一日基金资产净值</w:t>
      </w:r>
    </w:p>
    <w:p>
      <w:pPr>
        <w:pStyle w:val="7"/>
        <w:spacing w:before="0" w:beforeAutospacing="0" w:after="0" w:afterAutospacing="0" w:line="360" w:lineRule="auto"/>
        <w:ind w:firstLine="420"/>
        <w:rPr>
          <w:sz w:val="21"/>
          <w:szCs w:val="21"/>
        </w:rPr>
      </w:pPr>
      <w:r>
        <w:rPr>
          <w:rFonts w:hint="eastAsia"/>
          <w:sz w:val="21"/>
          <w:szCs w:val="21"/>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pPr>
        <w:pStyle w:val="7"/>
        <w:spacing w:before="0" w:beforeAutospacing="0" w:after="0" w:afterAutospacing="0" w:line="360" w:lineRule="auto"/>
        <w:ind w:firstLine="420"/>
        <w:rPr>
          <w:sz w:val="21"/>
          <w:szCs w:val="21"/>
        </w:rPr>
      </w:pPr>
      <w:r>
        <w:rPr>
          <w:rFonts w:hint="eastAsia"/>
          <w:sz w:val="21"/>
          <w:szCs w:val="21"/>
        </w:rPr>
        <w:t>上述“一、基金费用的种类”中第4－11项费用，根据有关法规及相应协议规定，按费用实际支出金额列入当期费用，由基金托管人从基金财产中支付。</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下列费用不列入基金费用：</w:t>
      </w:r>
    </w:p>
    <w:p>
      <w:pPr>
        <w:pStyle w:val="7"/>
        <w:spacing w:before="0" w:beforeAutospacing="0" w:after="0" w:afterAutospacing="0" w:line="360" w:lineRule="auto"/>
        <w:ind w:firstLine="420"/>
        <w:rPr>
          <w:sz w:val="21"/>
          <w:szCs w:val="21"/>
        </w:rPr>
      </w:pPr>
      <w:r>
        <w:rPr>
          <w:rFonts w:hint="eastAsia"/>
          <w:sz w:val="21"/>
          <w:szCs w:val="21"/>
        </w:rPr>
        <w:t>1、基金管理人和基金托管人因未履行或未完全履行义务导致的费用支出或基金财产的损失；</w:t>
      </w:r>
    </w:p>
    <w:p>
      <w:pPr>
        <w:pStyle w:val="7"/>
        <w:spacing w:before="0" w:beforeAutospacing="0" w:after="0" w:afterAutospacing="0" w:line="360" w:lineRule="auto"/>
        <w:ind w:firstLine="420"/>
        <w:rPr>
          <w:sz w:val="21"/>
          <w:szCs w:val="21"/>
        </w:rPr>
      </w:pPr>
      <w:r>
        <w:rPr>
          <w:rFonts w:hint="eastAsia"/>
          <w:sz w:val="21"/>
          <w:szCs w:val="21"/>
        </w:rPr>
        <w:t>2、基金管理人和基金托管人处理与基金运作无关的事项发生的费用；</w:t>
      </w:r>
    </w:p>
    <w:p>
      <w:pPr>
        <w:pStyle w:val="7"/>
        <w:spacing w:before="0" w:beforeAutospacing="0" w:after="0" w:afterAutospacing="0" w:line="360" w:lineRule="auto"/>
        <w:ind w:firstLine="420"/>
        <w:rPr>
          <w:sz w:val="21"/>
          <w:szCs w:val="21"/>
        </w:rPr>
      </w:pPr>
      <w:r>
        <w:rPr>
          <w:rFonts w:hint="eastAsia"/>
          <w:sz w:val="21"/>
          <w:szCs w:val="21"/>
        </w:rPr>
        <w:t>3、指数许可使用费</w:t>
      </w:r>
    </w:p>
    <w:p>
      <w:pPr>
        <w:pStyle w:val="7"/>
        <w:spacing w:before="0" w:beforeAutospacing="0" w:after="0" w:afterAutospacing="0" w:line="360" w:lineRule="auto"/>
        <w:ind w:firstLine="420"/>
        <w:rPr>
          <w:sz w:val="21"/>
          <w:szCs w:val="21"/>
        </w:rPr>
      </w:pPr>
      <w:r>
        <w:rPr>
          <w:rFonts w:hint="eastAsia"/>
          <w:sz w:val="21"/>
          <w:szCs w:val="21"/>
        </w:rPr>
        <w:t>本基金按照基金管理人与标的指数许可方所签订的指数使用许可协议中所规定的指数许可使用费计提方法支付指数许可使用费，该指数许可使用费由基金管理人承担，不得从基金财产中列支。</w:t>
      </w:r>
    </w:p>
    <w:p>
      <w:pPr>
        <w:pStyle w:val="7"/>
        <w:spacing w:before="0" w:beforeAutospacing="0" w:after="0" w:afterAutospacing="0" w:line="360" w:lineRule="auto"/>
        <w:ind w:firstLine="420"/>
        <w:rPr>
          <w:sz w:val="21"/>
          <w:szCs w:val="21"/>
        </w:rPr>
      </w:pPr>
      <w:r>
        <w:rPr>
          <w:rFonts w:hint="eastAsia"/>
          <w:sz w:val="21"/>
          <w:szCs w:val="21"/>
        </w:rPr>
        <w:t>如果指数许可使用费的计算方法、费率、支付方式和费用承担方等发生调整，本基金将采用调整后的方法或费率计算指数许可使用费；</w:t>
      </w:r>
    </w:p>
    <w:p>
      <w:pPr>
        <w:pStyle w:val="7"/>
        <w:spacing w:before="0" w:beforeAutospacing="0" w:after="0" w:afterAutospacing="0" w:line="360" w:lineRule="auto"/>
        <w:ind w:firstLine="420"/>
        <w:rPr>
          <w:sz w:val="21"/>
          <w:szCs w:val="21"/>
        </w:rPr>
      </w:pPr>
      <w:r>
        <w:rPr>
          <w:rFonts w:hint="eastAsia"/>
          <w:sz w:val="21"/>
          <w:szCs w:val="21"/>
        </w:rPr>
        <w:t>4、《基金合同》生效前的相关费用；</w:t>
      </w:r>
    </w:p>
    <w:p>
      <w:pPr>
        <w:pStyle w:val="7"/>
        <w:spacing w:before="0" w:beforeAutospacing="0" w:after="0" w:afterAutospacing="0" w:line="360" w:lineRule="auto"/>
        <w:ind w:firstLine="420"/>
        <w:rPr>
          <w:sz w:val="21"/>
          <w:szCs w:val="21"/>
        </w:rPr>
      </w:pPr>
      <w:r>
        <w:rPr>
          <w:rFonts w:hint="eastAsia"/>
          <w:sz w:val="21"/>
          <w:szCs w:val="21"/>
        </w:rPr>
        <w:t>5、其他根据相关法律法规及中国证监会的有关规定不得列入基金费用的项目。</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本基金实施侧袋机制的，与侧袋账户有关的费用可以从侧袋账户中列支，但应待侧袋账户资产变现后方可列支，有关费用可酌情收取或减免，但不得收取管理费，详见本招募说明书“侧袋机制”部分的规定。</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基金运作过程中涉及的各纳税主体，其纳税义务按国家税收法律、法规执行。基金财产投资的相关税收，由基金份额持有人承担，基金管理人或者其他扣缴义务人按照国家有关税收征收的规定代扣代缴。</w:t>
      </w:r>
    </w:p>
    <w:p>
      <w:pPr>
        <w:pStyle w:val="7"/>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8" w:name="chapter_level1_16_65_section_1_end"/>
      <w:bookmarkEnd w:id="158"/>
      <w:r>
        <w:rPr>
          <w:rFonts w:hint="eastAsia"/>
          <w:sz w:val="21"/>
          <w:szCs w:val="21"/>
        </w:rPr>
        <w:t>务主管机关的规定。</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9" w:name="_Toc176190858"/>
      <w:bookmarkStart w:id="160" w:name="chapter_level1_17_66"/>
      <w:r>
        <w:rPr>
          <w:rFonts w:hint="eastAsia" w:ascii="宋体" w:hAnsi="宋体" w:eastAsia="宋体"/>
          <w:sz w:val="30"/>
        </w:rPr>
        <w:t>第十四部分  基金的会计与审计</w:t>
      </w:r>
      <w:bookmarkEnd w:id="159"/>
      <w:bookmarkEnd w:id="160"/>
    </w:p>
    <w:p>
      <w:pPr>
        <w:pStyle w:val="7"/>
        <w:spacing w:before="0" w:beforeAutospacing="0" w:after="0" w:afterAutospacing="0" w:line="360" w:lineRule="auto"/>
        <w:ind w:firstLine="420"/>
        <w:rPr>
          <w:sz w:val="21"/>
          <w:szCs w:val="21"/>
        </w:rPr>
      </w:pPr>
      <w:bookmarkStart w:id="161" w:name="chapter_level1_17_66_section_1"/>
      <w:bookmarkEnd w:id="161"/>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2" w:name="chapter_level1_17_66_section_1_end"/>
      <w:bookmarkEnd w:id="162"/>
      <w:r>
        <w:rPr>
          <w:rFonts w:hint="eastAsia"/>
          <w:sz w:val="21"/>
          <w:szCs w:val="21"/>
        </w:rPr>
        <w:t>务所需按规定在规定媒介公告。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3" w:name="_Toc176190859"/>
      <w:bookmarkStart w:id="164" w:name="chapter_level1_18_67"/>
      <w:r>
        <w:rPr>
          <w:rFonts w:hint="eastAsia" w:ascii="宋体" w:hAnsi="宋体" w:eastAsia="宋体"/>
          <w:sz w:val="30"/>
        </w:rPr>
        <w:t>第十五部分  基金的信息披露</w:t>
      </w:r>
      <w:bookmarkEnd w:id="163"/>
      <w:bookmarkEnd w:id="164"/>
    </w:p>
    <w:p>
      <w:pPr>
        <w:pStyle w:val="7"/>
        <w:spacing w:before="0" w:beforeAutospacing="0" w:after="0" w:afterAutospacing="0" w:line="360" w:lineRule="auto"/>
        <w:ind w:firstLine="420"/>
        <w:rPr>
          <w:sz w:val="21"/>
          <w:szCs w:val="21"/>
        </w:rPr>
      </w:pPr>
      <w:bookmarkStart w:id="165" w:name="chapter_level1_18_67_section_1"/>
      <w:bookmarkEnd w:id="165"/>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pPr>
        <w:pStyle w:val="7"/>
        <w:spacing w:before="0" w:beforeAutospacing="0" w:after="0" w:afterAutospacing="0" w:line="360" w:lineRule="auto"/>
        <w:ind w:firstLine="420"/>
        <w:rPr>
          <w:sz w:val="21"/>
          <w:szCs w:val="21"/>
        </w:rPr>
      </w:pPr>
      <w:r>
        <w:rPr>
          <w:rFonts w:hint="eastAsia"/>
          <w:sz w:val="21"/>
          <w:szCs w:val="21"/>
        </w:rPr>
        <w:t>2、对证券投资业绩进行预测；</w:t>
      </w:r>
    </w:p>
    <w:p>
      <w:pPr>
        <w:pStyle w:val="7"/>
        <w:spacing w:before="0" w:beforeAutospacing="0" w:after="0" w:afterAutospacing="0" w:line="360" w:lineRule="auto"/>
        <w:ind w:firstLine="420"/>
        <w:rPr>
          <w:sz w:val="21"/>
          <w:szCs w:val="21"/>
        </w:rPr>
      </w:pPr>
      <w:r>
        <w:rPr>
          <w:rFonts w:hint="eastAsia"/>
          <w:sz w:val="21"/>
          <w:szCs w:val="21"/>
        </w:rPr>
        <w:t>3、违规承诺收益或者承担损失；</w:t>
      </w:r>
    </w:p>
    <w:p>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pPr>
        <w:pStyle w:val="7"/>
        <w:spacing w:before="0" w:beforeAutospacing="0" w:after="0" w:afterAutospacing="0" w:line="360" w:lineRule="auto"/>
        <w:ind w:firstLine="420"/>
        <w:rPr>
          <w:sz w:val="21"/>
          <w:szCs w:val="21"/>
        </w:rPr>
      </w:pPr>
      <w:r>
        <w:rPr>
          <w:rFonts w:hint="eastAsia"/>
          <w:sz w:val="21"/>
          <w:szCs w:val="21"/>
        </w:rPr>
        <w:t>6、中国证监会禁止的其他行为。</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公开披露的基金信息包括：</w:t>
      </w:r>
    </w:p>
    <w:p>
      <w:pPr>
        <w:pStyle w:val="7"/>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w:t>
      </w:r>
    </w:p>
    <w:p>
      <w:pPr>
        <w:pStyle w:val="7"/>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pStyle w:val="7"/>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pPr>
        <w:pStyle w:val="7"/>
        <w:spacing w:before="0" w:beforeAutospacing="0" w:after="0" w:afterAutospacing="0" w:line="360" w:lineRule="auto"/>
        <w:ind w:firstLine="420"/>
        <w:rPr>
          <w:sz w:val="21"/>
          <w:szCs w:val="21"/>
        </w:rPr>
      </w:pPr>
      <w:r>
        <w:rPr>
          <w:rFonts w:hint="eastAsia"/>
          <w:sz w:val="21"/>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pStyle w:val="7"/>
        <w:spacing w:before="0" w:beforeAutospacing="0" w:after="0" w:afterAutospacing="0" w:line="360" w:lineRule="auto"/>
        <w:ind w:firstLine="420"/>
        <w:rPr>
          <w:sz w:val="21"/>
          <w:szCs w:val="21"/>
        </w:rPr>
      </w:pPr>
      <w:r>
        <w:rPr>
          <w:rFonts w:hint="eastAsia"/>
          <w:sz w:val="21"/>
          <w:szCs w:val="21"/>
        </w:rPr>
        <w:t>（二）基金份额发售公告</w:t>
      </w:r>
    </w:p>
    <w:p>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基金管理人应当就基金份额发售的具体事宜编制基金份额发售公告，并在披露招募说明书的当日登载于规定媒介上。</w:t>
      </w:r>
    </w:p>
    <w:p>
      <w:pPr>
        <w:pStyle w:val="7"/>
        <w:spacing w:before="0" w:beforeAutospacing="0" w:after="0" w:afterAutospacing="0" w:line="360" w:lineRule="auto"/>
        <w:ind w:firstLine="420"/>
        <w:rPr>
          <w:sz w:val="21"/>
          <w:szCs w:val="21"/>
        </w:rPr>
      </w:pPr>
      <w:r>
        <w:rPr>
          <w:rFonts w:hint="eastAsia"/>
          <w:sz w:val="21"/>
          <w:szCs w:val="21"/>
        </w:rPr>
        <w:t>（三）《基金合同》生效公告</w:t>
      </w:r>
    </w:p>
    <w:p>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基金管理人应当在收到中国证监会确认文件的次日在规定报刊和规定网站上登载《基金合同》生效公告。</w:t>
      </w:r>
    </w:p>
    <w:p>
      <w:pPr>
        <w:pStyle w:val="7"/>
        <w:spacing w:before="0" w:beforeAutospacing="0" w:after="0" w:afterAutospacing="0" w:line="360" w:lineRule="auto"/>
        <w:ind w:firstLine="420"/>
        <w:rPr>
          <w:sz w:val="21"/>
          <w:szCs w:val="21"/>
        </w:rPr>
      </w:pPr>
      <w:r>
        <w:rPr>
          <w:rFonts w:hint="eastAsia"/>
          <w:sz w:val="21"/>
          <w:szCs w:val="21"/>
        </w:rPr>
        <w:t>（四）基金净值信息</w:t>
      </w:r>
    </w:p>
    <w:p>
      <w:pPr>
        <w:pStyle w:val="7"/>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（五）基金份额申购、赎回价格</w:t>
      </w:r>
    </w:p>
    <w:p>
      <w:pPr>
        <w:pStyle w:val="7"/>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pStyle w:val="7"/>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（六）基金定期报告，包括基金年度报告、基金中期报告和基金季度报告（含资产组合季度报告）</w:t>
      </w:r>
    </w:p>
    <w:p>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pPr>
        <w:pStyle w:val="7"/>
        <w:spacing w:before="0" w:beforeAutospacing="0" w:after="0" w:afterAutospacing="0" w:line="360" w:lineRule="auto"/>
        <w:ind w:firstLine="420"/>
        <w:rPr>
          <w:sz w:val="21"/>
          <w:szCs w:val="21"/>
        </w:rPr>
      </w:pPr>
      <w:r>
        <w:rPr>
          <w:rFonts w:hint="eastAsia"/>
          <w:sz w:val="21"/>
          <w:szCs w:val="21"/>
        </w:rPr>
        <w:t>（七）临时报告</w:t>
      </w:r>
    </w:p>
    <w:p>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pPr>
        <w:pStyle w:val="7"/>
        <w:spacing w:before="0" w:beforeAutospacing="0" w:after="0" w:afterAutospacing="0" w:line="360" w:lineRule="auto"/>
        <w:ind w:firstLine="420"/>
        <w:rPr>
          <w:sz w:val="21"/>
          <w:szCs w:val="21"/>
        </w:rPr>
      </w:pPr>
      <w:r>
        <w:rPr>
          <w:rFonts w:hint="eastAsia"/>
          <w:sz w:val="21"/>
          <w:szCs w:val="21"/>
        </w:rPr>
        <w:t>2、《基金合同》终止、基金清算；</w:t>
      </w:r>
    </w:p>
    <w:p>
      <w:pPr>
        <w:pStyle w:val="7"/>
        <w:spacing w:before="0" w:beforeAutospacing="0" w:after="0" w:afterAutospacing="0" w:line="360" w:lineRule="auto"/>
        <w:ind w:firstLine="420"/>
        <w:rPr>
          <w:sz w:val="21"/>
          <w:szCs w:val="21"/>
        </w:rPr>
      </w:pPr>
      <w:r>
        <w:rPr>
          <w:rFonts w:hint="eastAsia"/>
          <w:sz w:val="21"/>
          <w:szCs w:val="21"/>
        </w:rPr>
        <w:t>3、转换基金运作方式、基金合并；</w:t>
      </w:r>
    </w:p>
    <w:p>
      <w:pPr>
        <w:pStyle w:val="7"/>
        <w:spacing w:before="0" w:beforeAutospacing="0" w:after="0" w:afterAutospacing="0" w:line="360" w:lineRule="auto"/>
        <w:ind w:firstLine="420"/>
        <w:rPr>
          <w:sz w:val="21"/>
          <w:szCs w:val="21"/>
        </w:rPr>
      </w:pPr>
      <w:r>
        <w:rPr>
          <w:rFonts w:hint="eastAsia"/>
          <w:sz w:val="21"/>
          <w:szCs w:val="21"/>
        </w:rPr>
        <w:t>4、更换基金管理人、基金托管人；</w:t>
      </w:r>
    </w:p>
    <w:p>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pPr>
        <w:pStyle w:val="7"/>
        <w:spacing w:before="0" w:beforeAutospacing="0" w:after="0" w:afterAutospacing="0" w:line="360" w:lineRule="auto"/>
        <w:ind w:firstLine="420"/>
        <w:rPr>
          <w:sz w:val="21"/>
          <w:szCs w:val="21"/>
        </w:rPr>
      </w:pPr>
      <w:r>
        <w:rPr>
          <w:rFonts w:hint="eastAsia"/>
          <w:sz w:val="21"/>
          <w:szCs w:val="21"/>
        </w:rPr>
        <w:t>9、基金管理人高级管理人员、基金经理和基金托管人专门基金托管部门负责人发生变动；</w:t>
      </w:r>
    </w:p>
    <w:p>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w:t>
      </w:r>
    </w:p>
    <w:p>
      <w:pPr>
        <w:pStyle w:val="7"/>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w:t>
      </w:r>
    </w:p>
    <w:p>
      <w:pPr>
        <w:pStyle w:val="7"/>
        <w:spacing w:before="0" w:beforeAutospacing="0" w:after="0" w:afterAutospacing="0" w:line="360" w:lineRule="auto"/>
        <w:ind w:firstLine="420"/>
        <w:rPr>
          <w:sz w:val="21"/>
          <w:szCs w:val="21"/>
        </w:rPr>
      </w:pPr>
      <w:r>
        <w:rPr>
          <w:rFonts w:hint="eastAsia"/>
          <w:sz w:val="21"/>
          <w:szCs w:val="21"/>
        </w:rPr>
        <w:t>12、涉及基金管理业务、基金财产、基金托管业务的诉讼或仲裁；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w:t>
      </w:r>
    </w:p>
    <w:p>
      <w:pPr>
        <w:pStyle w:val="7"/>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pStyle w:val="7"/>
        <w:spacing w:before="0" w:beforeAutospacing="0" w:after="0" w:afterAutospacing="0" w:line="360" w:lineRule="auto"/>
        <w:ind w:firstLine="420"/>
        <w:rPr>
          <w:sz w:val="21"/>
          <w:szCs w:val="21"/>
        </w:rPr>
      </w:pPr>
      <w:r>
        <w:rPr>
          <w:rFonts w:hint="eastAsia"/>
          <w:sz w:val="21"/>
          <w:szCs w:val="21"/>
        </w:rPr>
        <w:t>15、基金收益分配事项；</w:t>
      </w:r>
    </w:p>
    <w:p>
      <w:pPr>
        <w:pStyle w:val="7"/>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w:t>
      </w:r>
    </w:p>
    <w:p>
      <w:pPr>
        <w:pStyle w:val="7"/>
        <w:spacing w:before="0" w:beforeAutospacing="0" w:after="0" w:afterAutospacing="0" w:line="360" w:lineRule="auto"/>
        <w:ind w:firstLine="420"/>
        <w:rPr>
          <w:sz w:val="21"/>
          <w:szCs w:val="21"/>
        </w:rPr>
      </w:pPr>
      <w:r>
        <w:rPr>
          <w:rFonts w:hint="eastAsia"/>
          <w:sz w:val="21"/>
          <w:szCs w:val="21"/>
        </w:rPr>
        <w:t>17、任一类基金份额净值计价错误达该类基金份额净值百分之零点五；</w:t>
      </w:r>
    </w:p>
    <w:p>
      <w:pPr>
        <w:pStyle w:val="7"/>
        <w:spacing w:before="0" w:beforeAutospacing="0" w:after="0" w:afterAutospacing="0" w:line="360" w:lineRule="auto"/>
        <w:ind w:firstLine="420"/>
        <w:rPr>
          <w:sz w:val="21"/>
          <w:szCs w:val="21"/>
        </w:rPr>
      </w:pPr>
      <w:r>
        <w:rPr>
          <w:rFonts w:hint="eastAsia"/>
          <w:sz w:val="21"/>
          <w:szCs w:val="21"/>
        </w:rPr>
        <w:t>18、基金改聘会计师事务所；</w:t>
      </w:r>
    </w:p>
    <w:p>
      <w:pPr>
        <w:pStyle w:val="7"/>
        <w:spacing w:before="0" w:beforeAutospacing="0" w:after="0" w:afterAutospacing="0" w:line="360" w:lineRule="auto"/>
        <w:ind w:firstLine="420"/>
        <w:rPr>
          <w:sz w:val="21"/>
          <w:szCs w:val="21"/>
        </w:rPr>
      </w:pPr>
      <w:r>
        <w:rPr>
          <w:rFonts w:hint="eastAsia"/>
          <w:sz w:val="21"/>
          <w:szCs w:val="21"/>
        </w:rPr>
        <w:t>19、更换基金登记机构；</w:t>
      </w:r>
    </w:p>
    <w:p>
      <w:pPr>
        <w:pStyle w:val="7"/>
        <w:spacing w:before="0" w:beforeAutospacing="0" w:after="0" w:afterAutospacing="0" w:line="360" w:lineRule="auto"/>
        <w:ind w:firstLine="420"/>
        <w:rPr>
          <w:sz w:val="21"/>
          <w:szCs w:val="21"/>
        </w:rPr>
      </w:pPr>
      <w:r>
        <w:rPr>
          <w:rFonts w:hint="eastAsia"/>
          <w:sz w:val="21"/>
          <w:szCs w:val="21"/>
        </w:rPr>
        <w:t>20、本基金开始办理申购、赎回；</w:t>
      </w:r>
    </w:p>
    <w:p>
      <w:pPr>
        <w:pStyle w:val="7"/>
        <w:spacing w:before="0" w:beforeAutospacing="0" w:after="0" w:afterAutospacing="0" w:line="360" w:lineRule="auto"/>
        <w:ind w:firstLine="420"/>
        <w:rPr>
          <w:sz w:val="21"/>
          <w:szCs w:val="21"/>
        </w:rPr>
      </w:pPr>
      <w:r>
        <w:rPr>
          <w:rFonts w:hint="eastAsia"/>
          <w:sz w:val="21"/>
          <w:szCs w:val="21"/>
        </w:rPr>
        <w:t>21、本基金发生巨额赎回并延期办理；</w:t>
      </w:r>
    </w:p>
    <w:p>
      <w:pPr>
        <w:pStyle w:val="7"/>
        <w:spacing w:before="0" w:beforeAutospacing="0" w:after="0" w:afterAutospacing="0" w:line="360" w:lineRule="auto"/>
        <w:ind w:firstLine="420"/>
        <w:rPr>
          <w:sz w:val="21"/>
          <w:szCs w:val="21"/>
        </w:rPr>
      </w:pPr>
      <w:r>
        <w:rPr>
          <w:rFonts w:hint="eastAsia"/>
          <w:sz w:val="21"/>
          <w:szCs w:val="21"/>
        </w:rPr>
        <w:t>22、本基金连续发生巨额赎回并暂停接受赎回申请或延缓支付赎回款项；</w:t>
      </w:r>
    </w:p>
    <w:p>
      <w:pPr>
        <w:pStyle w:val="7"/>
        <w:spacing w:before="0" w:beforeAutospacing="0" w:after="0" w:afterAutospacing="0" w:line="360" w:lineRule="auto"/>
        <w:ind w:firstLine="420"/>
        <w:rPr>
          <w:sz w:val="21"/>
          <w:szCs w:val="21"/>
        </w:rPr>
      </w:pPr>
      <w:r>
        <w:rPr>
          <w:rFonts w:hint="eastAsia"/>
          <w:sz w:val="21"/>
          <w:szCs w:val="21"/>
        </w:rPr>
        <w:t>23、本基金暂停接受申购、赎回申请或重新接受申购、赎回申请；</w:t>
      </w:r>
    </w:p>
    <w:p>
      <w:pPr>
        <w:pStyle w:val="7"/>
        <w:spacing w:before="0" w:beforeAutospacing="0" w:after="0" w:afterAutospacing="0" w:line="360" w:lineRule="auto"/>
        <w:ind w:firstLine="420"/>
        <w:rPr>
          <w:sz w:val="21"/>
          <w:szCs w:val="21"/>
        </w:rPr>
      </w:pPr>
      <w:r>
        <w:rPr>
          <w:rFonts w:hint="eastAsia"/>
          <w:sz w:val="21"/>
          <w:szCs w:val="21"/>
        </w:rPr>
        <w:t>24、发生涉及基金申购、赎回事项调整或潜在影响投资者赎回等重大事项时；</w:t>
      </w:r>
    </w:p>
    <w:p>
      <w:pPr>
        <w:pStyle w:val="7"/>
        <w:spacing w:before="0" w:beforeAutospacing="0" w:after="0" w:afterAutospacing="0" w:line="360" w:lineRule="auto"/>
        <w:ind w:firstLine="420"/>
        <w:rPr>
          <w:sz w:val="21"/>
          <w:szCs w:val="21"/>
        </w:rPr>
      </w:pPr>
      <w:r>
        <w:rPr>
          <w:rFonts w:hint="eastAsia"/>
          <w:sz w:val="21"/>
          <w:szCs w:val="21"/>
        </w:rPr>
        <w:t>25、基金管理人采用摆动定价机制进行估值；</w:t>
      </w:r>
    </w:p>
    <w:p>
      <w:pPr>
        <w:pStyle w:val="7"/>
        <w:spacing w:before="0" w:beforeAutospacing="0" w:after="0" w:afterAutospacing="0" w:line="360" w:lineRule="auto"/>
        <w:ind w:firstLine="420"/>
        <w:rPr>
          <w:sz w:val="21"/>
          <w:szCs w:val="21"/>
        </w:rPr>
      </w:pPr>
      <w:r>
        <w:rPr>
          <w:rFonts w:hint="eastAsia"/>
          <w:sz w:val="21"/>
          <w:szCs w:val="21"/>
        </w:rPr>
        <w:t>26、调整基金份额类别的设置；</w:t>
      </w:r>
    </w:p>
    <w:p>
      <w:pPr>
        <w:pStyle w:val="7"/>
        <w:spacing w:before="0" w:beforeAutospacing="0" w:after="0" w:afterAutospacing="0" w:line="360" w:lineRule="auto"/>
        <w:ind w:firstLine="420"/>
        <w:rPr>
          <w:sz w:val="21"/>
          <w:szCs w:val="21"/>
        </w:rPr>
      </w:pPr>
      <w:r>
        <w:rPr>
          <w:rFonts w:hint="eastAsia"/>
          <w:sz w:val="21"/>
          <w:szCs w:val="21"/>
        </w:rPr>
        <w:t>27、基金推出新业务或服务；</w:t>
      </w:r>
    </w:p>
    <w:p>
      <w:pPr>
        <w:pStyle w:val="7"/>
        <w:spacing w:before="0" w:beforeAutospacing="0" w:after="0" w:afterAutospacing="0" w:line="360" w:lineRule="auto"/>
        <w:ind w:firstLine="420"/>
        <w:rPr>
          <w:sz w:val="21"/>
          <w:szCs w:val="21"/>
        </w:rPr>
      </w:pPr>
      <w:r>
        <w:rPr>
          <w:rFonts w:hint="eastAsia"/>
          <w:sz w:val="21"/>
          <w:szCs w:val="21"/>
        </w:rPr>
        <w:t>28、《基金合同》生效三年后继续存续的，连续30个工作日、40个工作日及45个工作日出现基金份额持有人数量不满二百人或者基金资产净值低于五千万元情形的；</w:t>
      </w:r>
    </w:p>
    <w:p>
      <w:pPr>
        <w:pStyle w:val="7"/>
        <w:spacing w:before="0" w:beforeAutospacing="0" w:after="0" w:afterAutospacing="0" w:line="360" w:lineRule="auto"/>
        <w:ind w:firstLine="420"/>
        <w:rPr>
          <w:sz w:val="21"/>
          <w:szCs w:val="21"/>
        </w:rPr>
      </w:pPr>
      <w:r>
        <w:rPr>
          <w:rFonts w:hint="eastAsia"/>
          <w:sz w:val="21"/>
          <w:szCs w:val="21"/>
        </w:rPr>
        <w:t>29、基金信息披露义务人认为可能对基金份额持有人权益或者基金份额的价格产生重大影响的其他事项或中国证监会规定的和基金合同约定的其他事项。</w:t>
      </w:r>
    </w:p>
    <w:p>
      <w:pPr>
        <w:pStyle w:val="7"/>
        <w:spacing w:before="0" w:beforeAutospacing="0" w:after="0" w:afterAutospacing="0" w:line="360" w:lineRule="auto"/>
        <w:ind w:firstLine="420"/>
        <w:rPr>
          <w:sz w:val="21"/>
          <w:szCs w:val="21"/>
        </w:rPr>
      </w:pPr>
      <w:r>
        <w:rPr>
          <w:rFonts w:hint="eastAsia"/>
          <w:sz w:val="21"/>
          <w:szCs w:val="21"/>
        </w:rPr>
        <w:t>（八）澄清公告</w:t>
      </w:r>
    </w:p>
    <w:p>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pStyle w:val="7"/>
        <w:spacing w:before="0" w:beforeAutospacing="0" w:after="0" w:afterAutospacing="0" w:line="360" w:lineRule="auto"/>
        <w:ind w:firstLine="420"/>
        <w:rPr>
          <w:sz w:val="21"/>
          <w:szCs w:val="21"/>
        </w:rPr>
      </w:pPr>
      <w:r>
        <w:rPr>
          <w:rFonts w:hint="eastAsia"/>
          <w:sz w:val="21"/>
          <w:szCs w:val="21"/>
        </w:rPr>
        <w:t>（九）清算报告</w:t>
      </w:r>
    </w:p>
    <w:p>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（十）基金份额持有人大会决议</w:t>
      </w:r>
    </w:p>
    <w:p>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pPr>
        <w:pStyle w:val="7"/>
        <w:spacing w:before="0" w:beforeAutospacing="0" w:after="0" w:afterAutospacing="0" w:line="360" w:lineRule="auto"/>
        <w:ind w:firstLine="420"/>
        <w:rPr>
          <w:sz w:val="21"/>
          <w:szCs w:val="21"/>
        </w:rPr>
      </w:pPr>
      <w:r>
        <w:rPr>
          <w:rFonts w:hint="eastAsia"/>
          <w:sz w:val="21"/>
          <w:szCs w:val="21"/>
        </w:rPr>
        <w:t>（十一）投资股指期货、国债期货、股票期权的信息披露</w:t>
      </w:r>
    </w:p>
    <w:p>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pPr>
        <w:pStyle w:val="7"/>
        <w:spacing w:before="0" w:beforeAutospacing="0" w:after="0" w:afterAutospacing="0" w:line="360" w:lineRule="auto"/>
        <w:ind w:firstLine="420"/>
        <w:rPr>
          <w:sz w:val="21"/>
          <w:szCs w:val="21"/>
        </w:rPr>
      </w:pPr>
      <w:r>
        <w:rPr>
          <w:rFonts w:hint="eastAsia"/>
          <w:sz w:val="21"/>
          <w:szCs w:val="21"/>
        </w:rPr>
        <w:t>（十二）投资资产支持证券的信息披露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pStyle w:val="7"/>
        <w:spacing w:before="0" w:beforeAutospacing="0" w:after="0" w:afterAutospacing="0" w:line="360" w:lineRule="auto"/>
        <w:ind w:firstLine="420"/>
        <w:rPr>
          <w:sz w:val="21"/>
          <w:szCs w:val="21"/>
        </w:rPr>
      </w:pPr>
      <w:r>
        <w:rPr>
          <w:rFonts w:hint="eastAsia"/>
          <w:sz w:val="21"/>
          <w:szCs w:val="21"/>
        </w:rPr>
        <w:t>（十三）投资港股通标的股票的信息披露</w:t>
      </w:r>
    </w:p>
    <w:p>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pPr>
        <w:pStyle w:val="7"/>
        <w:spacing w:before="0" w:beforeAutospacing="0" w:after="0" w:afterAutospacing="0" w:line="360" w:lineRule="auto"/>
        <w:ind w:firstLine="420"/>
        <w:rPr>
          <w:sz w:val="21"/>
          <w:szCs w:val="21"/>
        </w:rPr>
      </w:pPr>
      <w:r>
        <w:rPr>
          <w:rFonts w:hint="eastAsia"/>
          <w:sz w:val="21"/>
          <w:szCs w:val="21"/>
        </w:rPr>
        <w:t>（十四）投资非公开发行股票的信息披露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pStyle w:val="7"/>
        <w:spacing w:before="0" w:beforeAutospacing="0" w:after="0" w:afterAutospacing="0" w:line="360" w:lineRule="auto"/>
        <w:ind w:firstLine="420"/>
        <w:rPr>
          <w:sz w:val="21"/>
          <w:szCs w:val="21"/>
        </w:rPr>
      </w:pPr>
      <w:r>
        <w:rPr>
          <w:rFonts w:hint="eastAsia"/>
          <w:sz w:val="21"/>
          <w:szCs w:val="21"/>
        </w:rPr>
        <w:t>（十五）参与融资和转融通证券出借业务的信息披露</w:t>
      </w:r>
    </w:p>
    <w:p>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pPr>
        <w:pStyle w:val="7"/>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pPr>
        <w:pStyle w:val="7"/>
        <w:spacing w:before="0" w:beforeAutospacing="0" w:after="0" w:afterAutospacing="0" w:line="360" w:lineRule="auto"/>
        <w:ind w:firstLine="420"/>
        <w:rPr>
          <w:sz w:val="21"/>
          <w:szCs w:val="21"/>
        </w:rPr>
      </w:pPr>
      <w:r>
        <w:rPr>
          <w:rFonts w:hint="eastAsia"/>
          <w:sz w:val="21"/>
          <w:szCs w:val="21"/>
        </w:rPr>
        <w:t>（十六）实施侧袋机制期间的信息披露</w:t>
      </w:r>
    </w:p>
    <w:p>
      <w:pPr>
        <w:pStyle w:val="7"/>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pPr>
        <w:pStyle w:val="7"/>
        <w:spacing w:before="0" w:beforeAutospacing="0" w:after="0" w:afterAutospacing="0" w:line="360" w:lineRule="auto"/>
        <w:ind w:firstLine="420"/>
        <w:rPr>
          <w:sz w:val="21"/>
          <w:szCs w:val="21"/>
        </w:rPr>
      </w:pPr>
      <w:r>
        <w:rPr>
          <w:rFonts w:hint="eastAsia"/>
          <w:sz w:val="21"/>
          <w:szCs w:val="21"/>
        </w:rPr>
        <w:t>（十七）发起资金认购份额报告</w:t>
      </w:r>
    </w:p>
    <w:p>
      <w:pPr>
        <w:pStyle w:val="7"/>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pStyle w:val="7"/>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pPr>
        <w:pStyle w:val="7"/>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1、不可抗力；</w:t>
      </w:r>
    </w:p>
    <w:p>
      <w:pPr>
        <w:pStyle w:val="7"/>
        <w:spacing w:before="0" w:beforeAutospacing="0" w:after="0" w:afterAutospacing="0" w:line="360" w:lineRule="auto"/>
        <w:ind w:firstLine="420"/>
        <w:rPr>
          <w:sz w:val="21"/>
          <w:szCs w:val="21"/>
        </w:rPr>
      </w:pPr>
      <w:r>
        <w:rPr>
          <w:rFonts w:hint="eastAsia"/>
          <w:sz w:val="21"/>
          <w:szCs w:val="21"/>
        </w:rPr>
        <w:t>2、发生暂停估值的情形；</w:t>
      </w:r>
    </w:p>
    <w:p>
      <w:pPr>
        <w:pStyle w:val="7"/>
        <w:spacing w:before="0" w:beforeAutospacing="0" w:after="0" w:afterAutospacing="0" w:line="360" w:lineRule="auto"/>
        <w:ind w:firstLine="420"/>
        <w:rPr>
          <w:sz w:val="21"/>
          <w:szCs w:val="21"/>
        </w:rPr>
      </w:pPr>
      <w:bookmarkStart w:id="166" w:name="chapter_level1_18_67_section_1_end"/>
      <w:bookmarkEnd w:id="166"/>
      <w:r>
        <w:rPr>
          <w:rFonts w:hint="eastAsia"/>
          <w:sz w:val="21"/>
          <w:szCs w:val="21"/>
        </w:rPr>
        <w:t>3、法律法规规定、中国证监会或基金合同认定的其他情形。</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7" w:name="chapter_level1_19_74784"/>
      <w:bookmarkStart w:id="168" w:name="_Toc176190860"/>
      <w:r>
        <w:rPr>
          <w:rFonts w:hint="eastAsia" w:ascii="宋体" w:hAnsi="宋体" w:eastAsia="宋体"/>
          <w:sz w:val="30"/>
        </w:rPr>
        <w:t>第十六部分 侧袋机制</w:t>
      </w:r>
      <w:bookmarkEnd w:id="167"/>
      <w:bookmarkEnd w:id="168"/>
    </w:p>
    <w:p>
      <w:pPr>
        <w:pStyle w:val="7"/>
        <w:spacing w:before="0" w:beforeAutospacing="0" w:after="0" w:afterAutospacing="0" w:line="360" w:lineRule="auto"/>
        <w:ind w:firstLine="420"/>
        <w:rPr>
          <w:sz w:val="21"/>
          <w:szCs w:val="21"/>
        </w:rPr>
      </w:pPr>
      <w:bookmarkStart w:id="169" w:name="chapter_level1_19_74784_section_1"/>
      <w:bookmarkEnd w:id="169"/>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（一）基金份额的申购与赎回</w:t>
      </w:r>
    </w:p>
    <w:p>
      <w:pPr>
        <w:pStyle w:val="7"/>
        <w:spacing w:before="0" w:beforeAutospacing="0" w:after="0" w:afterAutospacing="0" w:line="360" w:lineRule="auto"/>
        <w:ind w:firstLine="420"/>
        <w:rPr>
          <w:sz w:val="21"/>
          <w:szCs w:val="21"/>
        </w:rPr>
      </w:pPr>
      <w:r>
        <w:rPr>
          <w:rFonts w:hint="eastAsia"/>
          <w:sz w:val="21"/>
          <w:szCs w:val="21"/>
        </w:rPr>
        <w:t>1、侧袋机制实施期间，基金管理人不办理侧袋账户份额的申购、赎回和转换。基金份额持有人申请申购、赎回或转换侧袋账户份额的，该申购、赎回或转换申请将被拒绝。</w:t>
      </w:r>
    </w:p>
    <w:p>
      <w:pPr>
        <w:pStyle w:val="7"/>
        <w:spacing w:before="0" w:beforeAutospacing="0" w:after="0" w:afterAutospacing="0" w:line="360" w:lineRule="auto"/>
        <w:ind w:firstLine="420"/>
        <w:rPr>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pPr>
        <w:pStyle w:val="7"/>
        <w:spacing w:before="0" w:beforeAutospacing="0" w:after="0" w:afterAutospacing="0" w:line="360" w:lineRule="auto"/>
        <w:ind w:firstLine="420"/>
        <w:rPr>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pPr>
        <w:pStyle w:val="7"/>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pPr>
        <w:pStyle w:val="7"/>
        <w:spacing w:before="0" w:beforeAutospacing="0" w:after="0" w:afterAutospacing="0" w:line="360" w:lineRule="auto"/>
        <w:ind w:firstLine="420"/>
        <w:rPr>
          <w:sz w:val="21"/>
          <w:szCs w:val="21"/>
        </w:rPr>
      </w:pPr>
      <w:r>
        <w:rPr>
          <w:rFonts w:hint="eastAsia"/>
          <w:sz w:val="21"/>
          <w:szCs w:val="21"/>
        </w:rPr>
        <w:t>（二）基金份额的登记</w:t>
      </w:r>
    </w:p>
    <w:p>
      <w:pPr>
        <w:pStyle w:val="7"/>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pPr>
        <w:pStyle w:val="7"/>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p>
    <w:p>
      <w:pPr>
        <w:pStyle w:val="7"/>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p>
    <w:p>
      <w:pPr>
        <w:pStyle w:val="7"/>
        <w:spacing w:before="0" w:beforeAutospacing="0" w:after="0" w:afterAutospacing="0" w:line="360" w:lineRule="auto"/>
        <w:ind w:firstLine="420"/>
        <w:rPr>
          <w:sz w:val="21"/>
          <w:szCs w:val="21"/>
        </w:rPr>
      </w:pPr>
      <w:r>
        <w:rPr>
          <w:rFonts w:hint="eastAsia"/>
          <w:sz w:val="21"/>
          <w:szCs w:val="21"/>
        </w:rPr>
        <w:t>（三）基金的投资及业绩</w:t>
      </w:r>
    </w:p>
    <w:p>
      <w:pPr>
        <w:pStyle w:val="7"/>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pPr>
        <w:pStyle w:val="7"/>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p>
    <w:p>
      <w:pPr>
        <w:pStyle w:val="7"/>
        <w:spacing w:before="0" w:beforeAutospacing="0" w:after="0" w:afterAutospacing="0" w:line="360" w:lineRule="auto"/>
        <w:ind w:firstLine="420"/>
        <w:rPr>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pPr>
        <w:pStyle w:val="7"/>
        <w:spacing w:before="0" w:beforeAutospacing="0" w:after="0" w:afterAutospacing="0" w:line="360" w:lineRule="auto"/>
        <w:ind w:firstLine="420"/>
        <w:rPr>
          <w:sz w:val="21"/>
          <w:szCs w:val="21"/>
        </w:rPr>
      </w:pPr>
      <w:r>
        <w:rPr>
          <w:rFonts w:hint="eastAsia"/>
          <w:sz w:val="21"/>
          <w:szCs w:val="21"/>
        </w:rPr>
        <w:t>（四）基金的估值</w:t>
      </w:r>
    </w:p>
    <w:p>
      <w:pPr>
        <w:pStyle w:val="7"/>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pPr>
        <w:pStyle w:val="7"/>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pPr>
        <w:pStyle w:val="7"/>
        <w:spacing w:before="0" w:beforeAutospacing="0" w:after="0" w:afterAutospacing="0" w:line="360" w:lineRule="auto"/>
        <w:ind w:firstLine="420"/>
        <w:rPr>
          <w:sz w:val="21"/>
          <w:szCs w:val="21"/>
        </w:rPr>
      </w:pPr>
      <w:r>
        <w:rPr>
          <w:rFonts w:hint="eastAsia"/>
          <w:sz w:val="21"/>
          <w:szCs w:val="21"/>
        </w:rPr>
        <w:t>（五）基金的费用</w:t>
      </w:r>
    </w:p>
    <w:p>
      <w:pPr>
        <w:pStyle w:val="7"/>
        <w:spacing w:before="0" w:beforeAutospacing="0" w:after="0" w:afterAutospacing="0" w:line="360" w:lineRule="auto"/>
        <w:ind w:firstLine="420"/>
        <w:rPr>
          <w:sz w:val="21"/>
          <w:szCs w:val="21"/>
        </w:rPr>
      </w:pPr>
      <w:r>
        <w:rPr>
          <w:rFonts w:hint="eastAsia"/>
          <w:sz w:val="21"/>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pPr>
        <w:pStyle w:val="7"/>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p>
    <w:p>
      <w:pPr>
        <w:pStyle w:val="7"/>
        <w:spacing w:before="0" w:beforeAutospacing="0" w:after="0" w:afterAutospacing="0" w:line="360" w:lineRule="auto"/>
        <w:ind w:firstLine="420"/>
        <w:rPr>
          <w:sz w:val="21"/>
          <w:szCs w:val="21"/>
        </w:rPr>
      </w:pPr>
      <w:r>
        <w:rPr>
          <w:rFonts w:hint="eastAsia"/>
          <w:sz w:val="21"/>
          <w:szCs w:val="21"/>
        </w:rPr>
        <w:t>（六）基金的收益分配</w:t>
      </w:r>
    </w:p>
    <w:p>
      <w:pPr>
        <w:pStyle w:val="7"/>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pPr>
        <w:pStyle w:val="7"/>
        <w:spacing w:before="0" w:beforeAutospacing="0" w:after="0" w:afterAutospacing="0" w:line="360" w:lineRule="auto"/>
        <w:ind w:firstLine="420"/>
        <w:rPr>
          <w:sz w:val="21"/>
          <w:szCs w:val="21"/>
        </w:rPr>
      </w:pPr>
      <w:r>
        <w:rPr>
          <w:rFonts w:hint="eastAsia"/>
          <w:sz w:val="21"/>
          <w:szCs w:val="21"/>
        </w:rPr>
        <w:t>（七）基金的信息披露</w:t>
      </w:r>
    </w:p>
    <w:p>
      <w:pPr>
        <w:pStyle w:val="7"/>
        <w:spacing w:before="0" w:beforeAutospacing="0" w:after="0" w:afterAutospacing="0" w:line="360" w:lineRule="auto"/>
        <w:ind w:firstLine="420"/>
        <w:rPr>
          <w:sz w:val="21"/>
          <w:szCs w:val="21"/>
        </w:rPr>
      </w:pPr>
      <w:r>
        <w:rPr>
          <w:rFonts w:hint="eastAsia"/>
          <w:sz w:val="21"/>
          <w:szCs w:val="21"/>
        </w:rPr>
        <w:t>1、基金净值信息</w:t>
      </w:r>
    </w:p>
    <w:p>
      <w:pPr>
        <w:pStyle w:val="7"/>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p>
    <w:p>
      <w:pPr>
        <w:pStyle w:val="7"/>
        <w:spacing w:before="0" w:beforeAutospacing="0" w:after="0" w:afterAutospacing="0" w:line="360" w:lineRule="auto"/>
        <w:ind w:firstLine="420"/>
        <w:rPr>
          <w:sz w:val="21"/>
          <w:szCs w:val="21"/>
        </w:rPr>
      </w:pPr>
      <w:r>
        <w:rPr>
          <w:rFonts w:hint="eastAsia"/>
          <w:sz w:val="21"/>
          <w:szCs w:val="21"/>
        </w:rPr>
        <w:t>2、定期报告</w:t>
      </w:r>
    </w:p>
    <w:p>
      <w:pPr>
        <w:pStyle w:val="7"/>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pPr>
        <w:pStyle w:val="7"/>
        <w:spacing w:before="0" w:beforeAutospacing="0" w:after="0" w:afterAutospacing="0" w:line="360" w:lineRule="auto"/>
        <w:ind w:firstLine="420"/>
        <w:rPr>
          <w:sz w:val="21"/>
          <w:szCs w:val="21"/>
        </w:rPr>
      </w:pPr>
      <w:r>
        <w:rPr>
          <w:rFonts w:hint="eastAsia"/>
          <w:sz w:val="21"/>
          <w:szCs w:val="21"/>
        </w:rPr>
        <w:t>（1）侧袋账户的基金代码、基金名称、侧袋账户成立日期等基本信息；</w:t>
      </w:r>
    </w:p>
    <w:p>
      <w:pPr>
        <w:pStyle w:val="7"/>
        <w:spacing w:before="0" w:beforeAutospacing="0" w:after="0" w:afterAutospacing="0" w:line="360" w:lineRule="auto"/>
        <w:ind w:firstLine="420"/>
        <w:rPr>
          <w:sz w:val="21"/>
          <w:szCs w:val="21"/>
        </w:rPr>
      </w:pPr>
      <w:r>
        <w:rPr>
          <w:rFonts w:hint="eastAsia"/>
          <w:sz w:val="21"/>
          <w:szCs w:val="21"/>
        </w:rPr>
        <w:t>（2）侧袋账户的初始资产、初始负债；</w:t>
      </w:r>
    </w:p>
    <w:p>
      <w:pPr>
        <w:pStyle w:val="7"/>
        <w:spacing w:before="0" w:beforeAutospacing="0" w:after="0" w:afterAutospacing="0" w:line="360" w:lineRule="auto"/>
        <w:ind w:firstLine="420"/>
        <w:rPr>
          <w:sz w:val="21"/>
          <w:szCs w:val="21"/>
        </w:rPr>
      </w:pPr>
      <w:r>
        <w:rPr>
          <w:rFonts w:hint="eastAsia"/>
          <w:sz w:val="21"/>
          <w:szCs w:val="21"/>
        </w:rPr>
        <w:t>（3）特定资产的名称、代码、发行人等基本信息；</w:t>
      </w:r>
    </w:p>
    <w:p>
      <w:pPr>
        <w:pStyle w:val="7"/>
        <w:spacing w:before="0" w:beforeAutospacing="0" w:after="0" w:afterAutospacing="0" w:line="360" w:lineRule="auto"/>
        <w:ind w:firstLine="420"/>
        <w:rPr>
          <w:sz w:val="21"/>
          <w:szCs w:val="21"/>
        </w:rPr>
      </w:pPr>
      <w:r>
        <w:rPr>
          <w:rFonts w:hint="eastAsia"/>
          <w:sz w:val="21"/>
          <w:szCs w:val="21"/>
        </w:rPr>
        <w:t>（4）报告期内的特定资产处置进展情况、与处置特定资产相关的费用情况及其他与特定资产状况相关的信息；</w:t>
      </w:r>
    </w:p>
    <w:p>
      <w:pPr>
        <w:pStyle w:val="7"/>
        <w:spacing w:before="0" w:beforeAutospacing="0" w:after="0" w:afterAutospacing="0" w:line="360" w:lineRule="auto"/>
        <w:ind w:firstLine="420"/>
        <w:rPr>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pPr>
        <w:pStyle w:val="7"/>
        <w:spacing w:before="0" w:beforeAutospacing="0" w:after="0" w:afterAutospacing="0" w:line="360" w:lineRule="auto"/>
        <w:ind w:firstLine="420"/>
        <w:rPr>
          <w:sz w:val="21"/>
          <w:szCs w:val="21"/>
        </w:rPr>
      </w:pPr>
      <w:r>
        <w:rPr>
          <w:rFonts w:hint="eastAsia"/>
          <w:sz w:val="21"/>
          <w:szCs w:val="21"/>
        </w:rPr>
        <w:t>（6）可能对投资者利益存在重大影响的其他情况及相关风险提示。</w:t>
      </w:r>
    </w:p>
    <w:p>
      <w:pPr>
        <w:pStyle w:val="7"/>
        <w:spacing w:before="0" w:beforeAutospacing="0" w:after="0" w:afterAutospacing="0" w:line="360" w:lineRule="auto"/>
        <w:ind w:firstLine="420"/>
        <w:rPr>
          <w:sz w:val="21"/>
          <w:szCs w:val="21"/>
        </w:rPr>
      </w:pPr>
      <w:r>
        <w:rPr>
          <w:rFonts w:hint="eastAsia"/>
          <w:sz w:val="21"/>
          <w:szCs w:val="21"/>
        </w:rPr>
        <w:t>3、临时报告</w:t>
      </w:r>
    </w:p>
    <w:p>
      <w:pPr>
        <w:pStyle w:val="7"/>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pPr>
        <w:pStyle w:val="7"/>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p>
    <w:p>
      <w:pPr>
        <w:pStyle w:val="7"/>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pPr>
        <w:pStyle w:val="7"/>
        <w:spacing w:before="0" w:beforeAutospacing="0" w:after="0" w:afterAutospacing="0" w:line="360" w:lineRule="auto"/>
        <w:ind w:firstLine="420"/>
        <w:rPr>
          <w:sz w:val="21"/>
          <w:szCs w:val="21"/>
        </w:rPr>
      </w:pPr>
      <w:r>
        <w:rPr>
          <w:rFonts w:hint="eastAsia"/>
          <w:sz w:val="21"/>
          <w:szCs w:val="21"/>
        </w:rPr>
        <w:t>（八）特定资产处置清算</w:t>
      </w:r>
    </w:p>
    <w:p>
      <w:pPr>
        <w:pStyle w:val="7"/>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pPr>
        <w:pStyle w:val="7"/>
        <w:spacing w:before="0" w:beforeAutospacing="0" w:after="0" w:afterAutospacing="0" w:line="360" w:lineRule="auto"/>
        <w:ind w:firstLine="420"/>
        <w:rPr>
          <w:sz w:val="21"/>
          <w:szCs w:val="21"/>
        </w:rPr>
      </w:pPr>
      <w:r>
        <w:rPr>
          <w:rFonts w:hint="eastAsia"/>
          <w:sz w:val="21"/>
          <w:szCs w:val="21"/>
        </w:rPr>
        <w:t>（九）侧袋的审计</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基金管理人应当在启用侧袋机制时，就特定资产认定的相关事宜取得符合《中华人民共和国证券法》规定的会计师事务所的专业意见。</w:t>
      </w:r>
    </w:p>
    <w:p>
      <w:pPr>
        <w:pStyle w:val="7"/>
        <w:spacing w:before="0" w:beforeAutospacing="0" w:after="0" w:afterAutospacing="0" w:line="360" w:lineRule="auto"/>
        <w:ind w:firstLine="420"/>
        <w:rPr>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pPr>
        <w:pStyle w:val="7"/>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p>
    <w:p>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70" w:name="chapter_level1_19_74784_section_1_end"/>
      <w:bookmarkEnd w:id="170"/>
      <w:r>
        <w:rPr>
          <w:rStyle w:val="11"/>
          <w:rFonts w:hint="eastAsia"/>
          <w:sz w:val="21"/>
          <w:szCs w:val="21"/>
        </w:rPr>
        <w:t>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1" w:name="chapter_level1_20_68"/>
      <w:bookmarkStart w:id="172" w:name="_Toc176190861"/>
      <w:r>
        <w:rPr>
          <w:rFonts w:hint="eastAsia" w:ascii="宋体" w:hAnsi="宋体" w:eastAsia="宋体"/>
          <w:sz w:val="30"/>
        </w:rPr>
        <w:t>第十七部分  风险揭示</w:t>
      </w:r>
      <w:bookmarkEnd w:id="171"/>
      <w:bookmarkEnd w:id="172"/>
    </w:p>
    <w:p>
      <w:pPr>
        <w:pStyle w:val="7"/>
        <w:spacing w:before="0" w:beforeAutospacing="0" w:after="0" w:afterAutospacing="0" w:line="360" w:lineRule="auto"/>
        <w:ind w:firstLine="420"/>
        <w:rPr>
          <w:sz w:val="21"/>
          <w:szCs w:val="21"/>
        </w:rPr>
      </w:pPr>
      <w:bookmarkStart w:id="173" w:name="chapter_level1_20_68_section_1"/>
      <w:bookmarkEnd w:id="173"/>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1、市场风险</w:t>
      </w:r>
    </w:p>
    <w:p>
      <w:pPr>
        <w:pStyle w:val="7"/>
        <w:spacing w:before="0" w:beforeAutospacing="0" w:after="0" w:afterAutospacing="0" w:line="360" w:lineRule="auto"/>
        <w:ind w:firstLine="420"/>
        <w:rPr>
          <w:sz w:val="21"/>
          <w:szCs w:val="21"/>
        </w:rPr>
      </w:pPr>
      <w:r>
        <w:rPr>
          <w:rFonts w:hint="eastAsia"/>
          <w:sz w:val="21"/>
          <w:szCs w:val="21"/>
        </w:rPr>
        <w:t>证券市场价格受到经济因素、政治因素、投资心理和交易制度等各种因素的影响，导致基金收益水平变化而产生风险，主要包括：</w:t>
      </w:r>
    </w:p>
    <w:p>
      <w:pPr>
        <w:pStyle w:val="7"/>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pPr>
        <w:pStyle w:val="7"/>
        <w:spacing w:before="0" w:beforeAutospacing="0" w:after="0" w:afterAutospacing="0" w:line="360" w:lineRule="auto"/>
        <w:ind w:firstLine="420"/>
        <w:rPr>
          <w:sz w:val="21"/>
          <w:szCs w:val="21"/>
        </w:rPr>
      </w:pPr>
      <w:r>
        <w:rPr>
          <w:rFonts w:hint="eastAsia"/>
          <w:sz w:val="21"/>
          <w:szCs w:val="21"/>
        </w:rPr>
        <w:t>（2）经济周期风险。随经济运行的周期性变化，证券市场的收益水平也呈周期性变化。本基金主要投资于股票，收益水平也会随之变化，从而产生风险。</w:t>
      </w:r>
    </w:p>
    <w:p>
      <w:pPr>
        <w:pStyle w:val="7"/>
        <w:spacing w:before="0" w:beforeAutospacing="0" w:after="0" w:afterAutospacing="0" w:line="360" w:lineRule="auto"/>
        <w:ind w:firstLine="420"/>
        <w:rPr>
          <w:sz w:val="21"/>
          <w:szCs w:val="21"/>
        </w:rPr>
      </w:pPr>
      <w:r>
        <w:rPr>
          <w:rFonts w:hint="eastAsia"/>
          <w:sz w:val="21"/>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pPr>
        <w:pStyle w:val="7"/>
        <w:spacing w:before="0" w:beforeAutospacing="0" w:after="0" w:afterAutospacing="0" w:line="360" w:lineRule="auto"/>
        <w:ind w:firstLine="420"/>
        <w:rPr>
          <w:sz w:val="21"/>
          <w:szCs w:val="21"/>
        </w:rPr>
      </w:pPr>
      <w:r>
        <w:rPr>
          <w:rFonts w:hint="eastAsia"/>
          <w:sz w:val="21"/>
          <w:szCs w:val="21"/>
        </w:rPr>
        <w:t>（4）购买力风险。基金的利润将主要通过现金形式来分配，而现金可能因为通货膨胀的影响而导致购买力下降，从而使基金的实际收益下降。</w:t>
      </w:r>
    </w:p>
    <w:p>
      <w:pPr>
        <w:pStyle w:val="7"/>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pPr>
        <w:pStyle w:val="7"/>
        <w:spacing w:before="0" w:beforeAutospacing="0" w:after="0" w:afterAutospacing="0" w:line="360" w:lineRule="auto"/>
        <w:ind w:firstLine="420"/>
        <w:rPr>
          <w:sz w:val="21"/>
          <w:szCs w:val="21"/>
        </w:rPr>
      </w:pPr>
      <w:r>
        <w:rPr>
          <w:rFonts w:hint="eastAsia"/>
          <w:sz w:val="21"/>
          <w:szCs w:val="21"/>
        </w:rPr>
        <w:t>（6）信用风险。基金所投资债券的发行人如出现违约、无法支付到期本息，或由于债券发行人信用等级降低导致债券价格下降，将造成基金资产损失。</w:t>
      </w:r>
    </w:p>
    <w:p>
      <w:pPr>
        <w:pStyle w:val="7"/>
        <w:spacing w:before="0" w:beforeAutospacing="0" w:after="0" w:afterAutospacing="0" w:line="360" w:lineRule="auto"/>
        <w:ind w:firstLine="420"/>
        <w:rPr>
          <w:sz w:val="21"/>
          <w:szCs w:val="21"/>
        </w:rPr>
      </w:pPr>
      <w:r>
        <w:rPr>
          <w:rFonts w:hint="eastAsia"/>
          <w:sz w:val="21"/>
          <w:szCs w:val="21"/>
        </w:rPr>
        <w:t>（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pStyle w:val="7"/>
        <w:spacing w:before="0" w:beforeAutospacing="0" w:after="0" w:afterAutospacing="0" w:line="360" w:lineRule="auto"/>
        <w:ind w:firstLine="420"/>
        <w:rPr>
          <w:sz w:val="21"/>
          <w:szCs w:val="21"/>
        </w:rPr>
      </w:pPr>
      <w:r>
        <w:rPr>
          <w:rFonts w:hint="eastAsia"/>
          <w:sz w:val="21"/>
          <w:szCs w:val="21"/>
        </w:rPr>
        <w:t>（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pPr>
        <w:pStyle w:val="7"/>
        <w:spacing w:before="0" w:beforeAutospacing="0" w:after="0" w:afterAutospacing="0" w:line="360" w:lineRule="auto"/>
        <w:ind w:firstLine="420"/>
        <w:rPr>
          <w:sz w:val="21"/>
          <w:szCs w:val="21"/>
        </w:rPr>
      </w:pPr>
      <w:r>
        <w:rPr>
          <w:rFonts w:hint="eastAsia"/>
          <w:sz w:val="21"/>
          <w:szCs w:val="21"/>
        </w:rPr>
        <w:t>2、管理风险</w:t>
      </w:r>
    </w:p>
    <w:p>
      <w:pPr>
        <w:pStyle w:val="7"/>
        <w:spacing w:before="0" w:beforeAutospacing="0" w:after="0" w:afterAutospacing="0" w:line="360" w:lineRule="auto"/>
        <w:ind w:firstLine="420"/>
        <w:rPr>
          <w:sz w:val="21"/>
          <w:szCs w:val="21"/>
        </w:rPr>
      </w:pPr>
      <w:r>
        <w:rPr>
          <w:rFonts w:hint="eastAsia"/>
          <w:sz w:val="21"/>
          <w:szCs w:val="21"/>
        </w:rPr>
        <w:t>基金运作过程中由于基金投资策略、人为因素、管理系统设置不当造成操作失误或基金管理人内部失控而可能产生的损失。管理风险包括：</w:t>
      </w:r>
    </w:p>
    <w:p>
      <w:pPr>
        <w:pStyle w:val="7"/>
        <w:spacing w:before="0" w:beforeAutospacing="0" w:after="0" w:afterAutospacing="0" w:line="360" w:lineRule="auto"/>
        <w:ind w:firstLine="420"/>
        <w:rPr>
          <w:sz w:val="21"/>
          <w:szCs w:val="21"/>
        </w:rPr>
      </w:pPr>
      <w:r>
        <w:rPr>
          <w:rFonts w:hint="eastAsia"/>
          <w:sz w:val="21"/>
          <w:szCs w:val="21"/>
        </w:rPr>
        <w:t>（1）决策风险：指基金投资的投资策略制定、投资决策执行和投资绩效监督检查过程中，由于决策失误而给基金资产造成的可能的损失；</w:t>
      </w:r>
    </w:p>
    <w:p>
      <w:pPr>
        <w:pStyle w:val="7"/>
        <w:spacing w:before="0" w:beforeAutospacing="0" w:after="0" w:afterAutospacing="0" w:line="360" w:lineRule="auto"/>
        <w:ind w:firstLine="420"/>
        <w:rPr>
          <w:sz w:val="21"/>
          <w:szCs w:val="21"/>
        </w:rPr>
      </w:pPr>
      <w:r>
        <w:rPr>
          <w:rFonts w:hint="eastAsia"/>
          <w:sz w:val="21"/>
          <w:szCs w:val="21"/>
        </w:rPr>
        <w:t>（2）操作风险：指基金投资决策执行中，由于投资指令不明晰、交易操作失误等人为因素而可能导致的损失；</w:t>
      </w:r>
    </w:p>
    <w:p>
      <w:pPr>
        <w:pStyle w:val="7"/>
        <w:spacing w:before="0" w:beforeAutospacing="0" w:after="0" w:afterAutospacing="0" w:line="360" w:lineRule="auto"/>
        <w:ind w:firstLine="420"/>
        <w:rPr>
          <w:sz w:val="21"/>
          <w:szCs w:val="21"/>
        </w:rPr>
      </w:pPr>
      <w:r>
        <w:rPr>
          <w:rFonts w:hint="eastAsia"/>
          <w:sz w:val="21"/>
          <w:szCs w:val="21"/>
        </w:rPr>
        <w:t>（3）技术风险：是指基金管理人管理信息系统设置不当等因素而可能造成的损失。</w:t>
      </w:r>
    </w:p>
    <w:p>
      <w:pPr>
        <w:pStyle w:val="7"/>
        <w:spacing w:before="0" w:beforeAutospacing="0" w:after="0" w:afterAutospacing="0" w:line="360" w:lineRule="auto"/>
        <w:ind w:firstLine="420"/>
        <w:rPr>
          <w:sz w:val="21"/>
          <w:szCs w:val="21"/>
        </w:rPr>
      </w:pPr>
      <w:r>
        <w:rPr>
          <w:rFonts w:hint="eastAsia"/>
          <w:sz w:val="21"/>
          <w:szCs w:val="21"/>
        </w:rPr>
        <w:t>3、流动性风险</w:t>
      </w:r>
    </w:p>
    <w:p>
      <w:pPr>
        <w:pStyle w:val="7"/>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pPr>
        <w:pStyle w:val="7"/>
        <w:spacing w:before="0" w:beforeAutospacing="0" w:after="0" w:afterAutospacing="0" w:line="360" w:lineRule="auto"/>
        <w:ind w:firstLine="420"/>
        <w:rPr>
          <w:sz w:val="21"/>
          <w:szCs w:val="21"/>
        </w:rPr>
      </w:pPr>
      <w:r>
        <w:rPr>
          <w:rFonts w:hint="eastAsia"/>
          <w:sz w:val="21"/>
          <w:szCs w:val="21"/>
        </w:rPr>
        <w:t>（1）基金申购、赎回安排</w:t>
      </w:r>
    </w:p>
    <w:p>
      <w:pPr>
        <w:pStyle w:val="7"/>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pPr>
        <w:pStyle w:val="7"/>
        <w:spacing w:before="0" w:beforeAutospacing="0" w:after="0" w:afterAutospacing="0" w:line="360" w:lineRule="auto"/>
        <w:ind w:firstLine="420"/>
        <w:rPr>
          <w:sz w:val="21"/>
          <w:szCs w:val="21"/>
        </w:rPr>
      </w:pPr>
      <w:r>
        <w:rPr>
          <w:rFonts w:hint="eastAsia"/>
          <w:sz w:val="21"/>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pStyle w:val="7"/>
        <w:spacing w:before="0" w:beforeAutospacing="0" w:after="0" w:afterAutospacing="0" w:line="360" w:lineRule="auto"/>
        <w:ind w:firstLine="420"/>
        <w:rPr>
          <w:sz w:val="21"/>
          <w:szCs w:val="21"/>
        </w:rPr>
      </w:pPr>
      <w:r>
        <w:rPr>
          <w:rFonts w:hint="eastAsia"/>
          <w:sz w:val="21"/>
          <w:szCs w:val="21"/>
        </w:rPr>
        <w:t>（3）巨额赎回情形下的流动性风险管理措施</w:t>
      </w:r>
    </w:p>
    <w:p>
      <w:pPr>
        <w:pStyle w:val="7"/>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pPr>
        <w:pStyle w:val="7"/>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7"/>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7"/>
        <w:spacing w:before="0" w:beforeAutospacing="0" w:after="0" w:afterAutospacing="0" w:line="360" w:lineRule="auto"/>
        <w:ind w:firstLine="420"/>
        <w:rPr>
          <w:sz w:val="21"/>
          <w:szCs w:val="21"/>
        </w:rPr>
      </w:pPr>
      <w:r>
        <w:rPr>
          <w:rFonts w:hint="eastAsia"/>
          <w:sz w:val="21"/>
          <w:szCs w:val="21"/>
        </w:rPr>
        <w:t>4、合规性风险</w:t>
      </w:r>
    </w:p>
    <w:p>
      <w:pPr>
        <w:pStyle w:val="7"/>
        <w:spacing w:before="0" w:beforeAutospacing="0" w:after="0" w:afterAutospacing="0" w:line="360" w:lineRule="auto"/>
        <w:ind w:firstLine="420"/>
        <w:rPr>
          <w:sz w:val="21"/>
          <w:szCs w:val="21"/>
        </w:rPr>
      </w:pPr>
      <w:r>
        <w:rPr>
          <w:rFonts w:hint="eastAsia"/>
          <w:sz w:val="21"/>
          <w:szCs w:val="21"/>
        </w:rPr>
        <w:t>指基金管理或运作过程中，违反国家法律、法规的规定，或者基金投资违反法规及基金合同有关规定的风险。</w:t>
      </w:r>
    </w:p>
    <w:p>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pPr>
        <w:pStyle w:val="7"/>
        <w:spacing w:before="0" w:beforeAutospacing="0" w:after="0" w:afterAutospacing="0" w:line="360" w:lineRule="auto"/>
        <w:ind w:firstLine="420"/>
        <w:rPr>
          <w:sz w:val="21"/>
          <w:szCs w:val="21"/>
        </w:rPr>
      </w:pPr>
      <w:r>
        <w:rPr>
          <w:rFonts w:hint="eastAsia"/>
          <w:sz w:val="21"/>
          <w:szCs w:val="21"/>
        </w:rPr>
        <w:t>1、被动投资的风险</w:t>
      </w:r>
    </w:p>
    <w:p>
      <w:pPr>
        <w:pStyle w:val="7"/>
        <w:spacing w:before="0" w:beforeAutospacing="0" w:after="0" w:afterAutospacing="0" w:line="360" w:lineRule="auto"/>
        <w:ind w:firstLine="420"/>
        <w:rPr>
          <w:sz w:val="21"/>
          <w:szCs w:val="21"/>
        </w:rPr>
      </w:pPr>
      <w:r>
        <w:rPr>
          <w:rFonts w:hint="eastAsia"/>
          <w:sz w:val="21"/>
          <w:szCs w:val="21"/>
        </w:rPr>
        <w:t>（1）标的指数的风险</w:t>
      </w:r>
    </w:p>
    <w:p>
      <w:pPr>
        <w:pStyle w:val="7"/>
        <w:spacing w:before="0" w:beforeAutospacing="0" w:after="0" w:afterAutospacing="0" w:line="360" w:lineRule="auto"/>
        <w:ind w:firstLine="420"/>
        <w:rPr>
          <w:sz w:val="21"/>
          <w:szCs w:val="21"/>
        </w:rPr>
      </w:pPr>
      <w:r>
        <w:rPr>
          <w:rFonts w:hint="eastAsia"/>
          <w:sz w:val="21"/>
          <w:szCs w:val="21"/>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pPr>
        <w:pStyle w:val="7"/>
        <w:spacing w:before="0" w:beforeAutospacing="0" w:after="0" w:afterAutospacing="0" w:line="360" w:lineRule="auto"/>
        <w:ind w:firstLine="420"/>
        <w:rPr>
          <w:sz w:val="21"/>
          <w:szCs w:val="21"/>
        </w:rPr>
      </w:pPr>
      <w:r>
        <w:rPr>
          <w:rFonts w:hint="eastAsia"/>
          <w:sz w:val="21"/>
          <w:szCs w:val="21"/>
        </w:rPr>
        <w:t>（2）标的指数下跌的风险</w:t>
      </w:r>
    </w:p>
    <w:p>
      <w:pPr>
        <w:pStyle w:val="7"/>
        <w:spacing w:before="0" w:beforeAutospacing="0" w:after="0" w:afterAutospacing="0" w:line="360" w:lineRule="auto"/>
        <w:ind w:firstLine="420"/>
        <w:rPr>
          <w:sz w:val="21"/>
          <w:szCs w:val="21"/>
        </w:rPr>
      </w:pPr>
      <w:r>
        <w:rPr>
          <w:rFonts w:hint="eastAsia"/>
          <w:sz w:val="21"/>
          <w:szCs w:val="21"/>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pPr>
        <w:pStyle w:val="7"/>
        <w:spacing w:before="0" w:beforeAutospacing="0" w:after="0" w:afterAutospacing="0" w:line="360" w:lineRule="auto"/>
        <w:ind w:firstLine="420"/>
        <w:rPr>
          <w:sz w:val="21"/>
          <w:szCs w:val="21"/>
        </w:rPr>
      </w:pPr>
      <w:r>
        <w:rPr>
          <w:rFonts w:hint="eastAsia"/>
          <w:sz w:val="21"/>
          <w:szCs w:val="21"/>
        </w:rPr>
        <w:t>（3）跟踪偏离的风险</w:t>
      </w:r>
    </w:p>
    <w:p>
      <w:pPr>
        <w:pStyle w:val="7"/>
        <w:spacing w:before="0" w:beforeAutospacing="0" w:after="0" w:afterAutospacing="0" w:line="360" w:lineRule="auto"/>
        <w:ind w:firstLine="420"/>
        <w:rPr>
          <w:sz w:val="21"/>
          <w:szCs w:val="21"/>
        </w:rPr>
      </w:pPr>
      <w:r>
        <w:rPr>
          <w:rFonts w:hint="eastAsia"/>
          <w:sz w:val="21"/>
          <w:szCs w:val="21"/>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pPr>
        <w:pStyle w:val="7"/>
        <w:spacing w:before="0" w:beforeAutospacing="0" w:after="0" w:afterAutospacing="0" w:line="360" w:lineRule="auto"/>
        <w:ind w:firstLine="420"/>
        <w:rPr>
          <w:sz w:val="21"/>
          <w:szCs w:val="21"/>
        </w:rPr>
      </w:pPr>
      <w:r>
        <w:rPr>
          <w:rFonts w:hint="eastAsia"/>
          <w:sz w:val="21"/>
          <w:szCs w:val="21"/>
        </w:rPr>
        <w:t>（4）标的指数变更的风险</w:t>
      </w:r>
    </w:p>
    <w:p>
      <w:pPr>
        <w:pStyle w:val="7"/>
        <w:spacing w:before="0" w:beforeAutospacing="0" w:after="0" w:afterAutospacing="0" w:line="360" w:lineRule="auto"/>
        <w:ind w:firstLine="420"/>
        <w:rPr>
          <w:sz w:val="21"/>
          <w:szCs w:val="21"/>
        </w:rPr>
      </w:pPr>
      <w:r>
        <w:rPr>
          <w:rFonts w:hint="eastAsia"/>
          <w:sz w:val="21"/>
          <w:szCs w:val="21"/>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pPr>
        <w:pStyle w:val="7"/>
        <w:spacing w:before="0" w:beforeAutospacing="0" w:after="0" w:afterAutospacing="0" w:line="360" w:lineRule="auto"/>
        <w:ind w:firstLine="420"/>
        <w:rPr>
          <w:sz w:val="21"/>
          <w:szCs w:val="21"/>
        </w:rPr>
      </w:pPr>
      <w:r>
        <w:rPr>
          <w:rFonts w:hint="eastAsia"/>
          <w:sz w:val="21"/>
          <w:szCs w:val="21"/>
        </w:rPr>
        <w:t>（5）指数编制机构停止服务的风险</w:t>
      </w:r>
    </w:p>
    <w:p>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7"/>
        <w:spacing w:before="0" w:beforeAutospacing="0" w:after="0" w:afterAutospacing="0" w:line="360" w:lineRule="auto"/>
        <w:ind w:firstLine="420"/>
        <w:rPr>
          <w:sz w:val="21"/>
          <w:szCs w:val="21"/>
        </w:rPr>
      </w:pPr>
      <w:r>
        <w:rPr>
          <w:rFonts w:hint="eastAsia"/>
          <w:sz w:val="21"/>
          <w:szCs w:val="21"/>
        </w:rPr>
        <w:t>（6）成份股停牌的风险</w:t>
      </w:r>
    </w:p>
    <w:p>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pPr>
        <w:pStyle w:val="7"/>
        <w:spacing w:before="0" w:beforeAutospacing="0" w:after="0" w:afterAutospacing="0" w:line="360" w:lineRule="auto"/>
        <w:ind w:firstLine="420"/>
        <w:rPr>
          <w:sz w:val="21"/>
          <w:szCs w:val="21"/>
        </w:rPr>
      </w:pPr>
      <w:r>
        <w:rPr>
          <w:rFonts w:hint="eastAsia"/>
          <w:sz w:val="21"/>
          <w:szCs w:val="21"/>
        </w:rPr>
        <w:t>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pPr>
        <w:pStyle w:val="7"/>
        <w:spacing w:before="0" w:beforeAutospacing="0" w:after="0" w:afterAutospacing="0" w:line="360" w:lineRule="auto"/>
        <w:ind w:firstLine="420"/>
        <w:rPr>
          <w:sz w:val="21"/>
          <w:szCs w:val="21"/>
        </w:rPr>
      </w:pPr>
      <w:r>
        <w:rPr>
          <w:rFonts w:hint="eastAsia"/>
          <w:sz w:val="21"/>
          <w:szCs w:val="21"/>
        </w:rPr>
        <w:t>（7）成份股退市的风险</w:t>
      </w:r>
    </w:p>
    <w:p>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pPr>
        <w:pStyle w:val="7"/>
        <w:spacing w:before="0" w:beforeAutospacing="0" w:after="0" w:afterAutospacing="0" w:line="360" w:lineRule="auto"/>
        <w:ind w:firstLine="420"/>
        <w:rPr>
          <w:sz w:val="21"/>
          <w:szCs w:val="21"/>
        </w:rPr>
      </w:pPr>
      <w:r>
        <w:rPr>
          <w:rFonts w:hint="eastAsia"/>
          <w:sz w:val="21"/>
          <w:szCs w:val="21"/>
        </w:rPr>
        <w:t>（8）跟踪误差控制未达约定目标的风险</w:t>
      </w:r>
    </w:p>
    <w:p>
      <w:pPr>
        <w:pStyle w:val="7"/>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pPr>
        <w:pStyle w:val="7"/>
        <w:spacing w:before="0" w:beforeAutospacing="0" w:after="0" w:afterAutospacing="0" w:line="360" w:lineRule="auto"/>
        <w:ind w:firstLine="420"/>
        <w:rPr>
          <w:sz w:val="21"/>
          <w:szCs w:val="21"/>
        </w:rPr>
      </w:pPr>
      <w:r>
        <w:rPr>
          <w:rFonts w:hint="eastAsia"/>
          <w:sz w:val="21"/>
          <w:szCs w:val="21"/>
        </w:rPr>
        <w:t>2、股指期货投资风险</w:t>
      </w:r>
    </w:p>
    <w:p>
      <w:pPr>
        <w:pStyle w:val="7"/>
        <w:spacing w:before="0" w:beforeAutospacing="0" w:after="0" w:afterAutospacing="0" w:line="360" w:lineRule="auto"/>
        <w:ind w:firstLine="420"/>
        <w:rPr>
          <w:sz w:val="21"/>
          <w:szCs w:val="21"/>
        </w:rPr>
      </w:pPr>
      <w:r>
        <w:rPr>
          <w:rFonts w:hint="eastAsia"/>
          <w:sz w:val="21"/>
          <w:szCs w:val="21"/>
        </w:rPr>
        <w:t>本基金的投资范围包括股指期货，股指期货的主要风险包括，杠杆风险、基差风险、合约展期风险、模型风险和强制平仓风险等。</w:t>
      </w:r>
    </w:p>
    <w:p>
      <w:pPr>
        <w:pStyle w:val="7"/>
        <w:spacing w:before="0" w:beforeAutospacing="0" w:after="0" w:afterAutospacing="0" w:line="360" w:lineRule="auto"/>
        <w:ind w:firstLine="420"/>
        <w:rPr>
          <w:sz w:val="21"/>
          <w:szCs w:val="21"/>
        </w:rPr>
      </w:pPr>
      <w:r>
        <w:rPr>
          <w:rFonts w:hint="eastAsia"/>
          <w:sz w:val="21"/>
          <w:szCs w:val="21"/>
        </w:rPr>
        <w:t>（1）杠杆风险</w:t>
      </w:r>
    </w:p>
    <w:p>
      <w:pPr>
        <w:pStyle w:val="7"/>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pPr>
        <w:pStyle w:val="7"/>
        <w:spacing w:before="0" w:beforeAutospacing="0" w:after="0" w:afterAutospacing="0" w:line="360" w:lineRule="auto"/>
        <w:ind w:firstLine="420"/>
        <w:rPr>
          <w:sz w:val="21"/>
          <w:szCs w:val="21"/>
        </w:rPr>
      </w:pPr>
      <w:r>
        <w:rPr>
          <w:rFonts w:hint="eastAsia"/>
          <w:sz w:val="21"/>
          <w:szCs w:val="21"/>
        </w:rPr>
        <w:t>（2）基差风险</w:t>
      </w:r>
    </w:p>
    <w:p>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pPr>
        <w:pStyle w:val="7"/>
        <w:spacing w:before="0" w:beforeAutospacing="0" w:after="0" w:afterAutospacing="0" w:line="360" w:lineRule="auto"/>
        <w:ind w:firstLine="420"/>
        <w:rPr>
          <w:sz w:val="21"/>
          <w:szCs w:val="21"/>
        </w:rPr>
      </w:pPr>
      <w:r>
        <w:rPr>
          <w:rFonts w:hint="eastAsia"/>
          <w:sz w:val="21"/>
          <w:szCs w:val="21"/>
        </w:rPr>
        <w:t>（3）合约展期风险</w:t>
      </w:r>
    </w:p>
    <w:p>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7"/>
        <w:spacing w:before="0" w:beforeAutospacing="0" w:after="0" w:afterAutospacing="0" w:line="360" w:lineRule="auto"/>
        <w:ind w:firstLine="420"/>
        <w:rPr>
          <w:sz w:val="21"/>
          <w:szCs w:val="21"/>
        </w:rPr>
      </w:pPr>
      <w:r>
        <w:rPr>
          <w:rFonts w:hint="eastAsia"/>
          <w:sz w:val="21"/>
          <w:szCs w:val="21"/>
        </w:rPr>
        <w:t>（4）模型风险</w:t>
      </w:r>
    </w:p>
    <w:p>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7"/>
        <w:spacing w:before="0" w:beforeAutospacing="0" w:after="0" w:afterAutospacing="0" w:line="360" w:lineRule="auto"/>
        <w:ind w:firstLine="420"/>
        <w:rPr>
          <w:sz w:val="21"/>
          <w:szCs w:val="21"/>
        </w:rPr>
      </w:pPr>
      <w:r>
        <w:rPr>
          <w:rFonts w:hint="eastAsia"/>
          <w:sz w:val="21"/>
          <w:szCs w:val="21"/>
        </w:rPr>
        <w:t>（5）强制平仓的风险</w:t>
      </w:r>
    </w:p>
    <w:p>
      <w:pPr>
        <w:pStyle w:val="7"/>
        <w:spacing w:before="0" w:beforeAutospacing="0" w:after="0" w:afterAutospacing="0" w:line="360" w:lineRule="auto"/>
        <w:ind w:firstLine="420"/>
        <w:rPr>
          <w:sz w:val="21"/>
          <w:szCs w:val="21"/>
        </w:rPr>
      </w:pPr>
      <w:r>
        <w:rPr>
          <w:rFonts w:hint="eastAsia"/>
          <w:sz w:val="21"/>
          <w:szCs w:val="21"/>
        </w:rPr>
        <w:t>股指期货采用每日无负债结算制度，如果没有在规定的时间内补足保证金，按规定将被强制平仓，可能给投资带来重大损失。</w:t>
      </w:r>
    </w:p>
    <w:p>
      <w:pPr>
        <w:pStyle w:val="7"/>
        <w:spacing w:before="0" w:beforeAutospacing="0" w:after="0" w:afterAutospacing="0" w:line="360" w:lineRule="auto"/>
        <w:ind w:firstLine="420"/>
        <w:rPr>
          <w:sz w:val="21"/>
          <w:szCs w:val="21"/>
        </w:rPr>
      </w:pPr>
      <w:r>
        <w:rPr>
          <w:rFonts w:hint="eastAsia"/>
          <w:sz w:val="21"/>
          <w:szCs w:val="21"/>
        </w:rPr>
        <w:t>3、国债期货投资风险</w:t>
      </w:r>
    </w:p>
    <w:p>
      <w:pPr>
        <w:pStyle w:val="7"/>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7"/>
        <w:spacing w:before="0" w:beforeAutospacing="0" w:after="0" w:afterAutospacing="0" w:line="360" w:lineRule="auto"/>
        <w:ind w:firstLine="420"/>
        <w:rPr>
          <w:sz w:val="21"/>
          <w:szCs w:val="21"/>
        </w:rPr>
      </w:pPr>
      <w:r>
        <w:rPr>
          <w:rFonts w:hint="eastAsia"/>
          <w:sz w:val="21"/>
          <w:szCs w:val="21"/>
        </w:rPr>
        <w:t>4、股票期权投资风险</w:t>
      </w:r>
    </w:p>
    <w:p>
      <w:pPr>
        <w:pStyle w:val="7"/>
        <w:spacing w:before="0" w:beforeAutospacing="0" w:after="0" w:afterAutospacing="0" w:line="360" w:lineRule="auto"/>
        <w:ind w:firstLine="420"/>
        <w:rPr>
          <w:sz w:val="21"/>
          <w:szCs w:val="21"/>
        </w:rPr>
      </w:pPr>
      <w:r>
        <w:rPr>
          <w:rFonts w:hint="eastAsia"/>
          <w:sz w:val="21"/>
          <w:szCs w:val="21"/>
        </w:rPr>
        <w:t>（1）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7"/>
        <w:spacing w:before="0" w:beforeAutospacing="0" w:after="0" w:afterAutospacing="0" w:line="360" w:lineRule="auto"/>
        <w:ind w:firstLine="420"/>
        <w:rPr>
          <w:sz w:val="21"/>
          <w:szCs w:val="21"/>
        </w:rPr>
      </w:pPr>
      <w:r>
        <w:rPr>
          <w:rFonts w:hint="eastAsia"/>
          <w:sz w:val="21"/>
          <w:szCs w:val="21"/>
        </w:rPr>
        <w:t>（2）价格风险：股票期权买方的价格风险即为他所付出的权利金，风险具有确定性。股票期权卖方的价格风险不定，不过其所收取的权利金可以提供相应保护，当发生亏损时，可以抵消部分损失。</w:t>
      </w:r>
    </w:p>
    <w:p>
      <w:pPr>
        <w:pStyle w:val="7"/>
        <w:spacing w:before="0" w:beforeAutospacing="0" w:after="0" w:afterAutospacing="0" w:line="360" w:lineRule="auto"/>
        <w:ind w:firstLine="420"/>
        <w:rPr>
          <w:sz w:val="21"/>
          <w:szCs w:val="21"/>
        </w:rPr>
      </w:pPr>
      <w:r>
        <w:rPr>
          <w:rFonts w:hint="eastAsia"/>
          <w:sz w:val="21"/>
          <w:szCs w:val="21"/>
        </w:rPr>
        <w:t>（3）操作风险：操作风险是指由于管理不善或者制度执行出现问题等原因所导致的风险。股票期权作为一种衍生品，虽然可以用来管理风险，但若使用不当，也会产生巨额损失。</w:t>
      </w:r>
    </w:p>
    <w:p>
      <w:pPr>
        <w:pStyle w:val="7"/>
        <w:spacing w:before="0" w:beforeAutospacing="0" w:after="0" w:afterAutospacing="0" w:line="360" w:lineRule="auto"/>
        <w:ind w:firstLine="420"/>
        <w:rPr>
          <w:sz w:val="21"/>
          <w:szCs w:val="21"/>
        </w:rPr>
      </w:pPr>
      <w:r>
        <w:rPr>
          <w:rFonts w:hint="eastAsia"/>
          <w:sz w:val="21"/>
          <w:szCs w:val="21"/>
        </w:rPr>
        <w:t>5、资产支持证券（ABS）的投资风险</w:t>
      </w:r>
    </w:p>
    <w:p>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6、港股通机制下，港股投资风险</w:t>
      </w:r>
    </w:p>
    <w:p>
      <w:pPr>
        <w:pStyle w:val="7"/>
        <w:spacing w:before="0" w:beforeAutospacing="0" w:after="0" w:afterAutospacing="0" w:line="360" w:lineRule="auto"/>
        <w:ind w:firstLine="420"/>
        <w:rPr>
          <w:sz w:val="21"/>
          <w:szCs w:val="21"/>
        </w:rPr>
      </w:pPr>
      <w:r>
        <w:rPr>
          <w:rFonts w:hint="eastAsia"/>
          <w:sz w:val="21"/>
          <w:szCs w:val="21"/>
        </w:rPr>
        <w:t>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w:t>
      </w:r>
    </w:p>
    <w:p>
      <w:pPr>
        <w:pStyle w:val="7"/>
        <w:spacing w:before="0" w:beforeAutospacing="0" w:after="0" w:afterAutospacing="0" w:line="360" w:lineRule="auto"/>
        <w:ind w:firstLine="420"/>
        <w:rPr>
          <w:sz w:val="21"/>
          <w:szCs w:val="21"/>
        </w:rPr>
      </w:pPr>
      <w:r>
        <w:rPr>
          <w:rFonts w:hint="eastAsia"/>
          <w:sz w:val="21"/>
          <w:szCs w:val="21"/>
        </w:rPr>
        <w:t>（1）市场联动的风险</w:t>
      </w:r>
    </w:p>
    <w:p>
      <w:pPr>
        <w:pStyle w:val="7"/>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pPr>
        <w:pStyle w:val="7"/>
        <w:spacing w:before="0" w:beforeAutospacing="0" w:after="0" w:afterAutospacing="0" w:line="360" w:lineRule="auto"/>
        <w:ind w:firstLine="420"/>
        <w:rPr>
          <w:sz w:val="21"/>
          <w:szCs w:val="21"/>
        </w:rPr>
      </w:pPr>
      <w:r>
        <w:rPr>
          <w:rFonts w:hint="eastAsia"/>
          <w:sz w:val="21"/>
          <w:szCs w:val="21"/>
        </w:rPr>
        <w:t>（2）股价波动的风险</w:t>
      </w:r>
    </w:p>
    <w:p>
      <w:pPr>
        <w:pStyle w:val="7"/>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pPr>
        <w:pStyle w:val="7"/>
        <w:spacing w:before="0" w:beforeAutospacing="0" w:after="0" w:afterAutospacing="0" w:line="360" w:lineRule="auto"/>
        <w:ind w:firstLine="420"/>
        <w:rPr>
          <w:sz w:val="21"/>
          <w:szCs w:val="21"/>
        </w:rPr>
      </w:pPr>
      <w:r>
        <w:rPr>
          <w:rFonts w:hint="eastAsia"/>
          <w:sz w:val="21"/>
          <w:szCs w:val="21"/>
        </w:rPr>
        <w:t>（3）汇率风险</w:t>
      </w:r>
    </w:p>
    <w:p>
      <w:pPr>
        <w:pStyle w:val="7"/>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pPr>
        <w:pStyle w:val="7"/>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pPr>
        <w:pStyle w:val="7"/>
        <w:spacing w:before="0" w:beforeAutospacing="0" w:after="0" w:afterAutospacing="0" w:line="360" w:lineRule="auto"/>
        <w:ind w:firstLine="420"/>
        <w:rPr>
          <w:sz w:val="21"/>
          <w:szCs w:val="21"/>
        </w:rPr>
      </w:pPr>
      <w:r>
        <w:rPr>
          <w:rFonts w:hint="eastAsia"/>
          <w:sz w:val="21"/>
          <w:szCs w:val="21"/>
        </w:rPr>
        <w:t>（4）港股通额度限制</w:t>
      </w:r>
    </w:p>
    <w:p>
      <w:pPr>
        <w:pStyle w:val="7"/>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pPr>
        <w:pStyle w:val="7"/>
        <w:spacing w:before="0" w:beforeAutospacing="0" w:after="0" w:afterAutospacing="0" w:line="360" w:lineRule="auto"/>
        <w:ind w:firstLine="420"/>
        <w:rPr>
          <w:sz w:val="21"/>
          <w:szCs w:val="21"/>
        </w:rPr>
      </w:pPr>
      <w:r>
        <w:rPr>
          <w:rFonts w:hint="eastAsia"/>
          <w:sz w:val="21"/>
          <w:szCs w:val="21"/>
        </w:rPr>
        <w:t>（5）港股通可投资标的范围调整带来的风险</w:t>
      </w:r>
    </w:p>
    <w:p>
      <w:pPr>
        <w:pStyle w:val="7"/>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pPr>
        <w:pStyle w:val="7"/>
        <w:spacing w:before="0" w:beforeAutospacing="0" w:after="0" w:afterAutospacing="0" w:line="360" w:lineRule="auto"/>
        <w:ind w:firstLine="420"/>
        <w:rPr>
          <w:sz w:val="21"/>
          <w:szCs w:val="21"/>
        </w:rPr>
      </w:pPr>
      <w:r>
        <w:rPr>
          <w:rFonts w:hint="eastAsia"/>
          <w:sz w:val="21"/>
          <w:szCs w:val="21"/>
        </w:rPr>
        <w:t>（6）港股通交易日设定的风险</w:t>
      </w:r>
    </w:p>
    <w:p>
      <w:pPr>
        <w:pStyle w:val="7"/>
        <w:spacing w:before="0" w:beforeAutospacing="0" w:after="0" w:afterAutospacing="0" w:line="360" w:lineRule="auto"/>
        <w:ind w:firstLine="420"/>
        <w:rPr>
          <w:sz w:val="21"/>
          <w:szCs w:val="21"/>
        </w:rPr>
      </w:pPr>
      <w:r>
        <w:rPr>
          <w:rFonts w:hint="eastAsia"/>
          <w:sz w:val="21"/>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pPr>
        <w:pStyle w:val="7"/>
        <w:spacing w:before="0" w:beforeAutospacing="0" w:after="0" w:afterAutospacing="0" w:line="360" w:lineRule="auto"/>
        <w:ind w:firstLine="420"/>
        <w:rPr>
          <w:sz w:val="21"/>
          <w:szCs w:val="21"/>
        </w:rPr>
      </w:pPr>
      <w:r>
        <w:rPr>
          <w:rFonts w:hint="eastAsia"/>
          <w:sz w:val="21"/>
          <w:szCs w:val="21"/>
        </w:rPr>
        <w:t>（7）交收制度带来的基金流动性风险</w:t>
      </w:r>
    </w:p>
    <w:p>
      <w:pPr>
        <w:pStyle w:val="7"/>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pPr>
        <w:pStyle w:val="7"/>
        <w:spacing w:before="0" w:beforeAutospacing="0" w:after="0" w:afterAutospacing="0" w:line="360" w:lineRule="auto"/>
        <w:ind w:firstLine="420"/>
        <w:rPr>
          <w:sz w:val="21"/>
          <w:szCs w:val="21"/>
        </w:rPr>
      </w:pPr>
      <w:r>
        <w:rPr>
          <w:rFonts w:hint="eastAsia"/>
          <w:sz w:val="21"/>
          <w:szCs w:val="21"/>
        </w:rPr>
        <w:t>（8）港股通下对公司行为的处理规则带来的风险</w:t>
      </w:r>
    </w:p>
    <w:p>
      <w:pPr>
        <w:pStyle w:val="7"/>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pPr>
        <w:pStyle w:val="7"/>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pPr>
        <w:pStyle w:val="7"/>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pPr>
        <w:pStyle w:val="7"/>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pPr>
        <w:pStyle w:val="7"/>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pPr>
        <w:pStyle w:val="7"/>
        <w:spacing w:before="0" w:beforeAutospacing="0" w:after="0" w:afterAutospacing="0" w:line="360" w:lineRule="auto"/>
        <w:ind w:firstLine="420"/>
        <w:rPr>
          <w:sz w:val="21"/>
          <w:szCs w:val="21"/>
        </w:rPr>
      </w:pPr>
      <w:r>
        <w:rPr>
          <w:rFonts w:hint="eastAsia"/>
          <w:sz w:val="21"/>
          <w:szCs w:val="21"/>
        </w:rPr>
        <w:t>（10）港股通规则变动带来的风险</w:t>
      </w:r>
    </w:p>
    <w:p>
      <w:pPr>
        <w:pStyle w:val="7"/>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pPr>
        <w:pStyle w:val="7"/>
        <w:spacing w:before="0" w:beforeAutospacing="0" w:after="0" w:afterAutospacing="0" w:line="360" w:lineRule="auto"/>
        <w:ind w:firstLine="420"/>
        <w:rPr>
          <w:sz w:val="21"/>
          <w:szCs w:val="21"/>
        </w:rPr>
      </w:pPr>
      <w:r>
        <w:rPr>
          <w:rFonts w:hint="eastAsia"/>
          <w:sz w:val="21"/>
          <w:szCs w:val="21"/>
        </w:rPr>
        <w:t>（11）其他可能的风险</w:t>
      </w:r>
    </w:p>
    <w:p>
      <w:pPr>
        <w:pStyle w:val="7"/>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pPr>
        <w:pStyle w:val="7"/>
        <w:spacing w:before="0" w:beforeAutospacing="0" w:after="0" w:afterAutospacing="0" w:line="360" w:lineRule="auto"/>
        <w:ind w:firstLine="420"/>
        <w:rPr>
          <w:sz w:val="21"/>
          <w:szCs w:val="21"/>
        </w:rPr>
      </w:pPr>
      <w:r>
        <w:rPr>
          <w:rFonts w:hint="eastAsia"/>
          <w:sz w:val="21"/>
          <w:szCs w:val="21"/>
        </w:rPr>
        <w:t>1）除因股票交易而发生的佣金、交易征费、交易费、交易系统费、印花税、过户费等税费外，在不进行交易时也可能要继续缴纳证券组合费等项费用，本基金存在因费用估算不准而导致账户透支的风险；</w:t>
      </w:r>
    </w:p>
    <w:p>
      <w:pPr>
        <w:pStyle w:val="7"/>
        <w:spacing w:before="0" w:beforeAutospacing="0" w:after="0" w:afterAutospacing="0" w:line="360" w:lineRule="auto"/>
        <w:ind w:firstLine="420"/>
        <w:rPr>
          <w:sz w:val="21"/>
          <w:szCs w:val="21"/>
        </w:rPr>
      </w:pPr>
      <w:r>
        <w:rPr>
          <w:rFonts w:hint="eastAsia"/>
          <w:sz w:val="21"/>
          <w:szCs w:val="21"/>
        </w:rPr>
        <w:t>2）在香港市场，部分中小市值港股成交量则相对较少，流动性较为缺乏，本基金投资此类股票可能因缺乏交易对手而面临个股流动性风险；</w:t>
      </w:r>
    </w:p>
    <w:p>
      <w:pPr>
        <w:pStyle w:val="7"/>
        <w:spacing w:before="0" w:beforeAutospacing="0" w:after="0" w:afterAutospacing="0" w:line="360" w:lineRule="auto"/>
        <w:ind w:firstLine="420"/>
        <w:rPr>
          <w:sz w:val="21"/>
          <w:szCs w:val="21"/>
        </w:rPr>
      </w:pPr>
      <w:r>
        <w:rPr>
          <w:rFonts w:hint="eastAsia"/>
          <w:sz w:val="21"/>
          <w:szCs w:val="21"/>
        </w:rPr>
        <w:t>3）在本基金参与港股通交易中若香港联交所与内地交易所的证券交易服务公司之间的报盘系统或者通信链路出现故障，可能导致15分钟以上不能申报和撤销申报的交易中断风险；</w:t>
      </w:r>
    </w:p>
    <w:p>
      <w:pPr>
        <w:pStyle w:val="7"/>
        <w:spacing w:before="0" w:beforeAutospacing="0" w:after="0" w:afterAutospacing="0" w:line="360" w:lineRule="auto"/>
        <w:ind w:firstLine="420"/>
        <w:rPr>
          <w:sz w:val="21"/>
          <w:szCs w:val="21"/>
        </w:rPr>
      </w:pPr>
      <w:r>
        <w:rPr>
          <w:rFonts w:hint="eastAsia"/>
          <w:sz w:val="21"/>
          <w:szCs w:val="21"/>
        </w:rPr>
        <w:t>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w:t>
      </w:r>
    </w:p>
    <w:p>
      <w:pPr>
        <w:pStyle w:val="7"/>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pPr>
        <w:pStyle w:val="7"/>
        <w:spacing w:before="0" w:beforeAutospacing="0" w:after="0" w:afterAutospacing="0" w:line="360" w:lineRule="auto"/>
        <w:ind w:firstLine="420"/>
        <w:rPr>
          <w:sz w:val="21"/>
          <w:szCs w:val="21"/>
        </w:rPr>
      </w:pPr>
      <w:r>
        <w:rPr>
          <w:rFonts w:hint="eastAsia"/>
          <w:sz w:val="21"/>
          <w:szCs w:val="21"/>
        </w:rPr>
        <w:t>7、新股申购风险</w:t>
      </w:r>
    </w:p>
    <w:p>
      <w:pPr>
        <w:pStyle w:val="7"/>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pPr>
        <w:pStyle w:val="7"/>
        <w:spacing w:before="0" w:beforeAutospacing="0" w:after="0" w:afterAutospacing="0" w:line="360" w:lineRule="auto"/>
        <w:ind w:firstLine="420"/>
        <w:rPr>
          <w:sz w:val="21"/>
          <w:szCs w:val="21"/>
        </w:rPr>
      </w:pPr>
      <w:r>
        <w:rPr>
          <w:rFonts w:hint="eastAsia"/>
          <w:sz w:val="21"/>
          <w:szCs w:val="21"/>
        </w:rPr>
        <w:t>8、融资及转融通证券出借业务的主要风险</w:t>
      </w:r>
    </w:p>
    <w:p>
      <w:pPr>
        <w:pStyle w:val="7"/>
        <w:spacing w:before="0" w:beforeAutospacing="0" w:after="0" w:afterAutospacing="0" w:line="360" w:lineRule="auto"/>
        <w:ind w:firstLine="420"/>
        <w:rPr>
          <w:sz w:val="21"/>
          <w:szCs w:val="21"/>
        </w:rPr>
      </w:pPr>
      <w:r>
        <w:rPr>
          <w:rFonts w:hint="eastAsia"/>
          <w:sz w:val="21"/>
          <w:szCs w:val="21"/>
        </w:rPr>
        <w:t>（1）流动性风险</w:t>
      </w:r>
    </w:p>
    <w:p>
      <w:pPr>
        <w:pStyle w:val="7"/>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7"/>
        <w:spacing w:before="0" w:beforeAutospacing="0" w:after="0" w:afterAutospacing="0" w:line="360" w:lineRule="auto"/>
        <w:ind w:firstLine="420"/>
        <w:rPr>
          <w:sz w:val="21"/>
          <w:szCs w:val="21"/>
        </w:rPr>
      </w:pPr>
      <w:r>
        <w:rPr>
          <w:rFonts w:hint="eastAsia"/>
          <w:sz w:val="21"/>
          <w:szCs w:val="21"/>
        </w:rPr>
        <w:t>（2）交易对手违约风险</w:t>
      </w:r>
    </w:p>
    <w:p>
      <w:pPr>
        <w:pStyle w:val="7"/>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p>
    <w:p>
      <w:pPr>
        <w:pStyle w:val="7"/>
        <w:spacing w:before="0" w:beforeAutospacing="0" w:after="0" w:afterAutospacing="0" w:line="360" w:lineRule="auto"/>
        <w:ind w:firstLine="420"/>
        <w:rPr>
          <w:sz w:val="21"/>
          <w:szCs w:val="21"/>
        </w:rPr>
      </w:pPr>
      <w:r>
        <w:rPr>
          <w:rFonts w:hint="eastAsia"/>
          <w:sz w:val="21"/>
          <w:szCs w:val="21"/>
        </w:rPr>
        <w:t>（3）市场风险</w:t>
      </w:r>
    </w:p>
    <w:p>
      <w:pPr>
        <w:pStyle w:val="7"/>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w:t>
      </w:r>
    </w:p>
    <w:p>
      <w:pPr>
        <w:pStyle w:val="7"/>
        <w:spacing w:before="0" w:beforeAutospacing="0" w:after="0" w:afterAutospacing="0" w:line="360" w:lineRule="auto"/>
        <w:ind w:firstLine="420"/>
        <w:rPr>
          <w:sz w:val="21"/>
          <w:szCs w:val="21"/>
        </w:rPr>
      </w:pPr>
      <w:r>
        <w:rPr>
          <w:rFonts w:hint="eastAsia"/>
          <w:sz w:val="21"/>
          <w:szCs w:val="21"/>
        </w:rPr>
        <w:t>（4）提前或延迟了结风险</w:t>
      </w:r>
    </w:p>
    <w:p>
      <w:pPr>
        <w:pStyle w:val="7"/>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p>
    <w:p>
      <w:pPr>
        <w:pStyle w:val="7"/>
        <w:spacing w:before="0" w:beforeAutospacing="0" w:after="0" w:afterAutospacing="0" w:line="360" w:lineRule="auto"/>
        <w:ind w:firstLine="420"/>
        <w:rPr>
          <w:sz w:val="21"/>
          <w:szCs w:val="21"/>
        </w:rPr>
      </w:pPr>
      <w:r>
        <w:rPr>
          <w:rFonts w:hint="eastAsia"/>
          <w:sz w:val="21"/>
          <w:szCs w:val="21"/>
        </w:rPr>
        <w:t>（5）跟踪误差风险</w:t>
      </w:r>
    </w:p>
    <w:p>
      <w:pPr>
        <w:pStyle w:val="7"/>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p>
    <w:p>
      <w:pPr>
        <w:pStyle w:val="7"/>
        <w:spacing w:before="0" w:beforeAutospacing="0" w:after="0" w:afterAutospacing="0" w:line="360" w:lineRule="auto"/>
        <w:ind w:firstLine="420"/>
        <w:rPr>
          <w:sz w:val="21"/>
          <w:szCs w:val="21"/>
        </w:rPr>
      </w:pPr>
      <w:r>
        <w:rPr>
          <w:rFonts w:hint="eastAsia"/>
          <w:sz w:val="21"/>
          <w:szCs w:val="21"/>
        </w:rPr>
        <w:t>（6）杠杆效应放大风险</w:t>
      </w:r>
    </w:p>
    <w:p>
      <w:pPr>
        <w:pStyle w:val="7"/>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pPr>
        <w:pStyle w:val="7"/>
        <w:spacing w:before="0" w:beforeAutospacing="0" w:after="0" w:afterAutospacing="0" w:line="360" w:lineRule="auto"/>
        <w:ind w:firstLine="420"/>
        <w:rPr>
          <w:sz w:val="21"/>
          <w:szCs w:val="21"/>
        </w:rPr>
      </w:pPr>
      <w:r>
        <w:rPr>
          <w:rFonts w:hint="eastAsia"/>
          <w:sz w:val="21"/>
          <w:szCs w:val="21"/>
        </w:rPr>
        <w:t>（7）担保能力及限制交易风险</w:t>
      </w:r>
    </w:p>
    <w:p>
      <w:pPr>
        <w:pStyle w:val="7"/>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pPr>
        <w:pStyle w:val="7"/>
        <w:spacing w:before="0" w:beforeAutospacing="0" w:after="0" w:afterAutospacing="0" w:line="360" w:lineRule="auto"/>
        <w:ind w:firstLine="420"/>
        <w:rPr>
          <w:sz w:val="21"/>
          <w:szCs w:val="21"/>
        </w:rPr>
      </w:pPr>
      <w:r>
        <w:rPr>
          <w:rFonts w:hint="eastAsia"/>
          <w:sz w:val="21"/>
          <w:szCs w:val="21"/>
        </w:rPr>
        <w:t>（8）强制平仓风险</w:t>
      </w:r>
    </w:p>
    <w:p>
      <w:pPr>
        <w:pStyle w:val="7"/>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7"/>
        <w:spacing w:before="0" w:beforeAutospacing="0" w:after="0" w:afterAutospacing="0" w:line="360" w:lineRule="auto"/>
        <w:ind w:firstLine="420"/>
        <w:rPr>
          <w:sz w:val="21"/>
          <w:szCs w:val="21"/>
        </w:rPr>
      </w:pPr>
      <w:r>
        <w:rPr>
          <w:rFonts w:hint="eastAsia"/>
          <w:sz w:val="21"/>
          <w:szCs w:val="21"/>
        </w:rPr>
        <w:t>（9）操作风险</w:t>
      </w:r>
    </w:p>
    <w:p>
      <w:pPr>
        <w:pStyle w:val="7"/>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w:t>
      </w:r>
    </w:p>
    <w:p>
      <w:pPr>
        <w:pStyle w:val="7"/>
        <w:spacing w:before="0" w:beforeAutospacing="0" w:after="0" w:afterAutospacing="0" w:line="360" w:lineRule="auto"/>
        <w:ind w:firstLine="420"/>
        <w:rPr>
          <w:sz w:val="21"/>
          <w:szCs w:val="21"/>
        </w:rPr>
      </w:pPr>
      <w:r>
        <w:rPr>
          <w:rFonts w:hint="eastAsia"/>
          <w:sz w:val="21"/>
          <w:szCs w:val="21"/>
        </w:rPr>
        <w:t>（10）法律合规风险</w:t>
      </w:r>
    </w:p>
    <w:p>
      <w:pPr>
        <w:pStyle w:val="7"/>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w:t>
      </w:r>
    </w:p>
    <w:p>
      <w:pPr>
        <w:pStyle w:val="7"/>
        <w:spacing w:before="0" w:beforeAutospacing="0" w:after="0" w:afterAutospacing="0" w:line="360" w:lineRule="auto"/>
        <w:ind w:firstLine="420"/>
        <w:rPr>
          <w:sz w:val="21"/>
          <w:szCs w:val="21"/>
        </w:rPr>
      </w:pPr>
      <w:r>
        <w:rPr>
          <w:rFonts w:hint="eastAsia"/>
          <w:sz w:val="21"/>
          <w:szCs w:val="21"/>
        </w:rPr>
        <w:t>9、投资于存托凭证的风险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Fonts w:hint="eastAsia"/>
          <w:sz w:val="21"/>
          <w:szCs w:val="21"/>
        </w:rPr>
        <w:t>10、自动清算的风险</w:t>
      </w:r>
    </w:p>
    <w:p>
      <w:pPr>
        <w:pStyle w:val="7"/>
        <w:spacing w:before="0" w:beforeAutospacing="0" w:after="0" w:afterAutospacing="0" w:line="360" w:lineRule="auto"/>
        <w:ind w:firstLine="420"/>
        <w:rPr>
          <w:sz w:val="21"/>
          <w:szCs w:val="21"/>
        </w:rPr>
      </w:pPr>
      <w:r>
        <w:rPr>
          <w:rFonts w:hint="eastAsia"/>
          <w:sz w:val="21"/>
          <w:szCs w:val="21"/>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p>
    <w:p>
      <w:pPr>
        <w:pStyle w:val="7"/>
        <w:spacing w:before="0" w:beforeAutospacing="0" w:after="0" w:afterAutospacing="0" w:line="360" w:lineRule="auto"/>
        <w:ind w:firstLine="420"/>
        <w:rPr>
          <w:sz w:val="21"/>
          <w:szCs w:val="21"/>
        </w:rPr>
      </w:pPr>
      <w:r>
        <w:rPr>
          <w:rFonts w:hint="eastAsia"/>
          <w:sz w:val="21"/>
          <w:szCs w:val="21"/>
        </w:rPr>
        <w:t>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p>
    <w:p>
      <w:pPr>
        <w:pStyle w:val="7"/>
        <w:spacing w:before="0" w:beforeAutospacing="0" w:after="0" w:afterAutospacing="0" w:line="360" w:lineRule="auto"/>
        <w:ind w:firstLine="420"/>
        <w:rPr>
          <w:sz w:val="21"/>
          <w:szCs w:val="21"/>
        </w:rPr>
      </w:pPr>
      <w:r>
        <w:rPr>
          <w:rFonts w:hint="eastAsia"/>
          <w:sz w:val="21"/>
          <w:szCs w:val="21"/>
        </w:rPr>
        <w:t>因此本基金有面临自动清算的风险。</w:t>
      </w:r>
    </w:p>
    <w:p>
      <w:pPr>
        <w:pStyle w:val="7"/>
        <w:spacing w:before="0" w:beforeAutospacing="0" w:after="0" w:afterAutospacing="0" w:line="360" w:lineRule="auto"/>
        <w:ind w:firstLine="420"/>
        <w:rPr>
          <w:sz w:val="21"/>
          <w:szCs w:val="21"/>
        </w:rPr>
      </w:pPr>
      <w:r>
        <w:rPr>
          <w:rStyle w:val="11"/>
          <w:rFonts w:hint="eastAsia"/>
          <w:sz w:val="21"/>
          <w:szCs w:val="21"/>
        </w:rPr>
        <w:t>三、本基金法律文件风险收益特征表述与销售机构基金风险评价可能不一致的风险</w:t>
      </w:r>
    </w:p>
    <w:p>
      <w:pPr>
        <w:pStyle w:val="7"/>
        <w:spacing w:before="0" w:beforeAutospacing="0" w:after="0" w:afterAutospacing="0" w:line="360" w:lineRule="auto"/>
        <w:ind w:firstLine="420"/>
        <w:rPr>
          <w:sz w:val="21"/>
          <w:szCs w:val="21"/>
        </w:rPr>
      </w:pPr>
      <w:r>
        <w:rPr>
          <w:rFonts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w:t>
      </w:r>
    </w:p>
    <w:p>
      <w:pPr>
        <w:pStyle w:val="7"/>
        <w:spacing w:before="0" w:beforeAutospacing="0" w:after="0" w:afterAutospacing="0" w:line="360" w:lineRule="auto"/>
        <w:ind w:firstLine="420"/>
        <w:rPr>
          <w:sz w:val="21"/>
          <w:szCs w:val="21"/>
        </w:rPr>
      </w:pPr>
      <w:r>
        <w:rPr>
          <w:rStyle w:val="11"/>
          <w:rFonts w:hint="eastAsia"/>
          <w:sz w:val="21"/>
          <w:szCs w:val="21"/>
        </w:rPr>
        <w:t>四、其他风险</w:t>
      </w:r>
    </w:p>
    <w:p>
      <w:pPr>
        <w:pStyle w:val="7"/>
        <w:spacing w:before="0" w:beforeAutospacing="0" w:after="0" w:afterAutospacing="0" w:line="360" w:lineRule="auto"/>
        <w:ind w:firstLine="420"/>
        <w:rPr>
          <w:sz w:val="21"/>
          <w:szCs w:val="21"/>
        </w:rPr>
      </w:pPr>
      <w:r>
        <w:rPr>
          <w:rFonts w:hint="eastAsia"/>
          <w:sz w:val="21"/>
          <w:szCs w:val="21"/>
        </w:rPr>
        <w:t>1、因技术因素而产生的风险，如电脑系统不可靠产生的风险；</w:t>
      </w:r>
    </w:p>
    <w:p>
      <w:pPr>
        <w:pStyle w:val="7"/>
        <w:spacing w:before="0" w:beforeAutospacing="0" w:after="0" w:afterAutospacing="0" w:line="360" w:lineRule="auto"/>
        <w:ind w:firstLine="420"/>
        <w:rPr>
          <w:sz w:val="21"/>
          <w:szCs w:val="21"/>
        </w:rPr>
      </w:pPr>
      <w:r>
        <w:rPr>
          <w:rFonts w:hint="eastAsia"/>
          <w:sz w:val="21"/>
          <w:szCs w:val="21"/>
        </w:rPr>
        <w:t>2、因业务快速发展而在制度建设、人员配备、内控制度建立等不完善而产生的风险；</w:t>
      </w:r>
    </w:p>
    <w:p>
      <w:pPr>
        <w:pStyle w:val="7"/>
        <w:spacing w:before="0" w:beforeAutospacing="0" w:after="0" w:afterAutospacing="0" w:line="360" w:lineRule="auto"/>
        <w:ind w:firstLine="420"/>
        <w:rPr>
          <w:sz w:val="21"/>
          <w:szCs w:val="21"/>
        </w:rPr>
      </w:pPr>
      <w:r>
        <w:rPr>
          <w:rFonts w:hint="eastAsia"/>
          <w:sz w:val="21"/>
          <w:szCs w:val="21"/>
        </w:rPr>
        <w:t>3、因人为因素而产生的风险、如内幕交易、欺诈行为等产生的风险；</w:t>
      </w:r>
    </w:p>
    <w:p>
      <w:pPr>
        <w:pStyle w:val="7"/>
        <w:spacing w:before="0" w:beforeAutospacing="0" w:after="0" w:afterAutospacing="0" w:line="360" w:lineRule="auto"/>
        <w:ind w:firstLine="420"/>
        <w:rPr>
          <w:sz w:val="21"/>
          <w:szCs w:val="21"/>
        </w:rPr>
      </w:pPr>
      <w:r>
        <w:rPr>
          <w:rFonts w:hint="eastAsia"/>
          <w:sz w:val="21"/>
          <w:szCs w:val="21"/>
        </w:rPr>
        <w:t>4、对主要业务人员如基金经理的依赖而可能产生的风险；</w:t>
      </w:r>
    </w:p>
    <w:p>
      <w:pPr>
        <w:pStyle w:val="7"/>
        <w:spacing w:before="0" w:beforeAutospacing="0" w:after="0" w:afterAutospacing="0" w:line="360" w:lineRule="auto"/>
        <w:ind w:firstLine="420"/>
        <w:rPr>
          <w:sz w:val="21"/>
          <w:szCs w:val="21"/>
        </w:rPr>
      </w:pPr>
      <w:r>
        <w:rPr>
          <w:rFonts w:hint="eastAsia"/>
          <w:sz w:val="21"/>
          <w:szCs w:val="21"/>
        </w:rPr>
        <w:t>5、因业务竞争压力可能产生的风险；</w:t>
      </w:r>
    </w:p>
    <w:p>
      <w:pPr>
        <w:pStyle w:val="7"/>
        <w:spacing w:before="0" w:beforeAutospacing="0" w:after="0" w:afterAutospacing="0" w:line="360" w:lineRule="auto"/>
        <w:ind w:firstLine="420"/>
        <w:rPr>
          <w:sz w:val="21"/>
          <w:szCs w:val="21"/>
        </w:rPr>
      </w:pPr>
      <w:r>
        <w:rPr>
          <w:rFonts w:hint="eastAsia"/>
          <w:sz w:val="21"/>
          <w:szCs w:val="21"/>
        </w:rPr>
        <w:t>6、不可抗力可能导致基金资产的损失，影响基金收益水平，从而带来风险；</w:t>
      </w:r>
    </w:p>
    <w:p>
      <w:pPr>
        <w:pStyle w:val="7"/>
        <w:spacing w:before="0" w:beforeAutospacing="0" w:after="0" w:afterAutospacing="0" w:line="360" w:lineRule="auto"/>
        <w:ind w:firstLine="420"/>
        <w:rPr>
          <w:sz w:val="21"/>
          <w:szCs w:val="21"/>
        </w:rPr>
      </w:pPr>
      <w:r>
        <w:rPr>
          <w:rFonts w:hint="eastAsia"/>
          <w:sz w:val="21"/>
          <w:szCs w:val="21"/>
        </w:rPr>
        <w:t>7、其他意外导致的风险。</w:t>
      </w:r>
    </w:p>
    <w:p>
      <w:pPr>
        <w:pStyle w:val="7"/>
        <w:spacing w:before="0" w:beforeAutospacing="0" w:after="0" w:afterAutospacing="0" w:line="360" w:lineRule="auto"/>
        <w:ind w:firstLine="420"/>
        <w:rPr>
          <w:sz w:val="21"/>
          <w:szCs w:val="21"/>
        </w:rPr>
      </w:pPr>
      <w:r>
        <w:rPr>
          <w:rStyle w:val="11"/>
          <w:rFonts w:hint="eastAsia"/>
          <w:sz w:val="21"/>
          <w:szCs w:val="21"/>
        </w:rPr>
        <w:t>五、声明</w:t>
      </w:r>
    </w:p>
    <w:p>
      <w:pPr>
        <w:pStyle w:val="7"/>
        <w:spacing w:before="0" w:beforeAutospacing="0" w:after="0" w:afterAutospacing="0" w:line="360" w:lineRule="auto"/>
        <w:ind w:firstLine="420"/>
        <w:rPr>
          <w:sz w:val="21"/>
          <w:szCs w:val="21"/>
        </w:rPr>
      </w:pPr>
      <w:r>
        <w:rPr>
          <w:rFonts w:hint="eastAsia"/>
          <w:sz w:val="21"/>
          <w:szCs w:val="21"/>
        </w:rPr>
        <w:t>1、投资者投资于本基金，须自行承担投资风险；</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4" w:name="chapter_level1_20_68_section_1_end"/>
      <w:bookmarkEnd w:id="174"/>
      <w:r>
        <w:rPr>
          <w:rFonts w:hint="eastAsia"/>
          <w:sz w:val="21"/>
          <w:szCs w:val="21"/>
        </w:rPr>
        <w:t>金管理人与基金代销机构都不能保证其收益或本金安全。</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_Toc176190862"/>
      <w:bookmarkStart w:id="176" w:name="chapter_level1_21_69"/>
      <w:r>
        <w:rPr>
          <w:rFonts w:hint="eastAsia" w:ascii="宋体" w:hAnsi="宋体" w:eastAsia="宋体"/>
          <w:sz w:val="30"/>
        </w:rPr>
        <w:t>第十八部分  基金合同的变更、终止与基金财产的清算</w:t>
      </w:r>
      <w:bookmarkEnd w:id="175"/>
      <w:bookmarkEnd w:id="176"/>
    </w:p>
    <w:p>
      <w:pPr>
        <w:pStyle w:val="7"/>
        <w:spacing w:before="0" w:beforeAutospacing="0" w:after="0" w:afterAutospacing="0" w:line="360" w:lineRule="auto"/>
        <w:ind w:firstLine="420"/>
        <w:rPr>
          <w:sz w:val="21"/>
          <w:szCs w:val="21"/>
        </w:rPr>
      </w:pPr>
      <w:bookmarkStart w:id="177" w:name="chapter_level1_21_69_section_1"/>
      <w:bookmarkEnd w:id="177"/>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bookmarkStart w:id="178" w:name="chapter_level1_21_69_section_1_end"/>
      <w:bookmarkEnd w:id="178"/>
      <w:r>
        <w:rPr>
          <w:rFonts w:hint="eastAsia"/>
          <w:sz w:val="21"/>
          <w:szCs w:val="21"/>
        </w:rPr>
        <w:t>本基金与其他基金的合并应当按照法律法规规定的程序进行。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9" w:name="_Toc176190863"/>
      <w:bookmarkStart w:id="180" w:name="chapter_level1_22_71"/>
      <w:r>
        <w:rPr>
          <w:rFonts w:hint="eastAsia" w:ascii="宋体" w:hAnsi="宋体" w:eastAsia="宋体"/>
          <w:sz w:val="30"/>
        </w:rPr>
        <w:t>第十九部分  基金合同的内容摘要</w:t>
      </w:r>
      <w:bookmarkEnd w:id="179"/>
      <w:bookmarkEnd w:id="180"/>
    </w:p>
    <w:p>
      <w:pPr>
        <w:pStyle w:val="7"/>
        <w:spacing w:before="0" w:beforeAutospacing="0" w:after="0" w:afterAutospacing="0" w:line="360" w:lineRule="auto"/>
        <w:ind w:firstLine="420"/>
        <w:rPr>
          <w:sz w:val="21"/>
          <w:szCs w:val="21"/>
        </w:rPr>
      </w:pPr>
      <w:bookmarkStart w:id="181" w:name="chapter_level1_22_71_section_1"/>
      <w:bookmarkEnd w:id="181"/>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（一）基金管理人的权利与义务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pPr>
        <w:pStyle w:val="7"/>
        <w:spacing w:before="0" w:beforeAutospacing="0" w:after="0" w:afterAutospacing="0" w:line="360" w:lineRule="auto"/>
        <w:ind w:firstLine="420"/>
        <w:rPr>
          <w:sz w:val="21"/>
          <w:szCs w:val="21"/>
        </w:rPr>
      </w:pPr>
      <w:r>
        <w:rPr>
          <w:rFonts w:hint="eastAsia"/>
          <w:sz w:val="21"/>
          <w:szCs w:val="21"/>
        </w:rPr>
        <w:t>（1）依法募集资金；</w:t>
      </w:r>
    </w:p>
    <w:p>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pPr>
        <w:pStyle w:val="7"/>
        <w:spacing w:before="0" w:beforeAutospacing="0" w:after="0" w:afterAutospacing="0" w:line="360" w:lineRule="auto"/>
        <w:ind w:firstLine="420"/>
        <w:rPr>
          <w:sz w:val="21"/>
          <w:szCs w:val="21"/>
        </w:rPr>
      </w:pPr>
      <w:r>
        <w:rPr>
          <w:rFonts w:hint="eastAsia"/>
          <w:sz w:val="21"/>
          <w:szCs w:val="21"/>
        </w:rPr>
        <w:t>（4）销售基金份额；</w:t>
      </w:r>
    </w:p>
    <w:p>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pPr>
        <w:pStyle w:val="7"/>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pPr>
        <w:pStyle w:val="7"/>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pPr>
        <w:pStyle w:val="7"/>
        <w:spacing w:before="0" w:beforeAutospacing="0" w:after="0" w:afterAutospacing="0" w:line="360" w:lineRule="auto"/>
        <w:ind w:firstLine="420"/>
        <w:rPr>
          <w:sz w:val="21"/>
          <w:szCs w:val="21"/>
        </w:rPr>
      </w:pPr>
      <w:r>
        <w:rPr>
          <w:rFonts w:hint="eastAsia"/>
          <w:sz w:val="21"/>
          <w:szCs w:val="21"/>
        </w:rPr>
        <w:t>（2）办理基金备案手续；</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pPr>
        <w:pStyle w:val="7"/>
        <w:spacing w:before="0" w:beforeAutospacing="0" w:after="0" w:afterAutospacing="0" w:line="360" w:lineRule="auto"/>
        <w:ind w:firstLine="420"/>
        <w:rPr>
          <w:sz w:val="21"/>
          <w:szCs w:val="21"/>
        </w:rPr>
      </w:pPr>
      <w:r>
        <w:rPr>
          <w:rFonts w:hint="eastAsia"/>
          <w:sz w:val="21"/>
          <w:szCs w:val="21"/>
        </w:rPr>
        <w:t>（7）依法接受基金托管人的监督；</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（二）基金托管人的权利与义务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pPr>
        <w:pStyle w:val="7"/>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（12）保存基金份额持有人名册；</w:t>
      </w:r>
    </w:p>
    <w:p>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（三）基金份额持有人的权利与义务</w:t>
      </w:r>
    </w:p>
    <w:p>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pStyle w:val="7"/>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pPr>
        <w:pStyle w:val="7"/>
        <w:spacing w:before="0" w:beforeAutospacing="0" w:after="0" w:afterAutospacing="0" w:line="360" w:lineRule="auto"/>
        <w:ind w:firstLine="420"/>
        <w:rPr>
          <w:sz w:val="21"/>
          <w:szCs w:val="21"/>
        </w:rPr>
      </w:pPr>
      <w:r>
        <w:rPr>
          <w:rFonts w:hint="eastAsia"/>
          <w:sz w:val="21"/>
          <w:szCs w:val="21"/>
        </w:rPr>
        <w:t>（1）分享基金财产收益；</w:t>
      </w:r>
    </w:p>
    <w:p>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pPr>
        <w:pStyle w:val="7"/>
        <w:spacing w:before="0" w:beforeAutospacing="0" w:after="0" w:afterAutospacing="0" w:line="360" w:lineRule="auto"/>
        <w:ind w:firstLine="420"/>
        <w:rPr>
          <w:sz w:val="21"/>
          <w:szCs w:val="21"/>
        </w:rPr>
      </w:pPr>
      <w:r>
        <w:rPr>
          <w:rFonts w:hint="eastAsia"/>
          <w:sz w:val="21"/>
          <w:szCs w:val="21"/>
        </w:rPr>
        <w:t>（7）监督基金管理人的投资运作；</w:t>
      </w:r>
    </w:p>
    <w:p>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pPr>
        <w:pStyle w:val="7"/>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pPr>
        <w:pStyle w:val="7"/>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w:t>
      </w:r>
    </w:p>
    <w:p>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pPr>
        <w:pStyle w:val="7"/>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pPr>
        <w:pStyle w:val="7"/>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pPr>
        <w:pStyle w:val="7"/>
        <w:spacing w:before="0" w:beforeAutospacing="0" w:after="0" w:afterAutospacing="0" w:line="360" w:lineRule="auto"/>
        <w:ind w:firstLine="420"/>
        <w:rPr>
          <w:sz w:val="21"/>
          <w:szCs w:val="21"/>
        </w:rPr>
      </w:pPr>
      <w:r>
        <w:rPr>
          <w:rFonts w:hint="eastAsia"/>
          <w:sz w:val="21"/>
          <w:szCs w:val="21"/>
        </w:rPr>
        <w:t>（一）召开事由</w:t>
      </w:r>
    </w:p>
    <w:p>
      <w:pPr>
        <w:pStyle w:val="7"/>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pPr>
        <w:pStyle w:val="7"/>
        <w:spacing w:before="0" w:beforeAutospacing="0" w:after="0" w:afterAutospacing="0" w:line="360" w:lineRule="auto"/>
        <w:ind w:firstLine="420"/>
        <w:rPr>
          <w:sz w:val="21"/>
          <w:szCs w:val="21"/>
        </w:rPr>
      </w:pPr>
      <w:r>
        <w:rPr>
          <w:rFonts w:hint="eastAsia"/>
          <w:sz w:val="21"/>
          <w:szCs w:val="21"/>
        </w:rPr>
        <w:t>（1）终止《基金合同》；</w:t>
      </w:r>
    </w:p>
    <w:p>
      <w:pPr>
        <w:pStyle w:val="7"/>
        <w:spacing w:before="0" w:beforeAutospacing="0" w:after="0" w:afterAutospacing="0" w:line="360" w:lineRule="auto"/>
        <w:ind w:firstLine="420"/>
        <w:rPr>
          <w:sz w:val="21"/>
          <w:szCs w:val="21"/>
        </w:rPr>
      </w:pPr>
      <w:r>
        <w:rPr>
          <w:rFonts w:hint="eastAsia"/>
          <w:sz w:val="21"/>
          <w:szCs w:val="21"/>
        </w:rPr>
        <w:t>（2）更换基金管理人；</w:t>
      </w:r>
    </w:p>
    <w:p>
      <w:pPr>
        <w:pStyle w:val="7"/>
        <w:spacing w:before="0" w:beforeAutospacing="0" w:after="0" w:afterAutospacing="0" w:line="360" w:lineRule="auto"/>
        <w:ind w:firstLine="420"/>
        <w:rPr>
          <w:sz w:val="21"/>
          <w:szCs w:val="21"/>
        </w:rPr>
      </w:pPr>
      <w:r>
        <w:rPr>
          <w:rFonts w:hint="eastAsia"/>
          <w:sz w:val="21"/>
          <w:szCs w:val="21"/>
        </w:rPr>
        <w:t>（3）更换基金托管人；</w:t>
      </w:r>
    </w:p>
    <w:p>
      <w:pPr>
        <w:pStyle w:val="7"/>
        <w:spacing w:before="0" w:beforeAutospacing="0" w:after="0" w:afterAutospacing="0" w:line="360" w:lineRule="auto"/>
        <w:ind w:firstLine="420"/>
        <w:rPr>
          <w:sz w:val="21"/>
          <w:szCs w:val="21"/>
        </w:rPr>
      </w:pPr>
      <w:r>
        <w:rPr>
          <w:rFonts w:hint="eastAsia"/>
          <w:sz w:val="21"/>
          <w:szCs w:val="21"/>
        </w:rPr>
        <w:t>（4）转换基金运作方式；</w:t>
      </w:r>
    </w:p>
    <w:p>
      <w:pPr>
        <w:pStyle w:val="7"/>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pPr>
        <w:pStyle w:val="7"/>
        <w:spacing w:before="0" w:beforeAutospacing="0" w:after="0" w:afterAutospacing="0" w:line="360" w:lineRule="auto"/>
        <w:ind w:firstLine="420"/>
        <w:rPr>
          <w:sz w:val="21"/>
          <w:szCs w:val="21"/>
        </w:rPr>
      </w:pPr>
      <w:r>
        <w:rPr>
          <w:rFonts w:hint="eastAsia"/>
          <w:sz w:val="21"/>
          <w:szCs w:val="21"/>
        </w:rPr>
        <w:t>（6）变更基金类别；</w:t>
      </w:r>
    </w:p>
    <w:p>
      <w:pPr>
        <w:pStyle w:val="7"/>
        <w:spacing w:before="0" w:beforeAutospacing="0" w:after="0" w:afterAutospacing="0" w:line="360" w:lineRule="auto"/>
        <w:ind w:firstLine="420"/>
        <w:rPr>
          <w:sz w:val="21"/>
          <w:szCs w:val="21"/>
        </w:rPr>
      </w:pPr>
      <w:r>
        <w:rPr>
          <w:rFonts w:hint="eastAsia"/>
          <w:sz w:val="21"/>
          <w:szCs w:val="21"/>
        </w:rPr>
        <w:t>（7）本基金与其他基金的合并；</w:t>
      </w:r>
    </w:p>
    <w:p>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pPr>
        <w:pStyle w:val="7"/>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w:t>
      </w:r>
    </w:p>
    <w:p>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pPr>
        <w:pStyle w:val="7"/>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pPr>
        <w:pStyle w:val="7"/>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pPr>
        <w:pStyle w:val="7"/>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pPr>
        <w:pStyle w:val="7"/>
        <w:spacing w:before="0" w:beforeAutospacing="0" w:after="0" w:afterAutospacing="0" w:line="360" w:lineRule="auto"/>
        <w:ind w:firstLine="420"/>
        <w:rPr>
          <w:sz w:val="21"/>
          <w:szCs w:val="21"/>
        </w:rPr>
      </w:pPr>
      <w:r>
        <w:rPr>
          <w:rFonts w:hint="eastAsia"/>
          <w:sz w:val="21"/>
          <w:szCs w:val="21"/>
        </w:rPr>
        <w:t>（6）履行相关程序后，基金推出新业务或服务；</w:t>
      </w:r>
    </w:p>
    <w:p>
      <w:pPr>
        <w:pStyle w:val="7"/>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w:t>
      </w:r>
    </w:p>
    <w:p>
      <w:pPr>
        <w:pStyle w:val="7"/>
        <w:spacing w:before="0" w:beforeAutospacing="0" w:after="0" w:afterAutospacing="0" w:line="360" w:lineRule="auto"/>
        <w:ind w:firstLine="420"/>
        <w:rPr>
          <w:sz w:val="21"/>
          <w:szCs w:val="21"/>
        </w:rPr>
      </w:pPr>
      <w:r>
        <w:rPr>
          <w:rFonts w:hint="eastAsia"/>
          <w:sz w:val="21"/>
          <w:szCs w:val="21"/>
        </w:rPr>
        <w:t>（二）会议召集人及召集方式</w:t>
      </w:r>
    </w:p>
    <w:p>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pPr>
        <w:pStyle w:val="7"/>
        <w:spacing w:before="0" w:beforeAutospacing="0" w:after="0" w:afterAutospacing="0" w:line="360" w:lineRule="auto"/>
        <w:ind w:firstLine="420"/>
        <w:rPr>
          <w:sz w:val="21"/>
          <w:szCs w:val="21"/>
        </w:rPr>
      </w:pPr>
      <w:r>
        <w:rPr>
          <w:rFonts w:hint="eastAsia"/>
          <w:sz w:val="21"/>
          <w:szCs w:val="21"/>
        </w:rPr>
        <w:t>（7）召集人需要通知的其他事项。</w:t>
      </w:r>
    </w:p>
    <w:p>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pStyle w:val="7"/>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（五）议事内容与程序</w:t>
      </w:r>
    </w:p>
    <w:p>
      <w:pPr>
        <w:pStyle w:val="7"/>
        <w:spacing w:before="0" w:beforeAutospacing="0" w:after="0" w:afterAutospacing="0" w:line="360" w:lineRule="auto"/>
        <w:ind w:firstLine="420"/>
        <w:rPr>
          <w:sz w:val="21"/>
          <w:szCs w:val="21"/>
        </w:rPr>
      </w:pPr>
      <w:r>
        <w:rPr>
          <w:rFonts w:hint="eastAsia"/>
          <w:sz w:val="21"/>
          <w:szCs w:val="21"/>
        </w:rPr>
        <w:t>1、议事内容及提案权</w:t>
      </w:r>
    </w:p>
    <w:p>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pPr>
        <w:pStyle w:val="7"/>
        <w:spacing w:before="0" w:beforeAutospacing="0" w:after="0" w:afterAutospacing="0" w:line="360" w:lineRule="auto"/>
        <w:ind w:firstLine="420"/>
        <w:rPr>
          <w:sz w:val="21"/>
          <w:szCs w:val="21"/>
        </w:rPr>
      </w:pPr>
      <w:r>
        <w:rPr>
          <w:rFonts w:hint="eastAsia"/>
          <w:sz w:val="21"/>
          <w:szCs w:val="21"/>
        </w:rPr>
        <w:t>2、议事程序</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pPr>
        <w:pStyle w:val="7"/>
        <w:spacing w:before="0" w:beforeAutospacing="0" w:after="0" w:afterAutospacing="0" w:line="360" w:lineRule="auto"/>
        <w:ind w:firstLine="420"/>
        <w:rPr>
          <w:sz w:val="21"/>
          <w:szCs w:val="21"/>
        </w:rPr>
      </w:pPr>
      <w:r>
        <w:rPr>
          <w:rFonts w:hint="eastAsia"/>
          <w:sz w:val="21"/>
          <w:szCs w:val="21"/>
        </w:rPr>
        <w:t>（六）表决</w:t>
      </w:r>
    </w:p>
    <w:p>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pPr>
        <w:pStyle w:val="7"/>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pPr>
        <w:pStyle w:val="7"/>
        <w:spacing w:before="0" w:beforeAutospacing="0" w:after="0" w:afterAutospacing="0" w:line="360" w:lineRule="auto"/>
        <w:ind w:firstLine="420"/>
        <w:rPr>
          <w:sz w:val="21"/>
          <w:szCs w:val="21"/>
        </w:rPr>
      </w:pPr>
      <w:r>
        <w:rPr>
          <w:rFonts w:hint="eastAsia"/>
          <w:sz w:val="21"/>
          <w:szCs w:val="21"/>
        </w:rPr>
        <w:t>（七）计票</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pStyle w:val="7"/>
        <w:spacing w:before="0" w:beforeAutospacing="0" w:after="0" w:afterAutospacing="0" w:line="360" w:lineRule="auto"/>
        <w:ind w:firstLine="420"/>
        <w:rPr>
          <w:sz w:val="21"/>
          <w:szCs w:val="21"/>
        </w:rPr>
      </w:pPr>
      <w:r>
        <w:rPr>
          <w:rFonts w:hint="eastAsia"/>
          <w:sz w:val="21"/>
          <w:szCs w:val="21"/>
        </w:rPr>
        <w:t>（八）生效与公告</w:t>
      </w:r>
    </w:p>
    <w:p>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pPr>
        <w:pStyle w:val="7"/>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pPr>
        <w:pStyle w:val="7"/>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pStyle w:val="7"/>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pPr>
        <w:pStyle w:val="7"/>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pStyle w:val="7"/>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pPr>
        <w:pStyle w:val="7"/>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pPr>
        <w:pStyle w:val="7"/>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pPr>
        <w:pStyle w:val="7"/>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pStyle w:val="7"/>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pPr>
        <w:pStyle w:val="7"/>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3、《基金合同》约定的其他情形；</w:t>
      </w:r>
    </w:p>
    <w:p>
      <w:pPr>
        <w:pStyle w:val="7"/>
        <w:spacing w:before="0" w:beforeAutospacing="0" w:after="0" w:afterAutospacing="0" w:line="360" w:lineRule="auto"/>
        <w:ind w:firstLine="420"/>
        <w:rPr>
          <w:sz w:val="21"/>
          <w:szCs w:val="21"/>
        </w:rPr>
      </w:pPr>
      <w:r>
        <w:rPr>
          <w:rFonts w:hint="eastAsia"/>
          <w:sz w:val="21"/>
          <w:szCs w:val="21"/>
        </w:rPr>
        <w:t>4、相关法律法规和中国证监会规定的其他情况。</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（八）基金合并</w:t>
      </w:r>
    </w:p>
    <w:p>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pPr>
        <w:pStyle w:val="7"/>
        <w:spacing w:before="0" w:beforeAutospacing="0" w:after="0" w:afterAutospacing="0" w:line="360" w:lineRule="auto"/>
        <w:ind w:firstLine="420"/>
        <w:rPr>
          <w:sz w:val="21"/>
          <w:szCs w:val="21"/>
        </w:rPr>
      </w:pPr>
      <w:r>
        <w:rPr>
          <w:rStyle w:val="11"/>
          <w:rFonts w:hint="eastAsia"/>
          <w:sz w:val="21"/>
          <w:szCs w:val="21"/>
        </w:rPr>
        <w:t>四、争议的处理</w:t>
      </w:r>
    </w:p>
    <w:p>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82" w:name="chapter_level1_22_71_section_1_end"/>
      <w:bookmarkEnd w:id="182"/>
      <w:r>
        <w:rPr>
          <w:rFonts w:hint="eastAsia"/>
          <w:sz w:val="21"/>
          <w:szCs w:val="21"/>
        </w:rPr>
        <w:t>和营业场所查阅。</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_Toc176190864"/>
      <w:bookmarkStart w:id="184" w:name="chapter_level1_23_72"/>
      <w:r>
        <w:rPr>
          <w:rFonts w:hint="eastAsia" w:ascii="宋体" w:hAnsi="宋体" w:eastAsia="宋体"/>
          <w:sz w:val="30"/>
        </w:rPr>
        <w:t>第二十部分  基金托管协议的内容摘要</w:t>
      </w:r>
      <w:bookmarkEnd w:id="183"/>
      <w:bookmarkEnd w:id="184"/>
    </w:p>
    <w:p>
      <w:pPr>
        <w:pStyle w:val="7"/>
        <w:spacing w:before="0" w:beforeAutospacing="0" w:after="0" w:afterAutospacing="0" w:line="360" w:lineRule="auto"/>
        <w:ind w:firstLine="420"/>
        <w:rPr>
          <w:sz w:val="21"/>
          <w:szCs w:val="21"/>
        </w:rPr>
      </w:pPr>
      <w:bookmarkStart w:id="185" w:name="chapter_level1_23_72_section_1"/>
      <w:bookmarkEnd w:id="185"/>
      <w:r>
        <w:rPr>
          <w:rStyle w:val="11"/>
          <w:rFonts w:hint="eastAsia"/>
          <w:sz w:val="21"/>
          <w:szCs w:val="21"/>
        </w:rPr>
        <w:t>一、基金托管协议当事人</w:t>
      </w:r>
    </w:p>
    <w:p>
      <w:pPr>
        <w:pStyle w:val="7"/>
        <w:spacing w:before="0" w:beforeAutospacing="0" w:after="0" w:afterAutospacing="0" w:line="360" w:lineRule="auto"/>
        <w:ind w:firstLine="420"/>
        <w:rPr>
          <w:sz w:val="21"/>
          <w:szCs w:val="21"/>
        </w:rPr>
      </w:pPr>
      <w:r>
        <w:rPr>
          <w:rFonts w:hint="eastAsia"/>
          <w:sz w:val="21"/>
          <w:szCs w:val="21"/>
        </w:rPr>
        <w:t>（一）基金管理人</w:t>
      </w:r>
    </w:p>
    <w:p>
      <w:pPr>
        <w:pStyle w:val="7"/>
        <w:spacing w:before="0" w:beforeAutospacing="0" w:after="0" w:afterAutospacing="0" w:line="360" w:lineRule="auto"/>
        <w:ind w:firstLine="420"/>
        <w:rPr>
          <w:sz w:val="21"/>
          <w:szCs w:val="21"/>
        </w:rPr>
      </w:pPr>
      <w:r>
        <w:rPr>
          <w:rFonts w:hint="eastAsia"/>
          <w:sz w:val="21"/>
          <w:szCs w:val="21"/>
        </w:rPr>
        <w:t>名称：博时基金管理有限公司</w:t>
      </w:r>
    </w:p>
    <w:p>
      <w:pPr>
        <w:pStyle w:val="7"/>
        <w:spacing w:before="0" w:beforeAutospacing="0" w:after="0" w:afterAutospacing="0" w:line="360" w:lineRule="auto"/>
        <w:ind w:firstLine="420"/>
        <w:rPr>
          <w:sz w:val="21"/>
          <w:szCs w:val="21"/>
        </w:rPr>
      </w:pPr>
      <w:r>
        <w:rPr>
          <w:rFonts w:hint="eastAsia"/>
          <w:sz w:val="21"/>
          <w:szCs w:val="21"/>
        </w:rPr>
        <w:t>注册地址：深圳市福田区莲花街道福新社区益田路5999号基金大厦21层</w:t>
      </w:r>
    </w:p>
    <w:p>
      <w:pPr>
        <w:pStyle w:val="7"/>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pPr>
        <w:pStyle w:val="7"/>
        <w:spacing w:before="0" w:beforeAutospacing="0" w:after="0" w:afterAutospacing="0" w:line="360" w:lineRule="auto"/>
        <w:ind w:firstLine="420"/>
        <w:rPr>
          <w:sz w:val="21"/>
          <w:szCs w:val="21"/>
        </w:rPr>
      </w:pPr>
      <w:r>
        <w:rPr>
          <w:rFonts w:hint="eastAsia"/>
          <w:sz w:val="21"/>
          <w:szCs w:val="21"/>
        </w:rPr>
        <w:t>邮政编码：518040</w:t>
      </w:r>
    </w:p>
    <w:p>
      <w:pPr>
        <w:pStyle w:val="7"/>
        <w:spacing w:before="0" w:beforeAutospacing="0" w:after="0" w:afterAutospacing="0" w:line="360" w:lineRule="auto"/>
        <w:ind w:firstLine="420"/>
        <w:rPr>
          <w:sz w:val="21"/>
          <w:szCs w:val="21"/>
        </w:rPr>
      </w:pPr>
      <w:r>
        <w:rPr>
          <w:rFonts w:hint="eastAsia"/>
          <w:sz w:val="21"/>
          <w:szCs w:val="21"/>
        </w:rPr>
        <w:t>法定代表人：江向阳</w:t>
      </w:r>
    </w:p>
    <w:p>
      <w:pPr>
        <w:pStyle w:val="7"/>
        <w:spacing w:before="0" w:beforeAutospacing="0" w:after="0" w:afterAutospacing="0" w:line="360" w:lineRule="auto"/>
        <w:ind w:firstLine="420"/>
        <w:rPr>
          <w:sz w:val="21"/>
          <w:szCs w:val="21"/>
        </w:rPr>
      </w:pPr>
      <w:r>
        <w:rPr>
          <w:rFonts w:hint="eastAsia"/>
          <w:sz w:val="21"/>
          <w:szCs w:val="21"/>
        </w:rPr>
        <w:t>成立日期：1998年7月13日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批准设立机关及批准设立文号：中国证监会证监基字【1998】26号</w:t>
      </w:r>
    </w:p>
    <w:p>
      <w:pPr>
        <w:pStyle w:val="7"/>
        <w:spacing w:before="0" w:beforeAutospacing="0" w:after="0" w:afterAutospacing="0" w:line="360" w:lineRule="auto"/>
        <w:ind w:firstLine="420"/>
        <w:rPr>
          <w:sz w:val="21"/>
          <w:szCs w:val="21"/>
        </w:rPr>
      </w:pPr>
      <w:r>
        <w:rPr>
          <w:rFonts w:hint="eastAsia"/>
          <w:sz w:val="21"/>
          <w:szCs w:val="21"/>
        </w:rPr>
        <w:t>组织形式：有限责任公司</w:t>
      </w:r>
    </w:p>
    <w:p>
      <w:pPr>
        <w:pStyle w:val="7"/>
        <w:spacing w:before="0" w:beforeAutospacing="0" w:after="0" w:afterAutospacing="0" w:line="360" w:lineRule="auto"/>
        <w:ind w:firstLine="420"/>
        <w:rPr>
          <w:sz w:val="21"/>
          <w:szCs w:val="21"/>
        </w:rPr>
      </w:pPr>
      <w:r>
        <w:rPr>
          <w:rFonts w:hint="eastAsia"/>
          <w:sz w:val="21"/>
          <w:szCs w:val="21"/>
        </w:rPr>
        <w:t>注册资本：2.5亿元人民币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pPr>
        <w:pStyle w:val="7"/>
        <w:spacing w:before="0" w:beforeAutospacing="0" w:after="0" w:afterAutospacing="0" w:line="360" w:lineRule="auto"/>
        <w:ind w:firstLine="420"/>
        <w:rPr>
          <w:sz w:val="21"/>
          <w:szCs w:val="21"/>
        </w:rPr>
      </w:pPr>
      <w:r>
        <w:rPr>
          <w:rFonts w:hint="eastAsia"/>
          <w:sz w:val="21"/>
          <w:szCs w:val="21"/>
        </w:rPr>
        <w:t>（二）基金托管人</w:t>
      </w:r>
    </w:p>
    <w:p>
      <w:pPr>
        <w:pStyle w:val="7"/>
        <w:spacing w:before="0" w:beforeAutospacing="0" w:after="0" w:afterAutospacing="0" w:line="360" w:lineRule="auto"/>
        <w:ind w:firstLine="420"/>
        <w:rPr>
          <w:sz w:val="21"/>
          <w:szCs w:val="21"/>
        </w:rPr>
      </w:pPr>
      <w:r>
        <w:rPr>
          <w:rFonts w:hint="eastAsia"/>
          <w:sz w:val="21"/>
          <w:szCs w:val="21"/>
        </w:rPr>
        <w:t>名称：兴业银行股份有限公司</w:t>
      </w:r>
    </w:p>
    <w:p>
      <w:pPr>
        <w:pStyle w:val="7"/>
        <w:spacing w:before="0" w:beforeAutospacing="0" w:after="0" w:afterAutospacing="0" w:line="360" w:lineRule="auto"/>
        <w:ind w:firstLine="420"/>
        <w:rPr>
          <w:sz w:val="21"/>
          <w:szCs w:val="21"/>
        </w:rPr>
      </w:pPr>
      <w:r>
        <w:rPr>
          <w:rFonts w:hint="eastAsia"/>
          <w:sz w:val="21"/>
          <w:szCs w:val="21"/>
        </w:rPr>
        <w:t>住所：福建省福州市台江区江滨中大道398号兴业银行大厦</w:t>
      </w:r>
    </w:p>
    <w:p>
      <w:pPr>
        <w:pStyle w:val="7"/>
        <w:spacing w:before="0" w:beforeAutospacing="0" w:after="0" w:afterAutospacing="0" w:line="360" w:lineRule="auto"/>
        <w:ind w:firstLine="420"/>
        <w:rPr>
          <w:sz w:val="21"/>
          <w:szCs w:val="21"/>
        </w:rPr>
      </w:pPr>
      <w:r>
        <w:rPr>
          <w:rFonts w:hint="eastAsia"/>
          <w:sz w:val="21"/>
          <w:szCs w:val="21"/>
        </w:rPr>
        <w:t>法定代表人：吕家进</w:t>
      </w:r>
    </w:p>
    <w:p>
      <w:pPr>
        <w:pStyle w:val="7"/>
        <w:spacing w:before="0" w:beforeAutospacing="0" w:after="0" w:afterAutospacing="0" w:line="360" w:lineRule="auto"/>
        <w:ind w:firstLine="420"/>
        <w:rPr>
          <w:sz w:val="21"/>
          <w:szCs w:val="21"/>
        </w:rPr>
      </w:pPr>
      <w:r>
        <w:rPr>
          <w:rFonts w:hint="eastAsia"/>
          <w:sz w:val="21"/>
          <w:szCs w:val="21"/>
        </w:rPr>
        <w:t>成立时间：1988年8月22日</w:t>
      </w:r>
    </w:p>
    <w:p>
      <w:pPr>
        <w:pStyle w:val="7"/>
        <w:spacing w:before="0" w:beforeAutospacing="0" w:after="0" w:afterAutospacing="0" w:line="360" w:lineRule="auto"/>
        <w:ind w:firstLine="420"/>
        <w:rPr>
          <w:sz w:val="21"/>
          <w:szCs w:val="21"/>
        </w:rPr>
      </w:pPr>
      <w:r>
        <w:rPr>
          <w:rFonts w:hint="eastAsia"/>
          <w:sz w:val="21"/>
          <w:szCs w:val="21"/>
        </w:rPr>
        <w:t>基金托管业务批准文号：证监基金字[2005]74号</w:t>
      </w:r>
    </w:p>
    <w:p>
      <w:pPr>
        <w:pStyle w:val="7"/>
        <w:spacing w:before="0" w:beforeAutospacing="0" w:after="0" w:afterAutospacing="0" w:line="360" w:lineRule="auto"/>
        <w:ind w:firstLine="420"/>
        <w:rPr>
          <w:sz w:val="21"/>
          <w:szCs w:val="21"/>
        </w:rPr>
      </w:pPr>
      <w:r>
        <w:rPr>
          <w:rFonts w:hint="eastAsia"/>
          <w:sz w:val="21"/>
          <w:szCs w:val="21"/>
        </w:rPr>
        <w:t>组织形式：股份有限公司</w:t>
      </w:r>
    </w:p>
    <w:p>
      <w:pPr>
        <w:pStyle w:val="7"/>
        <w:spacing w:before="0" w:beforeAutospacing="0" w:after="0" w:afterAutospacing="0" w:line="360" w:lineRule="auto"/>
        <w:ind w:firstLine="420"/>
        <w:rPr>
          <w:sz w:val="21"/>
          <w:szCs w:val="21"/>
        </w:rPr>
      </w:pPr>
      <w:r>
        <w:rPr>
          <w:rFonts w:hint="eastAsia"/>
          <w:sz w:val="21"/>
          <w:szCs w:val="21"/>
        </w:rPr>
        <w:t>注册资本：207.74亿元人民币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批准设立机关及批准设立文号:中国人民银行总行,银复[1988]347号</w:t>
      </w:r>
    </w:p>
    <w:p>
      <w:pPr>
        <w:pStyle w:val="7"/>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代理发行股票以外的有价证券；买卖、代理买卖股票以外的有价证券；资产托管业务；从事同业拆借；买卖、代理买卖外汇；结汇、售汇业务；从事银行卡业务；提供信用证服务及担保；代理收付款项及代理保险业务；提供保管箱服务；财务顾问、资信调查、咨询、见证业务；经中国银行业监督管理机构批准的其他业务; 保险兼业代理业务；黄金及其制品进出口；公募证券投资基金销售；证券投资基金托管。（依法须经批准的项目，经相关部门批准后方可开展经营活动，经营项目以相关部门批准文件或许可证件为准）</w:t>
      </w:r>
    </w:p>
    <w:p>
      <w:pPr>
        <w:pStyle w:val="7"/>
        <w:spacing w:before="0" w:beforeAutospacing="0" w:after="0" w:afterAutospacing="0" w:line="360" w:lineRule="auto"/>
        <w:ind w:firstLine="420"/>
        <w:rPr>
          <w:sz w:val="21"/>
          <w:szCs w:val="21"/>
        </w:rPr>
      </w:pPr>
      <w:r>
        <w:rPr>
          <w:rFonts w:hint="eastAsia"/>
          <w:sz w:val="21"/>
          <w:szCs w:val="21"/>
        </w:rPr>
        <w:t>电话： 021-62677777</w:t>
      </w:r>
    </w:p>
    <w:p>
      <w:pPr>
        <w:pStyle w:val="7"/>
        <w:spacing w:before="0" w:beforeAutospacing="0" w:after="0" w:afterAutospacing="0" w:line="360" w:lineRule="auto"/>
        <w:ind w:firstLine="420"/>
        <w:rPr>
          <w:sz w:val="21"/>
          <w:szCs w:val="21"/>
        </w:rPr>
      </w:pPr>
      <w:r>
        <w:rPr>
          <w:rFonts w:hint="eastAsia"/>
          <w:sz w:val="21"/>
          <w:szCs w:val="21"/>
        </w:rPr>
        <w:t>传真： 021-62159217</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pPr>
        <w:pStyle w:val="7"/>
        <w:spacing w:before="0" w:beforeAutospacing="0" w:after="0" w:afterAutospacing="0" w:line="360" w:lineRule="auto"/>
        <w:ind w:firstLine="420"/>
        <w:rPr>
          <w:sz w:val="21"/>
          <w:szCs w:val="21"/>
        </w:rPr>
      </w:pPr>
      <w:r>
        <w:rPr>
          <w:rFonts w:hint="eastAsia"/>
          <w:sz w:val="21"/>
          <w:szCs w:val="21"/>
        </w:rPr>
        <w:t>1、基金托管人根据有关法律法规的规定和《基金合同》的约定，对下述基金投资范围、投资对象进行监督。</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pStyle w:val="7"/>
        <w:spacing w:before="0" w:beforeAutospacing="0" w:after="0" w:afterAutospacing="0" w:line="360" w:lineRule="auto"/>
        <w:ind w:firstLine="420"/>
        <w:rPr>
          <w:sz w:val="21"/>
          <w:szCs w:val="21"/>
        </w:rPr>
      </w:pPr>
      <w:r>
        <w:rPr>
          <w:rFonts w:hint="eastAsia"/>
          <w:sz w:val="21"/>
          <w:szCs w:val="21"/>
        </w:rPr>
        <w:t>本基金可根据法律法规的规定参与融资及转融通证券出借业务。未来在法律法规允许的前提下，本基金可根据相关法律法规规定参与融券业务。</w:t>
      </w:r>
    </w:p>
    <w:p>
      <w:pPr>
        <w:pStyle w:val="7"/>
        <w:spacing w:before="0" w:beforeAutospacing="0" w:after="0" w:afterAutospacing="0" w:line="360" w:lineRule="auto"/>
        <w:ind w:firstLine="420"/>
        <w:rPr>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pPr>
        <w:pStyle w:val="7"/>
        <w:spacing w:before="0" w:beforeAutospacing="0" w:after="0" w:afterAutospacing="0" w:line="360" w:lineRule="auto"/>
        <w:ind w:firstLine="420"/>
        <w:rPr>
          <w:sz w:val="21"/>
          <w:szCs w:val="21"/>
        </w:rPr>
      </w:pPr>
      <w:r>
        <w:rPr>
          <w:rFonts w:hint="eastAsia"/>
          <w:sz w:val="21"/>
          <w:szCs w:val="21"/>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2、基金托管人根据有关法律法规的规定及《基金合同》的约定对下述基金投资比例进行监督：</w:t>
      </w:r>
    </w:p>
    <w:p>
      <w:pPr>
        <w:pStyle w:val="7"/>
        <w:spacing w:before="0" w:beforeAutospacing="0" w:after="0" w:afterAutospacing="0" w:line="360" w:lineRule="auto"/>
        <w:ind w:firstLine="420"/>
        <w:rPr>
          <w:sz w:val="21"/>
          <w:szCs w:val="21"/>
        </w:rPr>
      </w:pPr>
      <w:r>
        <w:rPr>
          <w:rFonts w:hint="eastAsia"/>
          <w:sz w:val="21"/>
          <w:szCs w:val="21"/>
        </w:rPr>
        <w:t>按法律法规的规定及《基金合同》的约定，本基金的投资组合比例应符合以下规定：</w:t>
      </w:r>
    </w:p>
    <w:p>
      <w:pPr>
        <w:pStyle w:val="7"/>
        <w:spacing w:before="0" w:beforeAutospacing="0" w:after="0" w:afterAutospacing="0" w:line="360" w:lineRule="auto"/>
        <w:ind w:firstLine="420"/>
        <w:rPr>
          <w:sz w:val="21"/>
          <w:szCs w:val="21"/>
        </w:rPr>
      </w:pPr>
      <w:r>
        <w:rPr>
          <w:rFonts w:hint="eastAsia"/>
          <w:sz w:val="21"/>
          <w:szCs w:val="21"/>
        </w:rPr>
        <w:t>（1）本基金的股票资产投资比例不低于基金资产的90%，其中投资于标的指数成份股和备选成份股的资产不低于非现金基金资产的80%，投资港股通标的股票的比例不超过本基金股票资产的10%；</w:t>
      </w:r>
    </w:p>
    <w:p>
      <w:pPr>
        <w:pStyle w:val="7"/>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pStyle w:val="7"/>
        <w:spacing w:before="0" w:beforeAutospacing="0" w:after="0" w:afterAutospacing="0" w:line="360" w:lineRule="auto"/>
        <w:ind w:firstLine="420"/>
        <w:rPr>
          <w:sz w:val="21"/>
          <w:szCs w:val="21"/>
        </w:rPr>
      </w:pPr>
      <w:r>
        <w:rPr>
          <w:rFonts w:hint="eastAsia"/>
          <w:sz w:val="21"/>
          <w:szCs w:val="21"/>
        </w:rPr>
        <w:t>（3）本基金资产总值不得超过基金资产净值的140%；</w:t>
      </w:r>
    </w:p>
    <w:p>
      <w:pPr>
        <w:pStyle w:val="7"/>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pPr>
        <w:pStyle w:val="7"/>
        <w:spacing w:before="0" w:beforeAutospacing="0" w:after="0" w:afterAutospacing="0" w:line="360" w:lineRule="auto"/>
        <w:ind w:firstLine="420"/>
        <w:rPr>
          <w:sz w:val="21"/>
          <w:szCs w:val="21"/>
        </w:rPr>
      </w:pPr>
      <w:r>
        <w:rPr>
          <w:rFonts w:hint="eastAsia"/>
          <w:sz w:val="21"/>
          <w:szCs w:val="21"/>
        </w:rPr>
        <w:t>（5）本基金持有的全部资产支持证券，其市值不得超过基金资产净值的20%；</w:t>
      </w:r>
    </w:p>
    <w:p>
      <w:pPr>
        <w:pStyle w:val="7"/>
        <w:spacing w:before="0" w:beforeAutospacing="0" w:after="0" w:afterAutospacing="0" w:line="360" w:lineRule="auto"/>
        <w:ind w:firstLine="420"/>
        <w:rPr>
          <w:sz w:val="21"/>
          <w:szCs w:val="21"/>
        </w:rPr>
      </w:pPr>
      <w:r>
        <w:rPr>
          <w:rFonts w:hint="eastAsia"/>
          <w:sz w:val="21"/>
          <w:szCs w:val="21"/>
        </w:rPr>
        <w:t>（6）本基金持有的同一(指同一信用级别)资产支持证券的比例，不得超过该资产支持证券规模的10%；</w:t>
      </w:r>
    </w:p>
    <w:p>
      <w:pPr>
        <w:pStyle w:val="7"/>
        <w:spacing w:before="0" w:beforeAutospacing="0" w:after="0" w:afterAutospacing="0" w:line="360" w:lineRule="auto"/>
        <w:ind w:firstLine="420"/>
        <w:rPr>
          <w:sz w:val="21"/>
          <w:szCs w:val="21"/>
        </w:rPr>
      </w:pPr>
      <w:r>
        <w:rPr>
          <w:rFonts w:hint="eastAsia"/>
          <w:sz w:val="21"/>
          <w:szCs w:val="21"/>
        </w:rPr>
        <w:t>（7）本基金管理人管理的全部基金投资于同一原始权益人的各类资产支持证券，不得超过其各类资产支持证券合计规模的10%；</w:t>
      </w:r>
    </w:p>
    <w:p>
      <w:pPr>
        <w:pStyle w:val="7"/>
        <w:spacing w:before="0" w:beforeAutospacing="0" w:after="0" w:afterAutospacing="0" w:line="360" w:lineRule="auto"/>
        <w:ind w:firstLine="420"/>
        <w:rPr>
          <w:sz w:val="21"/>
          <w:szCs w:val="21"/>
        </w:rPr>
      </w:pPr>
      <w:r>
        <w:rPr>
          <w:rFonts w:hint="eastAsia"/>
          <w:sz w:val="21"/>
          <w:szCs w:val="21"/>
        </w:rPr>
        <w:t>（8）本基金应投资于信用级别评级为BBB以上(含BBB)的资产支持证券。基金持有资产支持证券期间，如果其信用等级下降、不再符合投资标准，应在评级报告发布之日起3个月内予以全部卖出；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sz w:val="21"/>
          <w:szCs w:val="21"/>
        </w:rPr>
      </w:pPr>
      <w:r>
        <w:rPr>
          <w:rFonts w:hint="eastAsia"/>
          <w:sz w:val="21"/>
          <w:szCs w:val="21"/>
        </w:rPr>
        <w:t>（9）基金财产参与股票发行申购，本基金所申报的金额不超过本基金的总资产，本基金所申报的股票数量不超过拟发行股票公司本次发行股票的总量；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sz w:val="21"/>
          <w:szCs w:val="21"/>
        </w:rPr>
      </w:pPr>
      <w:r>
        <w:rPr>
          <w:rFonts w:hint="eastAsia"/>
          <w:sz w:val="21"/>
          <w:szCs w:val="21"/>
        </w:rPr>
        <w:t>（10）本基金参与融资的，在任何交易日日终，本基金融资买入股票与其他有价证券市值之和，不得超过基金资产净值的95%；</w:t>
      </w:r>
    </w:p>
    <w:p>
      <w:pPr>
        <w:pStyle w:val="7"/>
        <w:spacing w:before="0" w:beforeAutospacing="0" w:after="0" w:afterAutospacing="0" w:line="360" w:lineRule="auto"/>
        <w:ind w:firstLine="420"/>
        <w:rPr>
          <w:sz w:val="21"/>
          <w:szCs w:val="21"/>
        </w:rPr>
      </w:pPr>
      <w:r>
        <w:rPr>
          <w:rFonts w:hint="eastAsia"/>
          <w:sz w:val="21"/>
          <w:szCs w:val="21"/>
        </w:rPr>
        <w:t>（11）本基金投资于股指期货和国债期货，还应遵循如下投资组合限制：</w:t>
      </w:r>
    </w:p>
    <w:p>
      <w:pPr>
        <w:pStyle w:val="7"/>
        <w:spacing w:before="0" w:beforeAutospacing="0" w:after="0" w:afterAutospacing="0" w:line="360" w:lineRule="auto"/>
        <w:ind w:firstLine="420"/>
        <w:rPr>
          <w:sz w:val="21"/>
          <w:szCs w:val="21"/>
        </w:rPr>
      </w:pPr>
      <w:r>
        <w:rPr>
          <w:rFonts w:hint="eastAsia"/>
          <w:sz w:val="21"/>
          <w:szCs w:val="21"/>
        </w:rPr>
        <w:t>1）在任何交易日日终，本基金持有的买入股指期货合约价值不超过基金资产净值的10%；在任何交易日日终，持有的买入国债期货合约价值，不得超过基金资产净值15%；</w:t>
      </w:r>
    </w:p>
    <w:p>
      <w:pPr>
        <w:pStyle w:val="7"/>
        <w:spacing w:before="0" w:beforeAutospacing="0" w:after="0" w:afterAutospacing="0" w:line="360" w:lineRule="auto"/>
        <w:ind w:firstLine="420"/>
        <w:rPr>
          <w:sz w:val="21"/>
          <w:szCs w:val="21"/>
        </w:rPr>
      </w:pPr>
      <w:r>
        <w:rPr>
          <w:rFonts w:hint="eastAsia"/>
          <w:sz w:val="21"/>
          <w:szCs w:val="21"/>
        </w:rPr>
        <w:t>2）在任何交易日日终，持有的卖出股指期货合约价值不超过基金持有的股票总市值的20%；在任何交易日日终，持有的卖出国债期货合约价值不得超过基金持有的债券总市值的30%；</w:t>
      </w:r>
    </w:p>
    <w:p>
      <w:pPr>
        <w:pStyle w:val="7"/>
        <w:spacing w:before="0" w:beforeAutospacing="0" w:after="0" w:afterAutospacing="0" w:line="360" w:lineRule="auto"/>
        <w:ind w:firstLine="420"/>
        <w:rPr>
          <w:sz w:val="21"/>
          <w:szCs w:val="21"/>
        </w:rPr>
      </w:pPr>
      <w:r>
        <w:rPr>
          <w:rFonts w:hint="eastAsia"/>
          <w:sz w:val="21"/>
          <w:szCs w:val="21"/>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pStyle w:val="7"/>
        <w:spacing w:before="0" w:beforeAutospacing="0" w:after="0" w:afterAutospacing="0" w:line="360" w:lineRule="auto"/>
        <w:ind w:firstLine="420"/>
        <w:rPr>
          <w:sz w:val="21"/>
          <w:szCs w:val="21"/>
        </w:rPr>
      </w:pPr>
      <w:r>
        <w:rPr>
          <w:rFonts w:hint="eastAsia"/>
          <w:sz w:val="21"/>
          <w:szCs w:val="21"/>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pStyle w:val="7"/>
        <w:spacing w:before="0" w:beforeAutospacing="0" w:after="0" w:afterAutospacing="0" w:line="360" w:lineRule="auto"/>
        <w:ind w:firstLine="420"/>
        <w:rPr>
          <w:sz w:val="21"/>
          <w:szCs w:val="21"/>
        </w:rPr>
      </w:pPr>
      <w:r>
        <w:rPr>
          <w:rFonts w:hint="eastAsia"/>
          <w:sz w:val="21"/>
          <w:szCs w:val="21"/>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7"/>
        <w:spacing w:before="0" w:beforeAutospacing="0" w:after="0" w:afterAutospacing="0" w:line="360" w:lineRule="auto"/>
        <w:ind w:firstLine="420"/>
        <w:rPr>
          <w:sz w:val="21"/>
          <w:szCs w:val="21"/>
        </w:rPr>
      </w:pPr>
      <w:r>
        <w:rPr>
          <w:rFonts w:hint="eastAsia"/>
          <w:sz w:val="21"/>
          <w:szCs w:val="21"/>
        </w:rPr>
        <w:t>（12）本基金投资于股票期权，还应遵循如下投资组合限制：</w:t>
      </w:r>
    </w:p>
    <w:p>
      <w:pPr>
        <w:pStyle w:val="7"/>
        <w:spacing w:before="0" w:beforeAutospacing="0" w:after="0" w:afterAutospacing="0" w:line="360" w:lineRule="auto"/>
        <w:ind w:firstLine="420"/>
        <w:rPr>
          <w:sz w:val="21"/>
          <w:szCs w:val="21"/>
        </w:rPr>
      </w:pPr>
      <w:r>
        <w:rPr>
          <w:rFonts w:hint="eastAsia"/>
          <w:sz w:val="21"/>
          <w:szCs w:val="21"/>
        </w:rPr>
        <w:t>1）因未平仓的期权合约支付和收取的权利金总额不得超过基金资产净值的10%；</w:t>
      </w:r>
    </w:p>
    <w:p>
      <w:pPr>
        <w:pStyle w:val="7"/>
        <w:spacing w:before="0" w:beforeAutospacing="0" w:after="0" w:afterAutospacing="0" w:line="360" w:lineRule="auto"/>
        <w:ind w:firstLine="420"/>
        <w:rPr>
          <w:sz w:val="21"/>
          <w:szCs w:val="21"/>
        </w:rPr>
      </w:pPr>
      <w:r>
        <w:rPr>
          <w:rFonts w:hint="eastAsia"/>
          <w:sz w:val="21"/>
          <w:szCs w:val="21"/>
        </w:rPr>
        <w:t>2）开仓卖出认购期权的，应持有足额标的证券；开仓卖出认沽期权的，应持有合约行权所需的全额现金或交易所规则认可的可冲抵期权保证金的现金等价物；</w:t>
      </w:r>
    </w:p>
    <w:p>
      <w:pPr>
        <w:pStyle w:val="7"/>
        <w:spacing w:before="0" w:beforeAutospacing="0" w:after="0" w:afterAutospacing="0" w:line="360" w:lineRule="auto"/>
        <w:ind w:firstLine="420"/>
        <w:rPr>
          <w:sz w:val="21"/>
          <w:szCs w:val="21"/>
        </w:rPr>
      </w:pPr>
      <w:r>
        <w:rPr>
          <w:rFonts w:hint="eastAsia"/>
          <w:sz w:val="21"/>
          <w:szCs w:val="21"/>
        </w:rPr>
        <w:t>3）未平仓的期权合约面值不得超过基金资产净值的20%。其中，合约面值按照行权价乘以合约乘数计算；</w:t>
      </w:r>
    </w:p>
    <w:p>
      <w:pPr>
        <w:pStyle w:val="7"/>
        <w:spacing w:before="0" w:beforeAutospacing="0" w:after="0" w:afterAutospacing="0" w:line="360" w:lineRule="auto"/>
        <w:ind w:firstLine="420"/>
        <w:rPr>
          <w:sz w:val="21"/>
          <w:szCs w:val="21"/>
        </w:rPr>
      </w:pPr>
      <w:r>
        <w:rPr>
          <w:rFonts w:hint="eastAsia"/>
          <w:sz w:val="21"/>
          <w:szCs w:val="21"/>
        </w:rPr>
        <w:t>（13）本基金参与转融通证券出借业务，需遵守下列投资限制：</w:t>
      </w:r>
    </w:p>
    <w:p>
      <w:pPr>
        <w:pStyle w:val="7"/>
        <w:spacing w:before="0" w:beforeAutospacing="0" w:after="0" w:afterAutospacing="0" w:line="360" w:lineRule="auto"/>
        <w:ind w:firstLine="420"/>
        <w:rPr>
          <w:sz w:val="21"/>
          <w:szCs w:val="21"/>
        </w:rPr>
      </w:pPr>
      <w:r>
        <w:rPr>
          <w:rFonts w:hint="eastAsia"/>
          <w:sz w:val="21"/>
          <w:szCs w:val="21"/>
        </w:rPr>
        <w:t>1）出借证券资产不得超过基金资产净值的30%，出借期限在10 个交易日以上的出借证券应纳入《流动性风险管理规定》所述流动性受限证券的范围；</w:t>
      </w:r>
    </w:p>
    <w:p>
      <w:pPr>
        <w:pStyle w:val="7"/>
        <w:spacing w:before="0" w:beforeAutospacing="0" w:after="0" w:afterAutospacing="0" w:line="360" w:lineRule="auto"/>
        <w:ind w:firstLine="420"/>
        <w:rPr>
          <w:sz w:val="21"/>
          <w:szCs w:val="21"/>
        </w:rPr>
      </w:pPr>
      <w:r>
        <w:rPr>
          <w:rFonts w:hint="eastAsia"/>
          <w:sz w:val="21"/>
          <w:szCs w:val="21"/>
        </w:rPr>
        <w:t>2）参与出借业务的单只证券不得超过本基金持有该证券总量的50%；</w:t>
      </w:r>
    </w:p>
    <w:p>
      <w:pPr>
        <w:pStyle w:val="7"/>
        <w:spacing w:before="0" w:beforeAutospacing="0" w:after="0" w:afterAutospacing="0" w:line="360" w:lineRule="auto"/>
        <w:ind w:firstLine="420"/>
        <w:rPr>
          <w:sz w:val="21"/>
          <w:szCs w:val="21"/>
        </w:rPr>
      </w:pPr>
      <w:r>
        <w:rPr>
          <w:rFonts w:hint="eastAsia"/>
          <w:sz w:val="21"/>
          <w:szCs w:val="21"/>
        </w:rPr>
        <w:t>3）最近6个月内日均基金资产净值不得低于2亿元；</w:t>
      </w:r>
    </w:p>
    <w:p>
      <w:pPr>
        <w:pStyle w:val="7"/>
        <w:spacing w:before="0" w:beforeAutospacing="0" w:after="0" w:afterAutospacing="0" w:line="360" w:lineRule="auto"/>
        <w:ind w:firstLine="420"/>
        <w:rPr>
          <w:sz w:val="21"/>
          <w:szCs w:val="21"/>
        </w:rPr>
      </w:pPr>
      <w:r>
        <w:rPr>
          <w:rFonts w:hint="eastAsia"/>
          <w:sz w:val="21"/>
          <w:szCs w:val="21"/>
        </w:rPr>
        <w:t>4）证券出借的平均剩余期限不得超过30天，平均剩余期限按照市值加权平均计算；</w:t>
      </w:r>
    </w:p>
    <w:p>
      <w:pPr>
        <w:pStyle w:val="7"/>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pPr>
        <w:pStyle w:val="7"/>
        <w:spacing w:before="0" w:beforeAutospacing="0" w:after="0" w:afterAutospacing="0" w:line="360" w:lineRule="auto"/>
        <w:ind w:firstLine="420"/>
        <w:rPr>
          <w:sz w:val="21"/>
          <w:szCs w:val="21"/>
        </w:rPr>
      </w:pPr>
      <w:r>
        <w:rPr>
          <w:rFonts w:hint="eastAsia"/>
          <w:sz w:val="21"/>
          <w:szCs w:val="21"/>
        </w:rPr>
        <w:t>（14）本基金主动投资于流动性受限资产的市值合计不得超过本基金资产净值的15%；</w:t>
      </w:r>
    </w:p>
    <w:p>
      <w:pPr>
        <w:pStyle w:val="7"/>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pPr>
        <w:pStyle w:val="7"/>
        <w:spacing w:before="0" w:beforeAutospacing="0" w:after="0" w:afterAutospacing="0" w:line="360" w:lineRule="auto"/>
        <w:ind w:firstLine="420"/>
        <w:rPr>
          <w:sz w:val="21"/>
          <w:szCs w:val="21"/>
        </w:rPr>
      </w:pPr>
      <w:r>
        <w:rPr>
          <w:rFonts w:hint="eastAsia"/>
          <w:sz w:val="21"/>
          <w:szCs w:val="21"/>
        </w:rPr>
        <w:t>（15）本基金与私募类证券资管产品及中国证监会认定的其他主体为交易对手开展逆回购交易的，可接受质押品的资质要求应当与基金合同约定的投资范围保持一致；</w:t>
      </w:r>
    </w:p>
    <w:p>
      <w:pPr>
        <w:pStyle w:val="7"/>
        <w:spacing w:before="0" w:beforeAutospacing="0" w:after="0" w:afterAutospacing="0" w:line="360" w:lineRule="auto"/>
        <w:ind w:firstLine="420"/>
        <w:rPr>
          <w:sz w:val="21"/>
          <w:szCs w:val="21"/>
        </w:rPr>
      </w:pPr>
      <w:r>
        <w:rPr>
          <w:rFonts w:hint="eastAsia"/>
          <w:sz w:val="21"/>
          <w:szCs w:val="21"/>
        </w:rPr>
        <w:t>（16）本基金投资存托凭证的比例限制依照境内上市交易的股票执行，与境内上市交易的股票合并计算；</w:t>
      </w:r>
    </w:p>
    <w:p>
      <w:pPr>
        <w:pStyle w:val="7"/>
        <w:spacing w:before="0" w:beforeAutospacing="0" w:after="0" w:afterAutospacing="0" w:line="360" w:lineRule="auto"/>
        <w:ind w:firstLine="420"/>
        <w:rPr>
          <w:sz w:val="21"/>
          <w:szCs w:val="21"/>
        </w:rPr>
      </w:pPr>
      <w:r>
        <w:rPr>
          <w:rFonts w:hint="eastAsia"/>
          <w:sz w:val="21"/>
          <w:szCs w:val="21"/>
        </w:rPr>
        <w:t>（17）相关法律法规以及监管部门规定的和基金合同约定的其它投资比例限制。</w:t>
      </w:r>
    </w:p>
    <w:p>
      <w:pPr>
        <w:pStyle w:val="7"/>
        <w:spacing w:before="0" w:beforeAutospacing="0" w:after="0" w:afterAutospacing="0" w:line="360" w:lineRule="auto"/>
        <w:ind w:firstLine="420"/>
        <w:rPr>
          <w:sz w:val="21"/>
          <w:szCs w:val="21"/>
        </w:rPr>
      </w:pPr>
      <w:r>
        <w:rPr>
          <w:rFonts w:hint="eastAsia"/>
          <w:sz w:val="21"/>
          <w:szCs w:val="21"/>
        </w:rPr>
        <w:t>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7"/>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pPr>
        <w:pStyle w:val="7"/>
        <w:spacing w:before="0" w:beforeAutospacing="0" w:after="0" w:afterAutospacing="0" w:line="360" w:lineRule="auto"/>
        <w:ind w:firstLine="420"/>
        <w:rPr>
          <w:sz w:val="21"/>
          <w:szCs w:val="21"/>
        </w:rPr>
      </w:pPr>
      <w:r>
        <w:rPr>
          <w:rFonts w:hint="eastAsia"/>
          <w:sz w:val="21"/>
          <w:szCs w:val="21"/>
        </w:rPr>
        <w:t>3、基金托管人根据有关法律法规的规定及《基金合同》的约定，对下述基金投资禁止行为进行监督。基金托管人通过事后监督方式对基金管理人基金投资禁止行为进行监督。 </w:t>
      </w:r>
    </w:p>
    <w:p>
      <w:pPr>
        <w:pStyle w:val="7"/>
        <w:spacing w:before="0" w:beforeAutospacing="0" w:after="0" w:afterAutospacing="0" w:line="360" w:lineRule="auto"/>
        <w:ind w:firstLine="420"/>
        <w:rPr>
          <w:sz w:val="21"/>
          <w:szCs w:val="21"/>
        </w:rPr>
      </w:pPr>
      <w:r>
        <w:rPr>
          <w:rFonts w:hint="eastAsia"/>
          <w:sz w:val="21"/>
          <w:szCs w:val="21"/>
        </w:rPr>
        <w:t>（1）承销证券；</w:t>
      </w:r>
    </w:p>
    <w:p>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pPr>
        <w:pStyle w:val="7"/>
        <w:spacing w:before="0" w:beforeAutospacing="0" w:after="0" w:afterAutospacing="0" w:line="360" w:lineRule="auto"/>
        <w:ind w:firstLine="420"/>
        <w:rPr>
          <w:sz w:val="21"/>
          <w:szCs w:val="21"/>
        </w:rPr>
      </w:pPr>
      <w:r>
        <w:rPr>
          <w:rFonts w:hint="eastAsia"/>
          <w:sz w:val="21"/>
          <w:szCs w:val="21"/>
        </w:rPr>
        <w:t>（3）从事承担无限责任的投资；</w:t>
      </w:r>
    </w:p>
    <w:p>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pStyle w:val="7"/>
        <w:spacing w:before="0" w:beforeAutospacing="0" w:after="0" w:afterAutospacing="0" w:line="360" w:lineRule="auto"/>
        <w:ind w:firstLine="420"/>
        <w:rPr>
          <w:sz w:val="21"/>
          <w:szCs w:val="21"/>
        </w:rPr>
      </w:pPr>
      <w:r>
        <w:rPr>
          <w:rFonts w:hint="eastAsia"/>
          <w:sz w:val="21"/>
          <w:szCs w:val="21"/>
        </w:rPr>
        <w:t>法律、行政法规或监管部门取消或变更上述规定，在履行适当程序后，则本基金投资不再受相关限制或以变更后的规定为准。</w:t>
      </w:r>
    </w:p>
    <w:p>
      <w:pPr>
        <w:pStyle w:val="7"/>
        <w:spacing w:before="0" w:beforeAutospacing="0" w:after="0" w:afterAutospacing="0" w:line="360" w:lineRule="auto"/>
        <w:ind w:firstLine="420"/>
        <w:rPr>
          <w:sz w:val="21"/>
          <w:szCs w:val="21"/>
        </w:rPr>
      </w:pPr>
      <w:r>
        <w:rPr>
          <w:rFonts w:hint="eastAsia"/>
          <w:sz w:val="21"/>
          <w:szCs w:val="21"/>
        </w:rPr>
        <w:t>（二）根据法律法规有关基金从事的关联交易的规定，基金管理人和基金托管人应事先相互提供与本机构有控股关系的股东、实际控制人或者与其有其他重大利害关系的公司名单及有关关联方发行的证券名单，加盖公章并书面提交，并确保所提供的关联交易名单的真实性、完整性、全面性。基金管理人及基金托管人有责任保管真实、完整、全面的关联交易名单，并负责及时更新该名单。名单变更后基金管理人或基金托管人应及时发送另一方，另一方于2个工作日内进行回函确认已知名单的变更。一方收到另一方书面确认后，新的关联交易名单开始生效。</w:t>
      </w:r>
    </w:p>
    <w:p>
      <w:pPr>
        <w:pStyle w:val="7"/>
        <w:spacing w:before="0" w:beforeAutospacing="0" w:after="0" w:afterAutospacing="0" w:line="360" w:lineRule="auto"/>
        <w:ind w:firstLine="420"/>
        <w:rPr>
          <w:sz w:val="21"/>
          <w:szCs w:val="21"/>
        </w:rPr>
      </w:pPr>
      <w:r>
        <w:rPr>
          <w:rFonts w:hint="eastAsia"/>
          <w:sz w:val="21"/>
          <w:szCs w:val="21"/>
        </w:rPr>
        <w:t>（三）基金托管人根据有关法律法规的规定及基金合同的约定，对基金管理人参与银行间债券市场进行监督。</w:t>
      </w:r>
    </w:p>
    <w:p>
      <w:pPr>
        <w:pStyle w:val="7"/>
        <w:spacing w:before="0" w:beforeAutospacing="0" w:after="0" w:afterAutospacing="0" w:line="360" w:lineRule="auto"/>
        <w:ind w:firstLine="420"/>
        <w:rPr>
          <w:sz w:val="21"/>
          <w:szCs w:val="21"/>
        </w:rPr>
      </w:pPr>
      <w:r>
        <w:rPr>
          <w:rFonts w:hint="eastAsia"/>
          <w:sz w:val="21"/>
          <w:szCs w:val="21"/>
        </w:rPr>
        <w:t>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pPr>
        <w:pStyle w:val="7"/>
        <w:spacing w:before="0" w:beforeAutospacing="0" w:after="0" w:afterAutospacing="0" w:line="360" w:lineRule="auto"/>
        <w:ind w:firstLine="420"/>
        <w:rPr>
          <w:sz w:val="21"/>
          <w:szCs w:val="21"/>
        </w:rPr>
      </w:pPr>
      <w:r>
        <w:rPr>
          <w:rFonts w:hint="eastAsia"/>
          <w:sz w:val="21"/>
          <w:szCs w:val="21"/>
        </w:rPr>
        <w:t>基金管理人负责对交易对手的资信控制，按银行间债券市场的交易规则进行交易，基金托管人不承担由此造成的相应法律责任及损失。若未履约的交易对手在基金托管人与基金管理人确定的时间前仍未承担违约责任及其他相关法律责任的，基金管理人有权向相关交易对手追偿，基金托管人应予以必要的协助与配合。基金托管人根据银行间债券市场成交单对本基金银行间债券交易的交易对手及其结算方式进行监督。如基金托管人事后发现基金管理人没有按照事先约定的交易对手或交易方式进行交易时，基金托管人应及时书面或以双方认可的其他方式提醒基金管理人，经提醒后仍未改正时造成基金财产损失的，基金托管人不承担由此造成的相应损失和责任。如果基金托管人未能切实履行监督职责，导致基金出现风险或造成基金资产损失的，基金托管人应承担相应责任。</w:t>
      </w:r>
    </w:p>
    <w:p>
      <w:pPr>
        <w:pStyle w:val="7"/>
        <w:spacing w:before="0" w:beforeAutospacing="0" w:after="0" w:afterAutospacing="0" w:line="360" w:lineRule="auto"/>
        <w:ind w:firstLine="420"/>
        <w:rPr>
          <w:sz w:val="21"/>
          <w:szCs w:val="21"/>
        </w:rPr>
      </w:pPr>
      <w:r>
        <w:rPr>
          <w:rFonts w:hint="eastAsia"/>
          <w:sz w:val="21"/>
          <w:szCs w:val="21"/>
        </w:rPr>
        <w:t>（四）基金管理人、基金托管人应当与存款银行建立定期对账机制，确保基金银行存款业务账目及核算的真实、准确。基金管理人应当按照有关法规规定，与基金托管人、存款机构签订相关书面协议。基金托管人应根据有关相关法规及协议对基金银行存款业务进行监督与核查，严格审查、复核相关协议、账户资料、投资指令、存款证实书等有关文件，切实履行托管职责。</w:t>
      </w:r>
    </w:p>
    <w:p>
      <w:pPr>
        <w:pStyle w:val="7"/>
        <w:spacing w:before="0" w:beforeAutospacing="0" w:after="0" w:afterAutospacing="0" w:line="360" w:lineRule="auto"/>
        <w:ind w:firstLine="420"/>
        <w:rPr>
          <w:sz w:val="21"/>
          <w:szCs w:val="21"/>
        </w:rPr>
      </w:pPr>
      <w:r>
        <w:rPr>
          <w:rFonts w:hint="eastAsia"/>
          <w:sz w:val="21"/>
          <w:szCs w:val="21"/>
        </w:rPr>
        <w:t>基金管理人与基金托管人在开展基金存款业务时，应严格遵守《基金法》、《运作办法》等有关法律法规，以及国家有关账户管理、利率管理、支付结算等的各项规定。</w:t>
      </w:r>
    </w:p>
    <w:p>
      <w:pPr>
        <w:pStyle w:val="7"/>
        <w:spacing w:before="0" w:beforeAutospacing="0" w:after="0" w:afterAutospacing="0" w:line="360" w:lineRule="auto"/>
        <w:ind w:firstLine="420"/>
        <w:rPr>
          <w:sz w:val="21"/>
          <w:szCs w:val="21"/>
        </w:rPr>
      </w:pPr>
      <w:r>
        <w:rPr>
          <w:rFonts w:hint="eastAsia"/>
          <w:sz w:val="21"/>
          <w:szCs w:val="21"/>
        </w:rPr>
        <w:t>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在基金投资运作之前未向基金托管人提供存款银行名单的，视为基金管理人认可所有银行。</w:t>
      </w:r>
    </w:p>
    <w:p>
      <w:pPr>
        <w:pStyle w:val="7"/>
        <w:spacing w:before="0" w:beforeAutospacing="0" w:after="0" w:afterAutospacing="0" w:line="360" w:lineRule="auto"/>
        <w:ind w:firstLine="420"/>
        <w:rPr>
          <w:sz w:val="21"/>
          <w:szCs w:val="21"/>
        </w:rPr>
      </w:pPr>
      <w:r>
        <w:rPr>
          <w:rFonts w:hint="eastAsia"/>
          <w:sz w:val="21"/>
          <w:szCs w:val="21"/>
        </w:rPr>
        <w:t>基金托管人不对定期存款提前支取的损失承担责任。</w:t>
      </w:r>
    </w:p>
    <w:p>
      <w:pPr>
        <w:pStyle w:val="7"/>
        <w:spacing w:before="0" w:beforeAutospacing="0" w:after="0" w:afterAutospacing="0" w:line="360" w:lineRule="auto"/>
        <w:ind w:firstLine="420"/>
        <w:rPr>
          <w:sz w:val="21"/>
          <w:szCs w:val="21"/>
        </w:rPr>
      </w:pPr>
      <w:r>
        <w:rPr>
          <w:rFonts w:hint="eastAsia"/>
          <w:sz w:val="21"/>
          <w:szCs w:val="21"/>
        </w:rPr>
        <w:t>（五）基金托管人根据有关法律法规的规定及基金合同的约定，对基金参与转融通证券出借业务进行监督。</w:t>
      </w:r>
    </w:p>
    <w:p>
      <w:pPr>
        <w:pStyle w:val="7"/>
        <w:spacing w:before="0" w:beforeAutospacing="0" w:after="0" w:afterAutospacing="0" w:line="360" w:lineRule="auto"/>
        <w:ind w:firstLine="420"/>
        <w:rPr>
          <w:sz w:val="21"/>
          <w:szCs w:val="21"/>
        </w:rPr>
      </w:pPr>
      <w:r>
        <w:rPr>
          <w:rFonts w:hint="eastAsia"/>
          <w:sz w:val="21"/>
          <w:szCs w:val="21"/>
        </w:rPr>
        <w:t>基金管理人运用基金财产参与转融通证券出借业务，应当遵守审慎经营原则，配备技术系统和专业人员，制定科学合理的投资策略和风险管理制度，完善业务流程，有效防范和控制风险，切实维护基金财产的安全和基金份额持有人合法权益。基金托管人应当加强对基金参与转融通证券出借业务的监督和复核，切实维护基金财产的安全和基金份额持有人合法权益。</w:t>
      </w:r>
    </w:p>
    <w:p>
      <w:pPr>
        <w:pStyle w:val="7"/>
        <w:spacing w:before="0" w:beforeAutospacing="0" w:after="0" w:afterAutospacing="0" w:line="360" w:lineRule="auto"/>
        <w:ind w:firstLine="420"/>
        <w:rPr>
          <w:sz w:val="21"/>
          <w:szCs w:val="21"/>
        </w:rPr>
      </w:pPr>
      <w:r>
        <w:rPr>
          <w:rFonts w:hint="eastAsia"/>
          <w:sz w:val="21"/>
          <w:szCs w:val="21"/>
        </w:rPr>
        <w:t>（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pStyle w:val="7"/>
        <w:spacing w:before="0" w:beforeAutospacing="0" w:after="0" w:afterAutospacing="0" w:line="360" w:lineRule="auto"/>
        <w:ind w:firstLine="420"/>
        <w:rPr>
          <w:sz w:val="21"/>
          <w:szCs w:val="21"/>
        </w:rPr>
      </w:pPr>
      <w:r>
        <w:rPr>
          <w:rFonts w:hint="eastAsia"/>
          <w:sz w:val="21"/>
          <w:szCs w:val="21"/>
        </w:rPr>
        <w:t>（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如果基金托管人未能切实履行监督职责，导致基金出现风险或造成基金资产损失的，基金托管人应承担相应责任。</w:t>
      </w:r>
    </w:p>
    <w:p>
      <w:pPr>
        <w:pStyle w:val="7"/>
        <w:spacing w:before="0" w:beforeAutospacing="0" w:after="0" w:afterAutospacing="0" w:line="360" w:lineRule="auto"/>
        <w:ind w:firstLine="420"/>
        <w:rPr>
          <w:sz w:val="21"/>
          <w:szCs w:val="21"/>
        </w:rPr>
      </w:pPr>
      <w:r>
        <w:rPr>
          <w:rFonts w:hint="eastAsia"/>
          <w:sz w:val="21"/>
          <w:szCs w:val="21"/>
        </w:rPr>
        <w:t>（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九）若基金托管人发现基金管理人依据交易程序已经生效的指令违反法律、行政法规和其他有关规定，或者违反基金合同约定的，应当立即以书面或以双方认可的其他方式通知基金管理人，由此造成的相应损失由基金管理人承担。</w:t>
      </w:r>
    </w:p>
    <w:p>
      <w:pPr>
        <w:pStyle w:val="7"/>
        <w:spacing w:before="0" w:beforeAutospacing="0" w:after="0" w:afterAutospacing="0" w:line="360" w:lineRule="auto"/>
        <w:ind w:firstLine="420"/>
        <w:rPr>
          <w:sz w:val="21"/>
          <w:szCs w:val="21"/>
        </w:rPr>
      </w:pPr>
      <w:r>
        <w:rPr>
          <w:rFonts w:hint="eastAsia"/>
          <w:sz w:val="21"/>
          <w:szCs w:val="21"/>
        </w:rPr>
        <w:t>（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pStyle w:val="7"/>
        <w:spacing w:before="0" w:beforeAutospacing="0" w:after="0" w:afterAutospacing="0" w:line="360" w:lineRule="auto"/>
        <w:ind w:firstLine="420"/>
        <w:rPr>
          <w:sz w:val="21"/>
          <w:szCs w:val="21"/>
        </w:rPr>
      </w:pPr>
      <w:r>
        <w:rPr>
          <w:rFonts w:hint="eastAsia"/>
          <w:sz w:val="21"/>
          <w:szCs w:val="21"/>
        </w:rPr>
        <w:t>（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pStyle w:val="7"/>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根据有关法律法规、《基金合同》及本协议规定，基金管理人对基金托管人履行托管职责情况进行核查，核查事项包括但不限于基金托管人安全保管基金财产、开设基金财产的资金账户、证券账户及投资所需的其他账户、复核基金管理人计算的基金资产净值和基金份额净值、根据基金管理人指令办理清算交收、相关信息披露和监督基金投资运作等行为。</w:t>
      </w:r>
    </w:p>
    <w:p>
      <w:pPr>
        <w:pStyle w:val="7"/>
        <w:spacing w:before="0" w:beforeAutospacing="0" w:after="0" w:afterAutospacing="0" w:line="360" w:lineRule="auto"/>
        <w:ind w:firstLine="420"/>
        <w:rPr>
          <w:sz w:val="21"/>
          <w:szCs w:val="21"/>
        </w:rPr>
      </w:pPr>
      <w:r>
        <w:rPr>
          <w:rFonts w:hint="eastAsia"/>
          <w:sz w:val="21"/>
          <w:szCs w:val="21"/>
        </w:rPr>
        <w:t>基金管理人发现基金托管人擅自挪用基金财产、未对基金财产实行分账管理、无故未执行或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基金管理人发现基金托管人有重大违规行为，应立即报告中国证监会和银行业监督管理机构，同时通知基金托管人限期纠正。</w:t>
      </w:r>
    </w:p>
    <w:p>
      <w:pPr>
        <w:pStyle w:val="7"/>
        <w:spacing w:before="0" w:beforeAutospacing="0" w:after="0" w:afterAutospacing="0" w:line="360" w:lineRule="auto"/>
        <w:ind w:firstLine="420"/>
        <w:rPr>
          <w:sz w:val="21"/>
          <w:szCs w:val="21"/>
        </w:rPr>
      </w:pPr>
      <w:r>
        <w:rPr>
          <w:rFonts w:hint="eastAsia"/>
          <w:sz w:val="21"/>
          <w:szCs w:val="21"/>
        </w:rPr>
        <w:t>基金管理人基于正当合理理由可定期和不定期地对基金托管人保管的基金财产进行核查。基金托管人应积极配合基金管理人的核查行为，包括但不限于：提交相关资料以供基金管理人核查托管财产的完整性和真实性，在规定时间内答复基金管理人并改正。</w:t>
      </w:r>
    </w:p>
    <w:p>
      <w:pPr>
        <w:pStyle w:val="7"/>
        <w:spacing w:before="0" w:beforeAutospacing="0" w:after="0" w:afterAutospacing="0" w:line="360" w:lineRule="auto"/>
        <w:ind w:firstLine="420"/>
        <w:rPr>
          <w:sz w:val="21"/>
          <w:szCs w:val="21"/>
        </w:rPr>
      </w:pPr>
      <w:r>
        <w:rPr>
          <w:rFonts w:hint="eastAsia"/>
          <w:sz w:val="21"/>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（一）基金财产保管的原则</w:t>
      </w:r>
    </w:p>
    <w:p>
      <w:pPr>
        <w:pStyle w:val="7"/>
        <w:spacing w:before="0" w:beforeAutospacing="0" w:after="0" w:afterAutospacing="0" w:line="360" w:lineRule="auto"/>
        <w:ind w:firstLine="420"/>
        <w:rPr>
          <w:sz w:val="21"/>
          <w:szCs w:val="21"/>
        </w:rPr>
      </w:pPr>
      <w:r>
        <w:rPr>
          <w:rFonts w:hint="eastAsia"/>
          <w:sz w:val="21"/>
          <w:szCs w:val="21"/>
        </w:rPr>
        <w:t>1、基金财产应独立于基金管理人、基金托管人的固有财产。</w:t>
      </w:r>
    </w:p>
    <w:p>
      <w:pPr>
        <w:pStyle w:val="7"/>
        <w:spacing w:before="0" w:beforeAutospacing="0" w:after="0" w:afterAutospacing="0" w:line="360" w:lineRule="auto"/>
        <w:ind w:firstLine="420"/>
        <w:rPr>
          <w:sz w:val="21"/>
          <w:szCs w:val="21"/>
        </w:rPr>
      </w:pPr>
      <w:r>
        <w:rPr>
          <w:rFonts w:hint="eastAsia"/>
          <w:sz w:val="21"/>
          <w:szCs w:val="21"/>
        </w:rPr>
        <w:t>2、基金托管人应安全保管基金财产。未经基金管理人的正当指令，不得自行运用、处分、分配基金的任何财产。</w:t>
      </w:r>
    </w:p>
    <w:p>
      <w:pPr>
        <w:pStyle w:val="7"/>
        <w:spacing w:before="0" w:beforeAutospacing="0" w:after="0" w:afterAutospacing="0" w:line="360" w:lineRule="auto"/>
        <w:ind w:firstLine="420"/>
        <w:rPr>
          <w:sz w:val="21"/>
          <w:szCs w:val="21"/>
        </w:rPr>
      </w:pPr>
      <w:r>
        <w:rPr>
          <w:rFonts w:hint="eastAsia"/>
          <w:sz w:val="21"/>
          <w:szCs w:val="21"/>
        </w:rPr>
        <w:t>3、基金托管人按照规定开设基金财产的资金账户、证券账户及投资所需的其他账户。</w:t>
      </w:r>
    </w:p>
    <w:p>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4、基金托管人对所托管的不同基金财产分别设置账户、独立核算，与基金托管人的其他业务和其他基金的托管业务实行严格的分账管理，确保基金财产的完整与独立。</w:t>
      </w:r>
    </w:p>
    <w:p>
      <w:pPr>
        <w:pStyle w:val="7"/>
        <w:spacing w:before="0" w:beforeAutospacing="0" w:after="0" w:afterAutospacing="0" w:line="360" w:lineRule="auto"/>
        <w:ind w:firstLine="420"/>
        <w:rPr>
          <w:sz w:val="21"/>
          <w:szCs w:val="21"/>
        </w:rPr>
      </w:pPr>
      <w:r>
        <w:rPr>
          <w:rFonts w:hint="eastAsia"/>
          <w:sz w:val="21"/>
          <w:szCs w:val="21"/>
        </w:rPr>
        <w:t>5、对于因基金认（申）购、基金投资过程中产生的应收财产，应由基金管理人负责与有关当事人确定到账日期并通知基金托管人，到账日基金财产没有到达基金托管人处的，基金托管人应及时通知并有义务配合基金管理人采取措施进行催收。由此给基金造成损失的，基金管理人应负责向有关当事人追偿基金的损失，基金托管人应予以必要的协助与配合，但基金托管人对此不承担相应责任。</w:t>
      </w:r>
    </w:p>
    <w:p>
      <w:pPr>
        <w:pStyle w:val="7"/>
        <w:spacing w:before="0" w:beforeAutospacing="0" w:after="0" w:afterAutospacing="0" w:line="360" w:lineRule="auto"/>
        <w:ind w:firstLine="420"/>
        <w:rPr>
          <w:sz w:val="21"/>
          <w:szCs w:val="21"/>
        </w:rPr>
      </w:pPr>
      <w:r>
        <w:rPr>
          <w:rFonts w:hint="eastAsia"/>
          <w:sz w:val="21"/>
          <w:szCs w:val="21"/>
        </w:rPr>
        <w:t>6、基金托管人对因为基金管理人投资产生的存放或存管在基金托管人以外机构的基金财产，或交由证券公司负责清算交收的基金资产及其收益，由于该等机构或该机构会员单位等本协议当事人外第三方的欺诈、疏忽、过失或破产等原因给基金财产造成的损失等不承担责任。</w:t>
      </w:r>
    </w:p>
    <w:p>
      <w:pPr>
        <w:pStyle w:val="7"/>
        <w:spacing w:before="0" w:beforeAutospacing="0" w:after="0" w:afterAutospacing="0" w:line="360" w:lineRule="auto"/>
        <w:ind w:firstLine="420"/>
        <w:rPr>
          <w:sz w:val="21"/>
          <w:szCs w:val="21"/>
        </w:rPr>
      </w:pPr>
      <w:r>
        <w:rPr>
          <w:rFonts w:hint="eastAsia"/>
          <w:sz w:val="21"/>
          <w:szCs w:val="21"/>
        </w:rPr>
        <w:t>7、除依据法律法规和《基金合同》的规定外，基金托管人不得委托第三人托管基金财产。</w:t>
      </w:r>
    </w:p>
    <w:p>
      <w:pPr>
        <w:pStyle w:val="7"/>
        <w:spacing w:before="0" w:beforeAutospacing="0" w:after="0" w:afterAutospacing="0" w:line="360" w:lineRule="auto"/>
        <w:ind w:firstLine="420"/>
        <w:rPr>
          <w:sz w:val="21"/>
          <w:szCs w:val="21"/>
        </w:rPr>
      </w:pPr>
      <w:r>
        <w:rPr>
          <w:rFonts w:hint="eastAsia"/>
          <w:sz w:val="21"/>
          <w:szCs w:val="21"/>
        </w:rPr>
        <w:t>（二）基金募集期间及募集资金的验资</w:t>
      </w:r>
    </w:p>
    <w:p>
      <w:pPr>
        <w:pStyle w:val="7"/>
        <w:spacing w:before="0" w:beforeAutospacing="0" w:after="0" w:afterAutospacing="0" w:line="360" w:lineRule="auto"/>
        <w:ind w:firstLine="420"/>
        <w:rPr>
          <w:sz w:val="21"/>
          <w:szCs w:val="21"/>
        </w:rPr>
      </w:pPr>
      <w:r>
        <w:rPr>
          <w:rFonts w:hint="eastAsia"/>
          <w:sz w:val="21"/>
          <w:szCs w:val="21"/>
        </w:rPr>
        <w:t>1、基金募集期间募集的资金应存于基金管理人开立的“基金募集专户”。该账户由基金管理人开立并管理。</w:t>
      </w:r>
    </w:p>
    <w:p>
      <w:pPr>
        <w:pStyle w:val="7"/>
        <w:spacing w:before="0" w:beforeAutospacing="0" w:after="0" w:afterAutospacing="0" w:line="360" w:lineRule="auto"/>
        <w:ind w:firstLine="420"/>
        <w:rPr>
          <w:sz w:val="21"/>
          <w:szCs w:val="21"/>
        </w:rPr>
      </w:pPr>
      <w:r>
        <w:rPr>
          <w:rFonts w:hint="eastAsia"/>
          <w:sz w:val="21"/>
          <w:szCs w:val="21"/>
        </w:rPr>
        <w:t>2、基金募集期满或基金停止募集时，发起资金的认购金额、发起资金提供方及其承诺的持有期限符合《基金法》、《运作办法》等有关规定后，基金管理人应将属于基金财产的全部资金划入基金托管人开立的基金银行账户，同时在规定时间内，聘请具有符合《中华人民共和国证券法》规定的会计师事务所进行验资，出具验资报告，验资报告需对发起资金提供方及其持有份额进行专门说明。出具的验资报告由参加验资的2名或2名以上中国注册会计师签字方为有效。</w:t>
      </w:r>
    </w:p>
    <w:p>
      <w:pPr>
        <w:pStyle w:val="7"/>
        <w:spacing w:before="0" w:beforeAutospacing="0" w:after="0" w:afterAutospacing="0" w:line="360" w:lineRule="auto"/>
        <w:ind w:firstLine="420"/>
        <w:rPr>
          <w:sz w:val="21"/>
          <w:szCs w:val="21"/>
        </w:rPr>
      </w:pPr>
      <w:r>
        <w:rPr>
          <w:rFonts w:hint="eastAsia"/>
          <w:sz w:val="21"/>
          <w:szCs w:val="21"/>
        </w:rPr>
        <w:t>3、若基金募集期限届满，未能达到《基金合同》生效的条件，由基金管理人按规定办理退款等事宜，基金托管人应提供充分协助。</w:t>
      </w:r>
    </w:p>
    <w:p>
      <w:pPr>
        <w:pStyle w:val="7"/>
        <w:spacing w:before="0" w:beforeAutospacing="0" w:after="0" w:afterAutospacing="0" w:line="360" w:lineRule="auto"/>
        <w:ind w:firstLine="420"/>
        <w:rPr>
          <w:sz w:val="21"/>
          <w:szCs w:val="21"/>
        </w:rPr>
      </w:pPr>
      <w:r>
        <w:rPr>
          <w:rFonts w:hint="eastAsia"/>
          <w:sz w:val="21"/>
          <w:szCs w:val="21"/>
        </w:rPr>
        <w:t>（三）基金的银行账户的开立和管理</w:t>
      </w:r>
    </w:p>
    <w:p>
      <w:pPr>
        <w:pStyle w:val="7"/>
        <w:spacing w:before="0" w:beforeAutospacing="0" w:after="0" w:afterAutospacing="0" w:line="360" w:lineRule="auto"/>
        <w:ind w:firstLine="420"/>
        <w:rPr>
          <w:sz w:val="21"/>
          <w:szCs w:val="21"/>
        </w:rPr>
      </w:pPr>
      <w:r>
        <w:rPr>
          <w:rFonts w:hint="eastAsia"/>
          <w:sz w:val="21"/>
          <w:szCs w:val="21"/>
        </w:rPr>
        <w:t>1、基金托管人为本基金单独开立托管资金账户。托管资金账户的名称应当包含本基金名称，具体名称以实际开立为准。本基金的一切货币收支活动，包括但不限于投资、支付赎回金额、支付现金红利、收取申购款，均需通过该托管资金账户进行。</w:t>
      </w:r>
    </w:p>
    <w:p>
      <w:pPr>
        <w:pStyle w:val="7"/>
        <w:spacing w:before="0" w:beforeAutospacing="0" w:after="0" w:afterAutospacing="0" w:line="360" w:lineRule="auto"/>
        <w:ind w:firstLine="420"/>
        <w:rPr>
          <w:sz w:val="21"/>
          <w:szCs w:val="21"/>
        </w:rPr>
      </w:pPr>
      <w:r>
        <w:rPr>
          <w:rFonts w:hint="eastAsia"/>
          <w:sz w:val="21"/>
          <w:szCs w:val="21"/>
        </w:rPr>
        <w:t>2、基金托管专户的开立和使用，限于满足开展本基金业务的需要。基金托管人和基金管理人不得假借本基金的名义开立其他任何银行账户；亦不得使用基金的任何银行账户进行本基金业务以外的活动。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3、基金托管专户的管理应符合《人民币银行结算账户管理办法》、《现金管理暂行条例》、《人民币利率管理规定》、《利率管理暂行规定》、《支付结算办法》以及银行业监督管理机构的其他规定。</w:t>
      </w:r>
    </w:p>
    <w:p>
      <w:pPr>
        <w:pStyle w:val="7"/>
        <w:spacing w:before="0" w:beforeAutospacing="0" w:after="0" w:afterAutospacing="0" w:line="360" w:lineRule="auto"/>
        <w:ind w:firstLine="420"/>
        <w:rPr>
          <w:sz w:val="21"/>
          <w:szCs w:val="21"/>
        </w:rPr>
      </w:pPr>
      <w:r>
        <w:rPr>
          <w:rFonts w:hint="eastAsia"/>
          <w:sz w:val="21"/>
          <w:szCs w:val="21"/>
        </w:rPr>
        <w:t>（四）基金证券账户、证券交易资金账户及结算备付金账户的开设和管理</w:t>
      </w:r>
    </w:p>
    <w:p>
      <w:pPr>
        <w:pStyle w:val="7"/>
        <w:spacing w:before="0" w:beforeAutospacing="0" w:after="0" w:afterAutospacing="0" w:line="360" w:lineRule="auto"/>
        <w:ind w:firstLine="420"/>
        <w:rPr>
          <w:sz w:val="21"/>
          <w:szCs w:val="21"/>
        </w:rPr>
      </w:pPr>
      <w:r>
        <w:rPr>
          <w:rFonts w:hint="eastAsia"/>
          <w:sz w:val="21"/>
          <w:szCs w:val="21"/>
        </w:rPr>
        <w:t>1、基金托管人以基金托管人和本基金联名的方式在中国证券登记结算有限责任公司开设证券账户。</w:t>
      </w:r>
    </w:p>
    <w:p>
      <w:pPr>
        <w:pStyle w:val="7"/>
        <w:spacing w:before="0" w:beforeAutospacing="0" w:after="0" w:afterAutospacing="0" w:line="360" w:lineRule="auto"/>
        <w:ind w:firstLine="420"/>
        <w:rPr>
          <w:sz w:val="21"/>
          <w:szCs w:val="21"/>
        </w:rPr>
      </w:pPr>
      <w:r>
        <w:rPr>
          <w:rFonts w:hint="eastAsia"/>
          <w:sz w:val="21"/>
          <w:szCs w:val="21"/>
        </w:rPr>
        <w:t>2、基金托管人以基金托管人的名义在中国证券登记结算有限责任公司开立基金证券交易资金账户，用于证券清算。</w:t>
      </w:r>
    </w:p>
    <w:p>
      <w:pPr>
        <w:pStyle w:val="7"/>
        <w:spacing w:before="0" w:beforeAutospacing="0" w:after="0" w:afterAutospacing="0" w:line="360" w:lineRule="auto"/>
        <w:ind w:firstLine="420"/>
        <w:rPr>
          <w:sz w:val="21"/>
          <w:szCs w:val="21"/>
        </w:rPr>
      </w:pPr>
      <w:r>
        <w:rPr>
          <w:rFonts w:hint="eastAsia"/>
          <w:sz w:val="21"/>
          <w:szCs w:val="21"/>
        </w:rPr>
        <w:t>3、基金托管人以基金托管人名义在中国证券登记结算有限责任公司开立托管人结算备付金账户，用于所托管产品的证券资金清算。结算备付金、结算互保基金、交收价差资金等的收取按照中国证券登记结算有限责任公司的规定执行。</w:t>
      </w:r>
    </w:p>
    <w:p>
      <w:pPr>
        <w:pStyle w:val="7"/>
        <w:spacing w:before="0" w:beforeAutospacing="0" w:after="0" w:afterAutospacing="0" w:line="360" w:lineRule="auto"/>
        <w:ind w:firstLine="420"/>
        <w:rPr>
          <w:sz w:val="21"/>
          <w:szCs w:val="21"/>
        </w:rPr>
      </w:pPr>
      <w:r>
        <w:rPr>
          <w:rFonts w:hint="eastAsia"/>
          <w:sz w:val="21"/>
          <w:szCs w:val="21"/>
        </w:rPr>
        <w:t>4、基金证券账户的开立和使用，限于满足开展本基金业务的需要。基金托管人和基金管理人不得出借和未经对方书面同意擅自转让基金的任何证券账户；亦不得使用基金的任何证券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5、基金证券账户的开立由基金托管人负责，账户资产的管理和运用由基金管理人负责。</w:t>
      </w:r>
    </w:p>
    <w:p>
      <w:pPr>
        <w:pStyle w:val="7"/>
        <w:spacing w:before="0" w:beforeAutospacing="0" w:after="0" w:afterAutospacing="0" w:line="360" w:lineRule="auto"/>
        <w:ind w:firstLine="420"/>
        <w:rPr>
          <w:sz w:val="21"/>
          <w:szCs w:val="21"/>
        </w:rPr>
      </w:pPr>
      <w:r>
        <w:rPr>
          <w:rFonts w:hint="eastAsia"/>
          <w:sz w:val="21"/>
          <w:szCs w:val="21"/>
        </w:rPr>
        <w:t>（五）定期存款账户</w:t>
      </w:r>
    </w:p>
    <w:p>
      <w:pPr>
        <w:pStyle w:val="7"/>
        <w:spacing w:before="0" w:beforeAutospacing="0" w:after="0" w:afterAutospacing="0" w:line="360" w:lineRule="auto"/>
        <w:ind w:firstLine="420"/>
        <w:rPr>
          <w:sz w:val="21"/>
          <w:szCs w:val="21"/>
        </w:rPr>
      </w:pPr>
      <w:r>
        <w:rPr>
          <w:rFonts w:hint="eastAsia"/>
          <w:sz w:val="21"/>
          <w:szCs w:val="21"/>
        </w:rPr>
        <w:t>基金财产投资定期存款的，基金管理人还需按照法规规定，与存款机构签订相关书面协议。</w:t>
      </w:r>
    </w:p>
    <w:p>
      <w:pPr>
        <w:pStyle w:val="7"/>
        <w:spacing w:before="0" w:beforeAutospacing="0" w:after="0" w:afterAutospacing="0" w:line="360" w:lineRule="auto"/>
        <w:ind w:firstLine="420"/>
        <w:rPr>
          <w:sz w:val="21"/>
          <w:szCs w:val="21"/>
        </w:rPr>
      </w:pPr>
      <w:r>
        <w:rPr>
          <w:rFonts w:hint="eastAsia"/>
          <w:sz w:val="21"/>
          <w:szCs w:val="21"/>
        </w:rPr>
        <w:t>本基金投资定期存款在存款机构开立的银行账户，包括实体或虚拟账户，其预留印鉴经各方商议后预留。对于任何的定期存款投资，基金管理人都必须和存款机构签订定期存款协议，约定双方的权利和义务，该协议作为划款指令附件。该协议中必须有如下明确条款：“存款证实书不得被质押或以任何方式被抵押，并不得用于转让和背书；本息到期归还或提前支取的所有款项必须划至托管专户（明确户名、开户行、账号等），不得划入其他任何账户”。如定期存款协议中未体现前述条款，基金托管人有权拒绝定期存款投资的划款指令。在取得存款证实书后，基金托管人保管证实书正本。基金管理人应该在合理的时间内进行定期存款的投资和支取事宜，若基金管理人提前支取或部分提前支取定期存款，若产生息差（即本基金已计提的资金利息和提前支取时收到的资金利息差额），该息差的处理方法由基金管理人和基金托管人双方协商解决。</w:t>
      </w:r>
    </w:p>
    <w:p>
      <w:pPr>
        <w:pStyle w:val="7"/>
        <w:spacing w:before="0" w:beforeAutospacing="0" w:after="0" w:afterAutospacing="0" w:line="360" w:lineRule="auto"/>
        <w:ind w:firstLine="420"/>
        <w:rPr>
          <w:sz w:val="21"/>
          <w:szCs w:val="21"/>
        </w:rPr>
      </w:pPr>
      <w:r>
        <w:rPr>
          <w:rFonts w:hint="eastAsia"/>
          <w:sz w:val="21"/>
          <w:szCs w:val="21"/>
        </w:rPr>
        <w:t>（六）债券托管账户的开立和管理</w:t>
      </w:r>
    </w:p>
    <w:p>
      <w:pPr>
        <w:pStyle w:val="7"/>
        <w:spacing w:before="0" w:beforeAutospacing="0" w:after="0" w:afterAutospacing="0" w:line="360" w:lineRule="auto"/>
        <w:ind w:firstLine="420"/>
        <w:rPr>
          <w:sz w:val="21"/>
          <w:szCs w:val="21"/>
        </w:rPr>
      </w:pPr>
      <w:r>
        <w:rPr>
          <w:rFonts w:hint="eastAsia"/>
          <w:sz w:val="21"/>
          <w:szCs w:val="21"/>
        </w:rPr>
        <w:t>《基金合同》生效后，基金管理人负责以基金的名义申请并取得进入全国银行间同业拆借市场的交易资格，并代表基金进行交易；基金托管人负责以基金的名义在中央国债登记结算有限责任公司和银行间债券市场清算所股份有限公司开设银行间债券市场债券托管账户，并代表基金进行债券和资金的清算。</w:t>
      </w:r>
    </w:p>
    <w:p>
      <w:pPr>
        <w:pStyle w:val="7"/>
        <w:spacing w:before="0" w:beforeAutospacing="0" w:after="0" w:afterAutospacing="0" w:line="360" w:lineRule="auto"/>
        <w:ind w:firstLine="420"/>
        <w:rPr>
          <w:sz w:val="21"/>
          <w:szCs w:val="21"/>
        </w:rPr>
      </w:pPr>
      <w:r>
        <w:rPr>
          <w:rFonts w:hint="eastAsia"/>
          <w:sz w:val="21"/>
          <w:szCs w:val="21"/>
        </w:rPr>
        <w:t>（七）其他账户的开设和管理</w:t>
      </w:r>
    </w:p>
    <w:p>
      <w:pPr>
        <w:pStyle w:val="7"/>
        <w:spacing w:before="0" w:beforeAutospacing="0" w:after="0" w:afterAutospacing="0" w:line="360" w:lineRule="auto"/>
        <w:ind w:firstLine="420"/>
        <w:rPr>
          <w:sz w:val="21"/>
          <w:szCs w:val="21"/>
        </w:rPr>
      </w:pPr>
      <w:r>
        <w:rPr>
          <w:rFonts w:hint="eastAsia"/>
          <w:sz w:val="21"/>
          <w:szCs w:val="21"/>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pPr>
        <w:pStyle w:val="7"/>
        <w:spacing w:before="0" w:beforeAutospacing="0" w:after="0" w:afterAutospacing="0" w:line="360" w:lineRule="auto"/>
        <w:ind w:firstLine="420"/>
        <w:rPr>
          <w:sz w:val="21"/>
          <w:szCs w:val="21"/>
        </w:rPr>
      </w:pPr>
      <w:r>
        <w:rPr>
          <w:rFonts w:hint="eastAsia"/>
          <w:sz w:val="21"/>
          <w:szCs w:val="21"/>
        </w:rPr>
        <w:t>2、法律法规等有关规定对相关账户的开立和管理另有规定的，从其规定办理。</w:t>
      </w:r>
    </w:p>
    <w:p>
      <w:pPr>
        <w:pStyle w:val="7"/>
        <w:spacing w:before="0" w:beforeAutospacing="0" w:after="0" w:afterAutospacing="0" w:line="360" w:lineRule="auto"/>
        <w:ind w:firstLine="420"/>
        <w:rPr>
          <w:sz w:val="21"/>
          <w:szCs w:val="21"/>
        </w:rPr>
      </w:pPr>
      <w:r>
        <w:rPr>
          <w:rFonts w:hint="eastAsia"/>
          <w:sz w:val="21"/>
          <w:szCs w:val="21"/>
        </w:rPr>
        <w:t>（八）基金财产投资的有关有价凭证等的保管</w:t>
      </w:r>
    </w:p>
    <w:p>
      <w:pPr>
        <w:pStyle w:val="7"/>
        <w:spacing w:before="0" w:beforeAutospacing="0" w:after="0" w:afterAutospacing="0" w:line="360" w:lineRule="auto"/>
        <w:ind w:firstLine="420"/>
        <w:rPr>
          <w:sz w:val="21"/>
          <w:szCs w:val="21"/>
        </w:rPr>
      </w:pPr>
      <w:r>
        <w:rPr>
          <w:rFonts w:hint="eastAsia"/>
          <w:sz w:val="21"/>
          <w:szCs w:val="21"/>
        </w:rPr>
        <w:t>基金财产投资的有关实物证券等有价凭证由基金托管人存放于基金托管人的保管库，也可存入中央国债登记结算有限责任公司、银行间市场清算所股份有限公司、或中国证券登记结算有限责任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实物证券不承担保管责任。</w:t>
      </w:r>
    </w:p>
    <w:p>
      <w:pPr>
        <w:pStyle w:val="7"/>
        <w:spacing w:before="0" w:beforeAutospacing="0" w:after="0" w:afterAutospacing="0" w:line="360" w:lineRule="auto"/>
        <w:ind w:firstLine="420"/>
        <w:rPr>
          <w:sz w:val="21"/>
          <w:szCs w:val="21"/>
        </w:rPr>
      </w:pPr>
      <w:r>
        <w:rPr>
          <w:rFonts w:hint="eastAsia"/>
          <w:sz w:val="21"/>
          <w:szCs w:val="21"/>
        </w:rPr>
        <w:t>（九）与基金财产有关的重大合同的保管</w:t>
      </w:r>
    </w:p>
    <w:p>
      <w:pPr>
        <w:pStyle w:val="7"/>
        <w:spacing w:before="0" w:beforeAutospacing="0" w:after="0" w:afterAutospacing="0" w:line="360" w:lineRule="auto"/>
        <w:ind w:firstLine="420"/>
        <w:rPr>
          <w:sz w:val="21"/>
          <w:szCs w:val="21"/>
        </w:rPr>
      </w:pPr>
      <w:r>
        <w:rPr>
          <w:rFonts w:hint="eastAsia"/>
          <w:sz w:val="21"/>
          <w:szCs w:val="21"/>
        </w:rPr>
        <w:t>由基金管理人代表基金签署的与基金财产有关的重大合同的原件分别应由基金托管人、基金管理人保管，相关业务程序另有限制的除外。除本协议另有规定外，基金管理人代表基金签署的与基金财产有关的重大合同应保证基金管理人和基金托管人至少各持有一份正本的原件。基金管理人应在重大合同签署后及时以加密方式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对于无法取得二份以上的正本的，基金管理人应向基金托管人提供加盖授权业务章的合同传真件，未经双方协商或未在合同约定范围内，合同原件不得转移。</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w:t>
      </w:r>
    </w:p>
    <w:p>
      <w:pPr>
        <w:pStyle w:val="7"/>
        <w:spacing w:before="0" w:beforeAutospacing="0" w:after="0" w:afterAutospacing="0" w:line="360" w:lineRule="auto"/>
        <w:ind w:firstLine="420"/>
        <w:rPr>
          <w:sz w:val="21"/>
          <w:szCs w:val="21"/>
        </w:rPr>
      </w:pPr>
      <w:r>
        <w:rPr>
          <w:rFonts w:hint="eastAsia"/>
          <w:sz w:val="21"/>
          <w:szCs w:val="21"/>
        </w:rPr>
        <w:t>（一）基金资产净值的计算、复核的时间和程序</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基金管理人应于每个工作日对基金财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和各类基金份额净值并以双方认可的方式发送给基金托管人。基金托管人对净值计算结果复核后以双方认可的方式发送给基金管理人，由基金管理人对基金净值信息予以公布。</w:t>
      </w:r>
    </w:p>
    <w:p>
      <w:pPr>
        <w:pStyle w:val="7"/>
        <w:spacing w:before="0" w:beforeAutospacing="0" w:after="0" w:afterAutospacing="0" w:line="360" w:lineRule="auto"/>
        <w:ind w:firstLine="420"/>
        <w:rPr>
          <w:sz w:val="21"/>
          <w:szCs w:val="21"/>
        </w:rPr>
      </w:pPr>
      <w:r>
        <w:rPr>
          <w:rFonts w:hint="eastAsia"/>
          <w:sz w:val="21"/>
          <w:szCs w:val="21"/>
        </w:rPr>
        <w:t>（二）基金资产估值方法</w:t>
      </w:r>
    </w:p>
    <w:p>
      <w:pPr>
        <w:pStyle w:val="7"/>
        <w:spacing w:before="0" w:beforeAutospacing="0" w:after="0" w:afterAutospacing="0" w:line="360" w:lineRule="auto"/>
        <w:ind w:firstLine="420"/>
        <w:rPr>
          <w:sz w:val="21"/>
          <w:szCs w:val="21"/>
        </w:rPr>
      </w:pPr>
      <w:r>
        <w:rPr>
          <w:rFonts w:hint="eastAsia"/>
          <w:sz w:val="21"/>
          <w:szCs w:val="21"/>
        </w:rPr>
        <w:t>1、估值对象</w:t>
      </w:r>
    </w:p>
    <w:p>
      <w:pPr>
        <w:pStyle w:val="7"/>
        <w:spacing w:before="0" w:beforeAutospacing="0" w:after="0" w:afterAutospacing="0" w:line="360" w:lineRule="auto"/>
        <w:ind w:firstLine="420"/>
        <w:rPr>
          <w:sz w:val="21"/>
          <w:szCs w:val="21"/>
        </w:rPr>
      </w:pPr>
      <w:r>
        <w:rPr>
          <w:rFonts w:hint="eastAsia"/>
          <w:sz w:val="21"/>
          <w:szCs w:val="21"/>
        </w:rPr>
        <w:t>基金所拥有的股票（含存托凭证）、股指期货合约、国债期货合约、股票期权合约、债券和银行存款本息、应收款项、资产支持证券、其它投资等资产及负债。</w:t>
      </w:r>
    </w:p>
    <w:p>
      <w:pPr>
        <w:pStyle w:val="7"/>
        <w:spacing w:before="0" w:beforeAutospacing="0" w:after="0" w:afterAutospacing="0" w:line="360" w:lineRule="auto"/>
        <w:ind w:firstLine="420"/>
        <w:rPr>
          <w:sz w:val="21"/>
          <w:szCs w:val="21"/>
        </w:rPr>
      </w:pPr>
      <w:r>
        <w:rPr>
          <w:rFonts w:hint="eastAsia"/>
          <w:sz w:val="21"/>
          <w:szCs w:val="21"/>
        </w:rPr>
        <w:t>2、估值方法</w:t>
      </w:r>
    </w:p>
    <w:p>
      <w:pPr>
        <w:pStyle w:val="7"/>
        <w:spacing w:before="0" w:beforeAutospacing="0" w:after="0" w:afterAutospacing="0" w:line="360" w:lineRule="auto"/>
        <w:ind w:firstLine="420"/>
        <w:rPr>
          <w:sz w:val="21"/>
          <w:szCs w:val="21"/>
        </w:rPr>
      </w:pPr>
      <w:r>
        <w:rPr>
          <w:rFonts w:hint="eastAsia"/>
          <w:sz w:val="21"/>
          <w:szCs w:val="21"/>
        </w:rPr>
        <w:t>（1）证券交易所上市的有价证券的估值</w:t>
      </w:r>
    </w:p>
    <w:p>
      <w:pPr>
        <w:pStyle w:val="7"/>
        <w:spacing w:before="0" w:beforeAutospacing="0" w:after="0" w:afterAutospacing="0" w:line="360" w:lineRule="auto"/>
        <w:ind w:firstLine="420"/>
        <w:rPr>
          <w:sz w:val="21"/>
          <w:szCs w:val="21"/>
        </w:rPr>
      </w:pPr>
      <w:r>
        <w:rPr>
          <w:rFonts w:hint="eastAsia"/>
          <w:sz w:val="21"/>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sz w:val="21"/>
          <w:szCs w:val="21"/>
        </w:rPr>
      </w:pPr>
      <w:r>
        <w:rPr>
          <w:rFonts w:hint="eastAsia"/>
          <w:sz w:val="21"/>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pStyle w:val="7"/>
        <w:spacing w:before="0" w:beforeAutospacing="0" w:after="0" w:afterAutospacing="0" w:line="360" w:lineRule="auto"/>
        <w:ind w:firstLine="420"/>
        <w:rPr>
          <w:sz w:val="21"/>
          <w:szCs w:val="21"/>
        </w:rPr>
      </w:pPr>
      <w:r>
        <w:rPr>
          <w:rFonts w:hint="eastAsia"/>
          <w:sz w:val="21"/>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pStyle w:val="7"/>
        <w:spacing w:before="0" w:beforeAutospacing="0" w:after="0" w:afterAutospacing="0" w:line="360" w:lineRule="auto"/>
        <w:ind w:firstLine="420"/>
        <w:rPr>
          <w:sz w:val="21"/>
          <w:szCs w:val="21"/>
        </w:rPr>
      </w:pPr>
      <w:r>
        <w:rPr>
          <w:rFonts w:hint="eastAsia"/>
          <w:sz w:val="21"/>
          <w:szCs w:val="21"/>
        </w:rPr>
        <w:t>交易所上市实行全价交易的固定收益品种（可转换债券除外），选取第三方估值机构提供的估值全价减去估值全价中所含的固定收益品种（税后）应收利息得到的净价进行估值；</w:t>
      </w:r>
    </w:p>
    <w:p>
      <w:pPr>
        <w:pStyle w:val="7"/>
        <w:spacing w:before="0" w:beforeAutospacing="0" w:after="0" w:afterAutospacing="0" w:line="360" w:lineRule="auto"/>
        <w:ind w:firstLine="420"/>
        <w:rPr>
          <w:sz w:val="21"/>
          <w:szCs w:val="21"/>
        </w:rPr>
      </w:pPr>
      <w:r>
        <w:rPr>
          <w:rFonts w:hint="eastAsia"/>
          <w:sz w:val="21"/>
          <w:szCs w:val="21"/>
        </w:rPr>
        <w:t>4）交易所上市不存在活跃市场的有价证券，采用估值技术确定公允价值。</w:t>
      </w:r>
    </w:p>
    <w:p>
      <w:pPr>
        <w:pStyle w:val="7"/>
        <w:spacing w:before="0" w:beforeAutospacing="0" w:after="0" w:afterAutospacing="0" w:line="360" w:lineRule="auto"/>
        <w:ind w:firstLine="420"/>
        <w:rPr>
          <w:sz w:val="21"/>
          <w:szCs w:val="21"/>
        </w:rPr>
      </w:pPr>
      <w:r>
        <w:rPr>
          <w:rFonts w:hint="eastAsia"/>
          <w:sz w:val="21"/>
          <w:szCs w:val="21"/>
        </w:rPr>
        <w:t>（2）处于未上市期间的有价证券应区分如下情况处理：</w:t>
      </w:r>
    </w:p>
    <w:p>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pStyle w:val="7"/>
        <w:spacing w:before="0" w:beforeAutospacing="0" w:after="0" w:afterAutospacing="0" w:line="360" w:lineRule="auto"/>
        <w:ind w:firstLine="420"/>
        <w:rPr>
          <w:sz w:val="21"/>
          <w:szCs w:val="21"/>
        </w:rPr>
      </w:pPr>
      <w:r>
        <w:rPr>
          <w:rFonts w:hint="eastAsia"/>
          <w:sz w:val="21"/>
          <w:szCs w:val="21"/>
        </w:rPr>
        <w:t>（3）本基金投资存托凭证的估值核算，依照境内上市交易的股票执行。</w:t>
      </w:r>
    </w:p>
    <w:p>
      <w:pPr>
        <w:pStyle w:val="7"/>
        <w:spacing w:before="0" w:beforeAutospacing="0" w:after="0" w:afterAutospacing="0" w:line="360" w:lineRule="auto"/>
        <w:ind w:firstLine="420"/>
        <w:rPr>
          <w:sz w:val="21"/>
          <w:szCs w:val="21"/>
        </w:rPr>
      </w:pPr>
      <w:r>
        <w:rPr>
          <w:rFonts w:hint="eastAsia"/>
          <w:sz w:val="21"/>
          <w:szCs w:val="21"/>
        </w:rPr>
        <w:t>（4）银行间的有价证券的估值</w:t>
      </w:r>
    </w:p>
    <w:p>
      <w:pPr>
        <w:pStyle w:val="7"/>
        <w:spacing w:before="0" w:beforeAutospacing="0" w:after="0" w:afterAutospacing="0" w:line="360" w:lineRule="auto"/>
        <w:ind w:firstLine="420"/>
        <w:rPr>
          <w:sz w:val="21"/>
          <w:szCs w:val="21"/>
        </w:rPr>
      </w:pPr>
      <w:r>
        <w:rPr>
          <w:rFonts w:hint="eastAsia"/>
          <w:sz w:val="21"/>
          <w:szCs w:val="21"/>
        </w:rPr>
        <w:t>1）对银行间市场上不含权的固定收益品种，按照第三方估值机构提供的相应品种当日的估值净价确定公允价值；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pStyle w:val="7"/>
        <w:spacing w:before="0" w:beforeAutospacing="0" w:after="0" w:afterAutospacing="0" w:line="360" w:lineRule="auto"/>
        <w:ind w:firstLine="420"/>
        <w:rPr>
          <w:sz w:val="21"/>
          <w:szCs w:val="21"/>
        </w:rPr>
      </w:pPr>
      <w:r>
        <w:rPr>
          <w:rFonts w:hint="eastAsia"/>
          <w:sz w:val="21"/>
          <w:szCs w:val="21"/>
        </w:rPr>
        <w:t>3）对银行间市场未上市，且第三方估值机构未提供估值价格的债券，采用当前情况下适用并且有足够可利用数据和其他信息支持的估值技术确定其公允价值。</w:t>
      </w:r>
    </w:p>
    <w:p>
      <w:pPr>
        <w:pStyle w:val="7"/>
        <w:spacing w:before="0" w:beforeAutospacing="0" w:after="0" w:afterAutospacing="0" w:line="360" w:lineRule="auto"/>
        <w:ind w:firstLine="420"/>
        <w:rPr>
          <w:sz w:val="21"/>
          <w:szCs w:val="21"/>
        </w:rPr>
      </w:pPr>
      <w:r>
        <w:rPr>
          <w:rFonts w:hint="eastAsia"/>
          <w:sz w:val="21"/>
          <w:szCs w:val="21"/>
        </w:rPr>
        <w:t>（5）资产支持证券的估值</w:t>
      </w:r>
    </w:p>
    <w:p>
      <w:pPr>
        <w:pStyle w:val="7"/>
        <w:spacing w:before="0" w:beforeAutospacing="0" w:after="0" w:afterAutospacing="0" w:line="360" w:lineRule="auto"/>
        <w:ind w:firstLine="420"/>
        <w:rPr>
          <w:sz w:val="21"/>
          <w:szCs w:val="21"/>
        </w:rPr>
      </w:pPr>
      <w:r>
        <w:rPr>
          <w:rFonts w:hint="eastAsia"/>
          <w:sz w:val="21"/>
          <w:szCs w:val="21"/>
        </w:rPr>
        <w:t>1）交易所上市的资产支持证券，按估值日第三方估值机构提供的价格估值。</w:t>
      </w:r>
    </w:p>
    <w:p>
      <w:pPr>
        <w:pStyle w:val="7"/>
        <w:spacing w:before="0" w:beforeAutospacing="0" w:after="0" w:afterAutospacing="0" w:line="360" w:lineRule="auto"/>
        <w:ind w:firstLine="420"/>
        <w:rPr>
          <w:sz w:val="21"/>
          <w:szCs w:val="21"/>
        </w:rPr>
      </w:pPr>
      <w:r>
        <w:rPr>
          <w:rFonts w:hint="eastAsia"/>
          <w:sz w:val="21"/>
          <w:szCs w:val="21"/>
        </w:rPr>
        <w:t>2）对全国银行间市场上的资产支持证券，按照第三方估值机构提供的相应品种当日的估值净价确定公允价值。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（6）同一证券同时在两个或两个以上市场交易的，按证券所处的市场分别估值。</w:t>
      </w:r>
    </w:p>
    <w:p>
      <w:pPr>
        <w:pStyle w:val="7"/>
        <w:spacing w:before="0" w:beforeAutospacing="0" w:after="0" w:afterAutospacing="0" w:line="360" w:lineRule="auto"/>
        <w:ind w:firstLine="420"/>
        <w:rPr>
          <w:sz w:val="21"/>
          <w:szCs w:val="21"/>
        </w:rPr>
      </w:pPr>
      <w:r>
        <w:rPr>
          <w:rFonts w:hint="eastAsia"/>
          <w:sz w:val="21"/>
          <w:szCs w:val="21"/>
        </w:rPr>
        <w:t>（7）本基金投资股指期货合约、国债期货合约，一般以估值当日结算价进行估值，估值当日无结算价的，且最近交易日后经济环境未发生重大变化的，采用最近交易日结算价估值。</w:t>
      </w:r>
    </w:p>
    <w:p>
      <w:pPr>
        <w:pStyle w:val="7"/>
        <w:spacing w:before="0" w:beforeAutospacing="0" w:after="0" w:afterAutospacing="0" w:line="360" w:lineRule="auto"/>
        <w:ind w:firstLine="420"/>
        <w:rPr>
          <w:sz w:val="21"/>
          <w:szCs w:val="21"/>
        </w:rPr>
      </w:pPr>
      <w:r>
        <w:rPr>
          <w:rFonts w:hint="eastAsia"/>
          <w:sz w:val="21"/>
          <w:szCs w:val="21"/>
        </w:rPr>
        <w:t>（8）本基金投资股票期权，根据相关法律法规以及监管部门的规定估值。</w:t>
      </w:r>
    </w:p>
    <w:p>
      <w:pPr>
        <w:pStyle w:val="7"/>
        <w:spacing w:before="0" w:beforeAutospacing="0" w:after="0" w:afterAutospacing="0" w:line="360" w:lineRule="auto"/>
        <w:ind w:firstLine="420"/>
        <w:rPr>
          <w:sz w:val="21"/>
          <w:szCs w:val="21"/>
        </w:rPr>
      </w:pPr>
      <w:r>
        <w:rPr>
          <w:rFonts w:hint="eastAsia"/>
          <w:sz w:val="21"/>
          <w:szCs w:val="21"/>
        </w:rPr>
        <w:t>（9）本基金参与融资或转融通证券出借业务的，应参照行业协会的相关规定进行估值，确保估值的公允性。</w:t>
      </w:r>
    </w:p>
    <w:p>
      <w:pPr>
        <w:pStyle w:val="7"/>
        <w:spacing w:before="0" w:beforeAutospacing="0" w:after="0" w:afterAutospacing="0" w:line="360" w:lineRule="auto"/>
        <w:ind w:firstLine="420"/>
        <w:rPr>
          <w:sz w:val="21"/>
          <w:szCs w:val="21"/>
        </w:rPr>
      </w:pPr>
      <w:r>
        <w:rPr>
          <w:rFonts w:hint="eastAsia"/>
          <w:sz w:val="21"/>
          <w:szCs w:val="21"/>
        </w:rPr>
        <w:t>（10）汇率</w:t>
      </w:r>
    </w:p>
    <w:p>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pPr>
        <w:pStyle w:val="7"/>
        <w:spacing w:before="0" w:beforeAutospacing="0" w:after="0" w:afterAutospacing="0" w:line="360" w:lineRule="auto"/>
        <w:ind w:firstLine="420"/>
        <w:rPr>
          <w:sz w:val="21"/>
          <w:szCs w:val="21"/>
        </w:rPr>
      </w:pPr>
      <w:r>
        <w:rPr>
          <w:rFonts w:hint="eastAsia"/>
          <w:sz w:val="21"/>
          <w:szCs w:val="21"/>
        </w:rPr>
        <w:t>（11）如有确凿证据表明按上述方法进行估值不能客观反映其公允价值的，基金管理人可根据具体情况与基金托管人商定后，按最能反映公允价值的价格估值。</w:t>
      </w:r>
    </w:p>
    <w:p>
      <w:pPr>
        <w:pStyle w:val="7"/>
        <w:spacing w:before="0" w:beforeAutospacing="0" w:after="0" w:afterAutospacing="0" w:line="360" w:lineRule="auto"/>
        <w:ind w:firstLine="420"/>
        <w:rPr>
          <w:sz w:val="21"/>
          <w:szCs w:val="21"/>
        </w:rPr>
      </w:pPr>
      <w:r>
        <w:rPr>
          <w:rFonts w:hint="eastAsia"/>
          <w:sz w:val="21"/>
          <w:szCs w:val="21"/>
        </w:rPr>
        <w:t>（12）当发生大额申购或赎回情形时，基金管理人可以采用摆动定价机制，以确保基金估值的公平性。具体处理原则与操作规范遵循相关法律法规以及监管部门、自律规则的规定。</w:t>
      </w:r>
    </w:p>
    <w:p>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pStyle w:val="7"/>
        <w:spacing w:before="0" w:beforeAutospacing="0" w:after="0" w:afterAutospacing="0" w:line="360" w:lineRule="auto"/>
        <w:ind w:firstLine="420"/>
        <w:rPr>
          <w:sz w:val="21"/>
          <w:szCs w:val="21"/>
        </w:rPr>
      </w:pPr>
      <w:r>
        <w:rPr>
          <w:rFonts w:hint="eastAsia"/>
          <w:sz w:val="21"/>
          <w:szCs w:val="21"/>
        </w:rPr>
        <w:t>3、估值程序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pStyle w:val="7"/>
        <w:spacing w:before="0" w:beforeAutospacing="0" w:after="0" w:afterAutospacing="0" w:line="360" w:lineRule="auto"/>
        <w:ind w:firstLine="420"/>
        <w:rPr>
          <w:sz w:val="21"/>
          <w:szCs w:val="21"/>
        </w:rPr>
      </w:pPr>
      <w:r>
        <w:rPr>
          <w:rFonts w:hint="eastAsia"/>
          <w:sz w:val="21"/>
          <w:szCs w:val="21"/>
        </w:rPr>
        <w:t>基金管理人于每个工作日计算基金资产净值及各类基金份额净值，并按规定公告。</w:t>
      </w:r>
    </w:p>
    <w:p>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w:t>
      </w:r>
    </w:p>
    <w:p>
      <w:pPr>
        <w:pStyle w:val="7"/>
        <w:spacing w:before="0" w:beforeAutospacing="0" w:after="0" w:afterAutospacing="0" w:line="360" w:lineRule="auto"/>
        <w:ind w:firstLine="420"/>
        <w:rPr>
          <w:sz w:val="21"/>
          <w:szCs w:val="21"/>
        </w:rPr>
      </w:pPr>
      <w:r>
        <w:rPr>
          <w:rFonts w:hint="eastAsia"/>
          <w:sz w:val="21"/>
          <w:szCs w:val="21"/>
        </w:rPr>
        <w:t>4、估值错误的处理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pPr>
        <w:pStyle w:val="7"/>
        <w:spacing w:before="0" w:beforeAutospacing="0" w:after="0" w:afterAutospacing="0" w:line="360" w:lineRule="auto"/>
        <w:ind w:firstLine="420"/>
        <w:rPr>
          <w:sz w:val="21"/>
          <w:szCs w:val="21"/>
        </w:rPr>
      </w:pPr>
      <w:r>
        <w:rPr>
          <w:rFonts w:hint="eastAsia"/>
          <w:sz w:val="21"/>
          <w:szCs w:val="21"/>
        </w:rPr>
        <w:t>（1）估值错误类型</w:t>
      </w:r>
    </w:p>
    <w:p>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pPr>
        <w:pStyle w:val="7"/>
        <w:spacing w:before="0" w:beforeAutospacing="0" w:after="0" w:afterAutospacing="0" w:line="360" w:lineRule="auto"/>
        <w:ind w:firstLine="420"/>
        <w:rPr>
          <w:sz w:val="21"/>
          <w:szCs w:val="21"/>
        </w:rPr>
      </w:pPr>
      <w:r>
        <w:rPr>
          <w:rFonts w:hint="eastAsia"/>
          <w:sz w:val="21"/>
          <w:szCs w:val="21"/>
        </w:rPr>
        <w:t>（2）估值错误处理原则</w:t>
      </w:r>
    </w:p>
    <w:p>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pPr>
        <w:pStyle w:val="7"/>
        <w:spacing w:before="0" w:beforeAutospacing="0" w:after="0" w:afterAutospacing="0" w:line="360" w:lineRule="auto"/>
        <w:ind w:firstLine="420"/>
        <w:rPr>
          <w:sz w:val="21"/>
          <w:szCs w:val="21"/>
        </w:rPr>
      </w:pPr>
      <w:r>
        <w:rPr>
          <w:rFonts w:hint="eastAsia"/>
          <w:sz w:val="21"/>
          <w:szCs w:val="21"/>
        </w:rPr>
        <w:t>（3）估值错误处理程序</w:t>
      </w:r>
    </w:p>
    <w:p>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pPr>
        <w:pStyle w:val="7"/>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pPr>
        <w:pStyle w:val="7"/>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pPr>
        <w:pStyle w:val="7"/>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pPr>
        <w:pStyle w:val="7"/>
        <w:spacing w:before="0" w:beforeAutospacing="0" w:after="0" w:afterAutospacing="0" w:line="360" w:lineRule="auto"/>
        <w:ind w:firstLine="420"/>
        <w:rPr>
          <w:sz w:val="21"/>
          <w:szCs w:val="21"/>
        </w:rPr>
      </w:pPr>
      <w:r>
        <w:rPr>
          <w:rFonts w:hint="eastAsia"/>
          <w:sz w:val="21"/>
          <w:szCs w:val="21"/>
        </w:rPr>
        <w:t>5、暂停估值的情形</w:t>
      </w:r>
    </w:p>
    <w:p>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pPr>
        <w:pStyle w:val="7"/>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pPr>
        <w:pStyle w:val="7"/>
        <w:spacing w:before="0" w:beforeAutospacing="0" w:after="0" w:afterAutospacing="0" w:line="360" w:lineRule="auto"/>
        <w:ind w:firstLine="420"/>
        <w:rPr>
          <w:sz w:val="21"/>
          <w:szCs w:val="21"/>
        </w:rPr>
      </w:pPr>
      <w:r>
        <w:rPr>
          <w:rFonts w:hint="eastAsia"/>
          <w:sz w:val="21"/>
          <w:szCs w:val="21"/>
        </w:rPr>
        <w:t>（3）当特定资产占前一估值日基金资产净值50%以上的，经与基金托管人协商确认后，基金管理人应当暂停估值；</w:t>
      </w:r>
    </w:p>
    <w:p>
      <w:pPr>
        <w:pStyle w:val="7"/>
        <w:spacing w:before="0" w:beforeAutospacing="0" w:after="0" w:afterAutospacing="0" w:line="360" w:lineRule="auto"/>
        <w:ind w:firstLine="420"/>
        <w:rPr>
          <w:sz w:val="21"/>
          <w:szCs w:val="21"/>
        </w:rPr>
      </w:pPr>
      <w:r>
        <w:rPr>
          <w:rFonts w:hint="eastAsia"/>
          <w:sz w:val="21"/>
          <w:szCs w:val="21"/>
        </w:rPr>
        <w:t>（4）法律法规规定、中国证监会和基金合同认定的其它情形。</w:t>
      </w:r>
    </w:p>
    <w:p>
      <w:pPr>
        <w:pStyle w:val="7"/>
        <w:spacing w:before="0" w:beforeAutospacing="0" w:after="0" w:afterAutospacing="0" w:line="360" w:lineRule="auto"/>
        <w:ind w:firstLine="420"/>
        <w:rPr>
          <w:sz w:val="21"/>
          <w:szCs w:val="21"/>
        </w:rPr>
      </w:pPr>
      <w:r>
        <w:rPr>
          <w:rFonts w:hint="eastAsia"/>
          <w:sz w:val="21"/>
          <w:szCs w:val="21"/>
        </w:rPr>
        <w:t>6、基金净值的确认</w:t>
      </w:r>
    </w:p>
    <w:p>
      <w:pPr>
        <w:pStyle w:val="7"/>
        <w:spacing w:before="0" w:beforeAutospacing="0" w:after="0" w:afterAutospacing="0" w:line="360" w:lineRule="auto"/>
        <w:ind w:firstLine="420"/>
        <w:rPr>
          <w:sz w:val="21"/>
          <w:szCs w:val="21"/>
        </w:rPr>
      </w:pPr>
      <w:r>
        <w:rPr>
          <w:rFonts w:hint="eastAsia"/>
          <w:sz w:val="21"/>
          <w:szCs w:val="21"/>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pStyle w:val="7"/>
        <w:spacing w:before="0" w:beforeAutospacing="0" w:after="0" w:afterAutospacing="0" w:line="360" w:lineRule="auto"/>
        <w:ind w:firstLine="420"/>
        <w:rPr>
          <w:sz w:val="21"/>
          <w:szCs w:val="21"/>
        </w:rPr>
      </w:pPr>
      <w:r>
        <w:rPr>
          <w:rFonts w:hint="eastAsia"/>
          <w:sz w:val="21"/>
          <w:szCs w:val="21"/>
        </w:rPr>
        <w:t>7、特殊情形的处理 </w:t>
      </w:r>
    </w:p>
    <w:p>
      <w:pPr>
        <w:pStyle w:val="7"/>
        <w:spacing w:before="0" w:beforeAutospacing="0" w:after="0" w:afterAutospacing="0" w:line="360" w:lineRule="auto"/>
        <w:ind w:firstLine="420"/>
        <w:rPr>
          <w:sz w:val="21"/>
          <w:szCs w:val="21"/>
        </w:rPr>
      </w:pPr>
      <w:r>
        <w:rPr>
          <w:rFonts w:hint="eastAsia"/>
          <w:sz w:val="21"/>
          <w:szCs w:val="21"/>
        </w:rPr>
        <w:t>（1）基金管理人或基金托管人按估值方法的第（11）项进行估值时，所造成的误差不作为基金资产估值错误处理。</w:t>
      </w:r>
    </w:p>
    <w:p>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pStyle w:val="7"/>
        <w:spacing w:before="0" w:beforeAutospacing="0" w:after="0" w:afterAutospacing="0" w:line="360" w:lineRule="auto"/>
        <w:ind w:firstLine="420"/>
        <w:rPr>
          <w:sz w:val="21"/>
          <w:szCs w:val="21"/>
        </w:rPr>
      </w:pPr>
      <w:r>
        <w:rPr>
          <w:rFonts w:hint="eastAsia"/>
          <w:sz w:val="21"/>
          <w:szCs w:val="21"/>
        </w:rPr>
        <w:t>（三）基金账册的建立</w:t>
      </w:r>
    </w:p>
    <w:p>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记录和保管本基金的全套账册，对双方各自的账册定期进行核对，互相监督，以保证基金资产的安全。若双方对会计处理方法存在分歧，应以基金管理人的处理方法为准。</w:t>
      </w:r>
    </w:p>
    <w:p>
      <w:pPr>
        <w:pStyle w:val="7"/>
        <w:spacing w:before="0" w:beforeAutospacing="0" w:after="0" w:afterAutospacing="0" w:line="360" w:lineRule="auto"/>
        <w:ind w:firstLine="420"/>
        <w:rPr>
          <w:sz w:val="21"/>
          <w:szCs w:val="21"/>
        </w:rPr>
      </w:pPr>
      <w:r>
        <w:rPr>
          <w:rFonts w:hint="eastAsia"/>
          <w:sz w:val="21"/>
          <w:szCs w:val="21"/>
        </w:rPr>
        <w:t>经对账发现双方的账目存在不符的，基金管理人和基金托管人必须及时查明原因并纠正，保证双方平行登录的账册记录完全相符。若当日核对不符，暂时无法查找到错账的原因而影响到基金净值信息的计算和公告的，以基金管理人的账册为准。</w:t>
      </w:r>
    </w:p>
    <w:p>
      <w:pPr>
        <w:pStyle w:val="7"/>
        <w:spacing w:before="0" w:beforeAutospacing="0" w:after="0" w:afterAutospacing="0" w:line="360" w:lineRule="auto"/>
        <w:ind w:firstLine="420"/>
        <w:rPr>
          <w:sz w:val="21"/>
          <w:szCs w:val="21"/>
        </w:rPr>
      </w:pPr>
      <w:r>
        <w:rPr>
          <w:rFonts w:hint="eastAsia"/>
          <w:sz w:val="21"/>
          <w:szCs w:val="21"/>
        </w:rPr>
        <w:t>（四）基金定期报告的编制和复核</w:t>
      </w:r>
    </w:p>
    <w:p>
      <w:pPr>
        <w:pStyle w:val="7"/>
        <w:spacing w:before="0" w:beforeAutospacing="0" w:after="0" w:afterAutospacing="0" w:line="360" w:lineRule="auto"/>
        <w:ind w:firstLine="420"/>
        <w:rPr>
          <w:sz w:val="21"/>
          <w:szCs w:val="21"/>
        </w:rPr>
      </w:pPr>
      <w:r>
        <w:rPr>
          <w:rFonts w:hint="eastAsia"/>
          <w:sz w:val="21"/>
          <w:szCs w:val="21"/>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中华人民共和国证券法》规定的会计师事务所审计。基金合同生效不足两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核对无误后，基金托管人在基金管理人提供的报告上加盖业务印鉴或者出具加盖托管业务部门公章的复核意见书，双方各自留存一份。</w:t>
      </w:r>
    </w:p>
    <w:p>
      <w:pPr>
        <w:pStyle w:val="7"/>
        <w:spacing w:before="0" w:beforeAutospacing="0" w:after="0" w:afterAutospacing="0" w:line="360" w:lineRule="auto"/>
        <w:ind w:firstLine="420"/>
        <w:rPr>
          <w:sz w:val="21"/>
          <w:szCs w:val="21"/>
        </w:rPr>
      </w:pPr>
      <w:r>
        <w:rPr>
          <w:rFonts w:hint="eastAsia"/>
          <w:sz w:val="21"/>
          <w:szCs w:val="21"/>
        </w:rPr>
        <w:t>基金托管人在对财务会计报告、中期报告或年度报告复核完毕后，需盖章确认或出具相应的复核确认书或进行电子确认，以备有权机构对相关文件审核时提示。</w:t>
      </w:r>
    </w:p>
    <w:p>
      <w:pPr>
        <w:pStyle w:val="7"/>
        <w:spacing w:before="0" w:beforeAutospacing="0" w:after="0" w:afterAutospacing="0" w:line="360" w:lineRule="auto"/>
        <w:ind w:firstLine="420"/>
        <w:rPr>
          <w:sz w:val="21"/>
          <w:szCs w:val="21"/>
        </w:rPr>
      </w:pPr>
      <w:r>
        <w:rPr>
          <w:rFonts w:hint="eastAsia"/>
          <w:sz w:val="21"/>
          <w:szCs w:val="21"/>
        </w:rPr>
        <w:t>（五）实施侧袋机制期间的基金资产估值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本基金实施侧袋机制的，应根据本部分的约定对主袋账户资产进行估值并披露主袋账户的基金净值信息，暂停披露侧袋账户基金净值信息。</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pStyle w:val="7"/>
        <w:spacing w:before="0" w:beforeAutospacing="0" w:after="0" w:afterAutospacing="0" w:line="360" w:lineRule="auto"/>
        <w:ind w:firstLine="420"/>
        <w:rPr>
          <w:sz w:val="21"/>
          <w:szCs w:val="21"/>
        </w:rPr>
      </w:pPr>
      <w:r>
        <w:rPr>
          <w:rFonts w:hint="eastAsia"/>
          <w:sz w:val="21"/>
          <w:szCs w:val="21"/>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不低于法律法规规定的最低期限。基金托管人不得将所保管的基金份额持有人名册用于基金托管业务以外的其他用途，并应遵守保密义务。</w:t>
      </w:r>
    </w:p>
    <w:p>
      <w:pPr>
        <w:pStyle w:val="7"/>
        <w:spacing w:before="0" w:beforeAutospacing="0" w:after="0" w:afterAutospacing="0" w:line="360" w:lineRule="auto"/>
        <w:ind w:firstLine="420"/>
        <w:rPr>
          <w:sz w:val="21"/>
          <w:szCs w:val="21"/>
        </w:rPr>
      </w:pPr>
      <w:r>
        <w:rPr>
          <w:rFonts w:hint="eastAsia"/>
          <w:sz w:val="21"/>
          <w:szCs w:val="21"/>
        </w:rPr>
        <w:t>若基金管理人或基金托管人由于自身原因无法妥善保管基金份额持有人名册，应按有关法规规定各自承担相应的责任。</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双方当事人同意，因本协议而产生的或与本协议有关的一切争议如不愿或者不能通过协商、调解解决的，应将争议提交深圳国际仲裁院（深圳仲裁委员会），根据该会当时有效的仲裁规则进行仲裁，仲裁的地点在深圳市，仲裁裁决是终局的，并对相关各方当事人均有约束力。除非仲裁裁决另有规定，仲裁费用、律师费用由败诉方承担。</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争议处理期间，双方当事人应恪守基金管理人和基金托管人职责，各自继续忠实、勤勉、尽责地履行基金合同和托管协议规定的义务，维护基金份额持有人的合法权益。</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本协议受中国法律（为本托管协议之目的，在此不包括香港、澳门特别行政区和台湾地区法律）管辖并从其解释。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（一）托管协议的变更与终止</w:t>
      </w:r>
    </w:p>
    <w:p>
      <w:pPr>
        <w:pStyle w:val="7"/>
        <w:spacing w:before="0" w:beforeAutospacing="0" w:after="0" w:afterAutospacing="0" w:line="360" w:lineRule="auto"/>
        <w:ind w:firstLine="420"/>
        <w:rPr>
          <w:sz w:val="21"/>
          <w:szCs w:val="21"/>
        </w:rPr>
      </w:pPr>
      <w:r>
        <w:rPr>
          <w:rFonts w:hint="eastAsia"/>
          <w:sz w:val="21"/>
          <w:szCs w:val="21"/>
        </w:rPr>
        <w:t>1、托管协议的变更程序</w:t>
      </w:r>
    </w:p>
    <w:p>
      <w:pPr>
        <w:pStyle w:val="7"/>
        <w:spacing w:before="0" w:beforeAutospacing="0" w:after="0" w:afterAutospacing="0" w:line="360" w:lineRule="auto"/>
        <w:ind w:firstLine="420"/>
        <w:rPr>
          <w:sz w:val="21"/>
          <w:szCs w:val="21"/>
        </w:rPr>
      </w:pPr>
      <w:r>
        <w:rPr>
          <w:rFonts w:hint="eastAsia"/>
          <w:sz w:val="21"/>
          <w:szCs w:val="21"/>
        </w:rPr>
        <w:t>本协议双方当事人经协商一致，可以对协议的内容进行变更。变更后的托管协议，其内容不得与《基金合同》的规定有任何冲突。</w:t>
      </w:r>
    </w:p>
    <w:p>
      <w:pPr>
        <w:pStyle w:val="7"/>
        <w:spacing w:before="0" w:beforeAutospacing="0" w:after="0" w:afterAutospacing="0" w:line="360" w:lineRule="auto"/>
        <w:ind w:firstLine="420"/>
        <w:rPr>
          <w:sz w:val="21"/>
          <w:szCs w:val="21"/>
        </w:rPr>
      </w:pPr>
      <w:r>
        <w:rPr>
          <w:rFonts w:hint="eastAsia"/>
          <w:sz w:val="21"/>
          <w:szCs w:val="21"/>
        </w:rPr>
        <w:t>2、基金托管协议终止的情形</w:t>
      </w:r>
    </w:p>
    <w:p>
      <w:pPr>
        <w:pStyle w:val="7"/>
        <w:spacing w:before="0" w:beforeAutospacing="0" w:after="0" w:afterAutospacing="0" w:line="360" w:lineRule="auto"/>
        <w:ind w:firstLine="420"/>
        <w:rPr>
          <w:sz w:val="21"/>
          <w:szCs w:val="21"/>
        </w:rPr>
      </w:pPr>
      <w:r>
        <w:rPr>
          <w:rFonts w:hint="eastAsia"/>
          <w:sz w:val="21"/>
          <w:szCs w:val="21"/>
        </w:rPr>
        <w:t>发生以下情况，本托管协议在履行适当程序后终止：</w:t>
      </w:r>
    </w:p>
    <w:p>
      <w:pPr>
        <w:pStyle w:val="7"/>
        <w:spacing w:before="0" w:beforeAutospacing="0" w:after="0" w:afterAutospacing="0" w:line="360" w:lineRule="auto"/>
        <w:ind w:firstLine="420"/>
        <w:rPr>
          <w:sz w:val="21"/>
          <w:szCs w:val="21"/>
        </w:rPr>
      </w:pPr>
      <w:r>
        <w:rPr>
          <w:rFonts w:hint="eastAsia"/>
          <w:sz w:val="21"/>
          <w:szCs w:val="21"/>
        </w:rPr>
        <w:t>（1）《基金合同》终止；</w:t>
      </w:r>
    </w:p>
    <w:p>
      <w:pPr>
        <w:pStyle w:val="7"/>
        <w:spacing w:before="0" w:beforeAutospacing="0" w:after="0" w:afterAutospacing="0" w:line="360" w:lineRule="auto"/>
        <w:ind w:firstLine="420"/>
        <w:rPr>
          <w:sz w:val="21"/>
          <w:szCs w:val="21"/>
        </w:rPr>
      </w:pPr>
      <w:r>
        <w:rPr>
          <w:rFonts w:hint="eastAsia"/>
          <w:sz w:val="21"/>
          <w:szCs w:val="21"/>
        </w:rPr>
        <w:t>（2）发生法律法规或《基金合同》规定的终止事项。</w:t>
      </w:r>
    </w:p>
    <w:p>
      <w:pPr>
        <w:pStyle w:val="7"/>
        <w:spacing w:before="0" w:beforeAutospacing="0" w:after="0" w:afterAutospacing="0" w:line="360" w:lineRule="auto"/>
        <w:ind w:firstLine="420"/>
        <w:rPr>
          <w:sz w:val="21"/>
          <w:szCs w:val="21"/>
        </w:rPr>
      </w:pPr>
      <w:r>
        <w:rPr>
          <w:rFonts w:hint="eastAsia"/>
          <w:sz w:val="21"/>
          <w:szCs w:val="21"/>
        </w:rPr>
        <w:t>（二）基金财产的清算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（三）基金财产清算的公告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（四）基金财产清算账册及文件的保存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6" w:name="chapter_level1_23_72_section_1_end"/>
      <w:bookmarkEnd w:id="186"/>
      <w:r>
        <w:rPr>
          <w:rFonts w:hint="eastAsia"/>
          <w:sz w:val="21"/>
          <w:szCs w:val="21"/>
        </w:rPr>
        <w:t>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chapter_level1_24_75"/>
      <w:bookmarkStart w:id="188" w:name="_Toc176190865"/>
      <w:r>
        <w:rPr>
          <w:rFonts w:hint="eastAsia" w:ascii="宋体" w:hAnsi="宋体" w:eastAsia="宋体"/>
          <w:sz w:val="30"/>
        </w:rPr>
        <w:t>第二十一部分  对基金份额持有人的服务</w:t>
      </w:r>
      <w:bookmarkEnd w:id="187"/>
      <w:bookmarkEnd w:id="188"/>
    </w:p>
    <w:p>
      <w:pPr>
        <w:pStyle w:val="7"/>
        <w:spacing w:before="0" w:beforeAutospacing="0" w:after="0" w:afterAutospacing="0" w:line="360" w:lineRule="auto"/>
        <w:ind w:firstLine="420"/>
        <w:rPr>
          <w:sz w:val="21"/>
          <w:szCs w:val="21"/>
        </w:rPr>
      </w:pPr>
      <w:bookmarkStart w:id="189" w:name="chapter_level1_24_75_section_1"/>
      <w:bookmarkEnd w:id="189"/>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1、交易确认单</w:t>
      </w:r>
    </w:p>
    <w:p>
      <w:pPr>
        <w:pStyle w:val="7"/>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pPr>
        <w:pStyle w:val="7"/>
        <w:spacing w:before="0" w:beforeAutospacing="0" w:after="0" w:afterAutospacing="0" w:line="360" w:lineRule="auto"/>
        <w:ind w:firstLine="420"/>
        <w:rPr>
          <w:sz w:val="21"/>
          <w:szCs w:val="21"/>
        </w:rPr>
      </w:pPr>
      <w:r>
        <w:rPr>
          <w:rFonts w:hint="eastAsia"/>
          <w:sz w:val="21"/>
          <w:szCs w:val="21"/>
        </w:rPr>
        <w:t>2、电子对账单</w:t>
      </w:r>
    </w:p>
    <w:p>
      <w:pPr>
        <w:pStyle w:val="7"/>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pPr>
        <w:pStyle w:val="7"/>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pPr>
        <w:pStyle w:val="7"/>
        <w:spacing w:before="0" w:beforeAutospacing="0" w:after="0" w:afterAutospacing="0" w:line="360" w:lineRule="auto"/>
        <w:ind w:firstLine="420"/>
        <w:rPr>
          <w:sz w:val="21"/>
          <w:szCs w:val="21"/>
        </w:rPr>
      </w:pPr>
      <w:r>
        <w:rPr>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通过基金管理人网站，投资者可获得如下服务：</w:t>
      </w:r>
    </w:p>
    <w:p>
      <w:pPr>
        <w:pStyle w:val="7"/>
        <w:spacing w:before="0" w:beforeAutospacing="0" w:after="0" w:afterAutospacing="0" w:line="360" w:lineRule="auto"/>
        <w:ind w:firstLine="420"/>
        <w:rPr>
          <w:sz w:val="21"/>
          <w:szCs w:val="21"/>
        </w:rPr>
      </w:pPr>
      <w:r>
        <w:rPr>
          <w:rFonts w:hint="eastAsia"/>
          <w:sz w:val="21"/>
          <w:szCs w:val="21"/>
        </w:rPr>
        <w:t>1、自助开户交易</w:t>
      </w:r>
    </w:p>
    <w:p>
      <w:pPr>
        <w:pStyle w:val="7"/>
        <w:spacing w:before="0" w:beforeAutospacing="0" w:after="0" w:afterAutospacing="0" w:line="360" w:lineRule="auto"/>
        <w:ind w:firstLine="420"/>
        <w:rPr>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pPr>
        <w:pStyle w:val="7"/>
        <w:spacing w:before="0" w:beforeAutospacing="0" w:after="0" w:afterAutospacing="0" w:line="360" w:lineRule="auto"/>
        <w:ind w:firstLine="420"/>
        <w:rPr>
          <w:sz w:val="21"/>
          <w:szCs w:val="21"/>
        </w:rPr>
      </w:pPr>
      <w:r>
        <w:rPr>
          <w:rFonts w:hint="eastAsia"/>
          <w:sz w:val="21"/>
          <w:szCs w:val="21"/>
        </w:rPr>
        <w:t>2、查询服务</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p>
    <w:p>
      <w:pPr>
        <w:pStyle w:val="7"/>
        <w:spacing w:before="0" w:beforeAutospacing="0" w:after="0" w:afterAutospacing="0" w:line="360" w:lineRule="auto"/>
        <w:ind w:firstLine="420"/>
        <w:rPr>
          <w:sz w:val="21"/>
          <w:szCs w:val="21"/>
        </w:rPr>
      </w:pPr>
      <w:r>
        <w:rPr>
          <w:rFonts w:hint="eastAsia"/>
          <w:sz w:val="21"/>
          <w:szCs w:val="21"/>
        </w:rPr>
        <w:t>3、信息资讯服务</w:t>
      </w:r>
    </w:p>
    <w:p>
      <w:pPr>
        <w:pStyle w:val="7"/>
        <w:spacing w:before="0" w:beforeAutospacing="0" w:after="0" w:afterAutospacing="0" w:line="360" w:lineRule="auto"/>
        <w:ind w:firstLine="420"/>
        <w:rPr>
          <w:sz w:val="21"/>
          <w:szCs w:val="21"/>
        </w:rPr>
      </w:pPr>
      <w:r>
        <w:rPr>
          <w:rFonts w:hint="eastAsia"/>
          <w:sz w:val="21"/>
          <w:szCs w:val="21"/>
        </w:rPr>
        <w:t>投资者可以利用基金管理人网站获取基金和基金管理人各类信息，包括基金法律文件、基金管理人最新动态、热点问题等。</w:t>
      </w:r>
    </w:p>
    <w:p>
      <w:pPr>
        <w:pStyle w:val="7"/>
        <w:spacing w:before="0" w:beforeAutospacing="0" w:after="0" w:afterAutospacing="0" w:line="360" w:lineRule="auto"/>
        <w:ind w:firstLine="420"/>
        <w:rPr>
          <w:sz w:val="21"/>
          <w:szCs w:val="21"/>
        </w:rPr>
      </w:pPr>
      <w:r>
        <w:rPr>
          <w:rFonts w:hint="eastAsia"/>
          <w:sz w:val="21"/>
          <w:szCs w:val="21"/>
        </w:rPr>
        <w:t>4、在线客服</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pPr>
        <w:pStyle w:val="7"/>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pPr>
        <w:pStyle w:val="7"/>
        <w:spacing w:before="0" w:beforeAutospacing="0" w:after="0" w:afterAutospacing="0" w:line="360" w:lineRule="auto"/>
        <w:ind w:firstLine="420"/>
        <w:rPr>
          <w:sz w:val="21"/>
          <w:szCs w:val="21"/>
        </w:rPr>
      </w:pPr>
      <w:r>
        <w:rPr>
          <w:rFonts w:hint="eastAsia"/>
          <w:sz w:val="21"/>
          <w:szCs w:val="21"/>
        </w:rPr>
        <w:t>2、电话交易服务：基金管理人直销投资者可通过博时一线通电话交易平台在线办理基金的赎回、变更分红方式、撤单等直销交易业务。</w:t>
      </w:r>
    </w:p>
    <w:p>
      <w:pPr>
        <w:pStyle w:val="7"/>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pPr>
        <w:pStyle w:val="7"/>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公司网址： www.bosera.com </w:t>
      </w:r>
    </w:p>
    <w:p>
      <w:pPr>
        <w:pStyle w:val="7"/>
        <w:spacing w:before="0" w:beforeAutospacing="0" w:after="0" w:afterAutospacing="0" w:line="360" w:lineRule="auto"/>
        <w:ind w:firstLine="420"/>
        <w:rPr>
          <w:sz w:val="21"/>
          <w:szCs w:val="21"/>
        </w:rPr>
      </w:pPr>
      <w:r>
        <w:rPr>
          <w:rFonts w:hint="eastAsia"/>
          <w:sz w:val="21"/>
          <w:szCs w:val="21"/>
        </w:rPr>
        <w:t>电子信箱：service@bosera.com</w:t>
      </w:r>
    </w:p>
    <w:p>
      <w:pPr>
        <w:pStyle w:val="7"/>
        <w:spacing w:before="0" w:beforeAutospacing="0" w:after="0" w:afterAutospacing="0" w:line="360" w:lineRule="auto"/>
        <w:ind w:firstLine="420"/>
        <w:rPr>
          <w:sz w:val="21"/>
          <w:szCs w:val="21"/>
        </w:rPr>
      </w:pPr>
      <w:r>
        <w:rPr>
          <w:rFonts w:hint="eastAsia"/>
          <w:sz w:val="21"/>
          <w:szCs w:val="21"/>
        </w:rPr>
        <w:t>博时一线通客服电话：95105568（免长途话费）</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90" w:name="chapter_level1_24_75_section_1_end"/>
      <w:bookmarkEnd w:id="190"/>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1" w:name="_Toc176190866"/>
      <w:bookmarkStart w:id="192" w:name="chapter_level1_25_3499"/>
      <w:r>
        <w:rPr>
          <w:rFonts w:hint="eastAsia" w:ascii="宋体" w:hAnsi="宋体" w:eastAsia="宋体"/>
          <w:sz w:val="30"/>
        </w:rPr>
        <w:t>第二十二部分 其他应披露的事项</w:t>
      </w:r>
      <w:bookmarkEnd w:id="191"/>
      <w:bookmarkEnd w:id="192"/>
    </w:p>
    <w:p>
      <w:pPr>
        <w:pStyle w:val="7"/>
        <w:spacing w:before="0" w:beforeAutospacing="0" w:after="0" w:afterAutospacing="0" w:line="360" w:lineRule="auto"/>
        <w:ind w:firstLine="420"/>
        <w:rPr>
          <w:sz w:val="21"/>
          <w:szCs w:val="21"/>
        </w:rPr>
      </w:pPr>
      <w:bookmarkStart w:id="193" w:name="chapter_level1_25_3499_section_1"/>
      <w:bookmarkEnd w:id="193"/>
      <w:bookmarkStart w:id="194" w:name="field_0_bsrevealinfo_1_start"/>
      <w:bookmarkEnd w:id="194"/>
      <w:r>
        <w:rPr>
          <w:rFonts w:hint="eastAsia"/>
          <w:sz w:val="21"/>
          <w:szCs w:val="21"/>
        </w:rPr>
        <w:t>（一）、2024年8月30日，我公司公告了《博时国证粮食产业指数型发起式证券投资基金2024年中期报告》；</w:t>
      </w:r>
    </w:p>
    <w:p>
      <w:pPr>
        <w:pStyle w:val="7"/>
        <w:spacing w:before="0" w:beforeAutospacing="0" w:after="0" w:afterAutospacing="0" w:line="360" w:lineRule="auto"/>
        <w:ind w:firstLine="420"/>
        <w:rPr>
          <w:sz w:val="21"/>
          <w:szCs w:val="21"/>
        </w:rPr>
      </w:pPr>
      <w:r>
        <w:rPr>
          <w:rFonts w:hint="eastAsia"/>
          <w:sz w:val="21"/>
          <w:szCs w:val="21"/>
        </w:rPr>
        <w:t>（二）、2024年8月23日，我公司公告了《博时基金管理有限公司关于终止中民财富基金销售（上海）有限公司办理旗下基金销售业务的公告》；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（三）、2024年8月22日，我公司公告了《博时基金管理有限公司旗下基金在兴业银行钱大掌柜开展费率优惠活动的公告》；</w:t>
      </w:r>
    </w:p>
    <w:p>
      <w:pPr>
        <w:pStyle w:val="7"/>
        <w:spacing w:before="0" w:beforeAutospacing="0" w:after="0" w:afterAutospacing="0" w:line="360" w:lineRule="auto"/>
        <w:ind w:firstLine="420"/>
        <w:rPr>
          <w:sz w:val="21"/>
          <w:szCs w:val="21"/>
        </w:rPr>
      </w:pPr>
      <w:r>
        <w:rPr>
          <w:rFonts w:hint="eastAsia"/>
          <w:sz w:val="21"/>
          <w:szCs w:val="21"/>
        </w:rPr>
        <w:t>（四）、2024年8月17日，我公司公告了《博时基金管理有限公司关于直销网上交易平台基金转换等业务费率优惠的公告》；</w:t>
      </w:r>
    </w:p>
    <w:p>
      <w:pPr>
        <w:pStyle w:val="7"/>
        <w:spacing w:before="0" w:beforeAutospacing="0" w:after="0" w:afterAutospacing="0" w:line="360" w:lineRule="auto"/>
        <w:ind w:firstLine="420"/>
        <w:rPr>
          <w:sz w:val="21"/>
          <w:szCs w:val="21"/>
        </w:rPr>
      </w:pPr>
      <w:r>
        <w:rPr>
          <w:rFonts w:hint="eastAsia"/>
          <w:sz w:val="21"/>
          <w:szCs w:val="21"/>
        </w:rPr>
        <w:t>（五）、2024年7月20日，我公司公告了《博时基金管理有限公司关于暂停使用民生银行基金代收付服务办理直销网上交易部分业务的公告》；</w:t>
      </w:r>
    </w:p>
    <w:p>
      <w:pPr>
        <w:pStyle w:val="7"/>
        <w:spacing w:before="0" w:beforeAutospacing="0" w:after="0" w:afterAutospacing="0" w:line="360" w:lineRule="auto"/>
        <w:ind w:firstLine="420"/>
        <w:rPr>
          <w:sz w:val="21"/>
          <w:szCs w:val="21"/>
        </w:rPr>
      </w:pPr>
      <w:r>
        <w:rPr>
          <w:rFonts w:hint="eastAsia"/>
          <w:sz w:val="21"/>
          <w:szCs w:val="21"/>
        </w:rPr>
        <w:t>（六）、2024年7月19日，我公司公告了《博时国证粮食产业指数型发起式证券投资基金2024年第2季度报告》；</w:t>
      </w:r>
    </w:p>
    <w:p>
      <w:pPr>
        <w:pStyle w:val="7"/>
        <w:spacing w:before="0" w:beforeAutospacing="0" w:after="0" w:afterAutospacing="0" w:line="360" w:lineRule="auto"/>
        <w:ind w:firstLine="420"/>
        <w:rPr>
          <w:sz w:val="21"/>
          <w:szCs w:val="21"/>
        </w:rPr>
      </w:pPr>
      <w:r>
        <w:rPr>
          <w:rFonts w:hint="eastAsia"/>
          <w:sz w:val="21"/>
          <w:szCs w:val="21"/>
        </w:rPr>
        <w:t>（七）、2024年6月26日，我公司公告了《博时国证粮食产业指数型发起式证券投资基金（博时国证粮食产业指数发起式C）基金产品资料概要更新》、《博时国证粮食产业指数型发起式证券投资基金（博时国证粮食产业指数发起式A）基金产品资料概要更新》；</w:t>
      </w:r>
    </w:p>
    <w:p>
      <w:pPr>
        <w:pStyle w:val="7"/>
        <w:spacing w:before="0" w:beforeAutospacing="0" w:after="0" w:afterAutospacing="0" w:line="360" w:lineRule="auto"/>
        <w:ind w:firstLine="420"/>
        <w:rPr>
          <w:sz w:val="21"/>
          <w:szCs w:val="21"/>
        </w:rPr>
      </w:pPr>
      <w:r>
        <w:rPr>
          <w:rFonts w:hint="eastAsia"/>
          <w:sz w:val="21"/>
          <w:szCs w:val="21"/>
        </w:rPr>
        <w:t>（八）、2024年5月25日，我公司公告了《博时基金管理有限公司关于高级管理人员变更的公告》；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（九）、2024年5月15日，我公司公告了《博时基金管理有限公司关于终止北京中期时代基金销售有限公司办理旗下基金销售业务的公告》；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2024年4月29日，我公司公告了《博时基金管理有限公司关于与通联支付网络服务股份有限公司合作开通北京银行借记卡直销网上交易和费率优惠的公告》、《博时基金管理有限公司关于与上海富友支付服务有限公司合作开通上海银行借记卡直销网上交易和费率优惠的公告》；</w:t>
      </w:r>
    </w:p>
    <w:p>
      <w:pPr>
        <w:pStyle w:val="7"/>
        <w:spacing w:before="0" w:beforeAutospacing="0" w:after="0" w:afterAutospacing="0" w:line="360" w:lineRule="auto"/>
        <w:ind w:firstLine="420"/>
        <w:rPr>
          <w:sz w:val="21"/>
          <w:szCs w:val="21"/>
        </w:rPr>
      </w:pPr>
      <w:r>
        <w:rPr>
          <w:rFonts w:hint="eastAsia"/>
          <w:sz w:val="21"/>
          <w:szCs w:val="21"/>
        </w:rPr>
        <w:t>（十一）、2024年4月26日，我公司公告了《博时国证粮食产业指数型发起式证券投资基金开放日常申购、赎回、转换、定期定额投资业务的公告》；</w:t>
      </w:r>
    </w:p>
    <w:p>
      <w:pPr>
        <w:pStyle w:val="7"/>
        <w:spacing w:before="0" w:beforeAutospacing="0" w:after="0" w:afterAutospacing="0" w:line="360" w:lineRule="auto"/>
        <w:ind w:firstLine="420"/>
        <w:rPr>
          <w:sz w:val="21"/>
          <w:szCs w:val="21"/>
        </w:rPr>
      </w:pPr>
      <w:r>
        <w:rPr>
          <w:rFonts w:hint="eastAsia"/>
          <w:sz w:val="21"/>
          <w:szCs w:val="21"/>
        </w:rPr>
        <w:t>（十二）、2024年4月13日，我公司公告了《博时基金管理有限公司关于高级管理人员变更的公告》；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三）、2024年4月11日，我公司公告了《博时国证粮食产业指数型发起式证券投资基金（博时国证粮食产业指数发起式A）基金产品资料概要更新》、《博时国证粮食产业指数型发起式证券投资基金（博时国证粮食产业指数发起式C）基金产品资料概要更新》；</w:t>
      </w:r>
    </w:p>
    <w:p>
      <w:pPr>
        <w:pStyle w:val="7"/>
        <w:spacing w:before="0" w:beforeAutospacing="0" w:after="0" w:afterAutospacing="0" w:line="360" w:lineRule="auto"/>
        <w:ind w:firstLine="420"/>
        <w:rPr>
          <w:sz w:val="21"/>
          <w:szCs w:val="21"/>
        </w:rPr>
      </w:pPr>
      <w:r>
        <w:rPr>
          <w:rFonts w:hint="eastAsia"/>
          <w:sz w:val="21"/>
          <w:szCs w:val="21"/>
        </w:rPr>
        <w:t>（十四）、2024年4月10日，我公司公告了《博时国证粮食产业指数型发起式证券投资基金基金合同生效公告》；</w:t>
      </w:r>
    </w:p>
    <w:p>
      <w:pPr>
        <w:pStyle w:val="7"/>
        <w:spacing w:before="0" w:beforeAutospacing="0" w:after="0" w:afterAutospacing="0" w:line="360" w:lineRule="auto"/>
        <w:ind w:firstLine="420"/>
        <w:rPr>
          <w:sz w:val="21"/>
          <w:szCs w:val="21"/>
        </w:rPr>
      </w:pPr>
      <w:r>
        <w:rPr>
          <w:rFonts w:hint="eastAsia"/>
          <w:sz w:val="21"/>
          <w:szCs w:val="21"/>
        </w:rPr>
        <w:t>（十五）、2024年3月15日，我公司公告了《博时国证粮食产业指数型发起式证券投资基金（博时国证粮食产业指数发起式A ）基金产品资料概要》、《博时国证粮食产业指数型发起式证券投资基金（博时国证粮食产业指数发起式C）基金产品资料概要》、《博时国证粮食产业指数型发起式证券投资基金托管协议》、《博时国证粮食产业指数型发起式证券投资基金基金合同》、《博时国证粮食产业指数型发起式证券投资基金基金份额发售公告》、</w:t>
      </w:r>
      <w:bookmarkStart w:id="195" w:name="chapter_level1_25_3499_section_1_end"/>
      <w:bookmarkEnd w:id="195"/>
      <w:r>
        <w:rPr>
          <w:rFonts w:hint="eastAsia"/>
          <w:sz w:val="21"/>
          <w:szCs w:val="21"/>
        </w:rPr>
        <w:t>《博时国证粮食产业指数型发起式证券投资基金招募说明书》。</w:t>
      </w:r>
      <w:bookmarkStart w:id="196" w:name="field_0_bsrevealinfo_1_end"/>
      <w:bookmarkEnd w:id="19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7" w:name="_Toc176190867"/>
      <w:bookmarkStart w:id="198" w:name="chapter_level1_26_77"/>
      <w:r>
        <w:rPr>
          <w:rFonts w:hint="eastAsia" w:ascii="宋体" w:hAnsi="宋体" w:eastAsia="宋体"/>
          <w:sz w:val="30"/>
        </w:rPr>
        <w:t>第二十三部分  招募说明书的存放及查阅方式</w:t>
      </w:r>
      <w:bookmarkEnd w:id="197"/>
      <w:bookmarkEnd w:id="198"/>
    </w:p>
    <w:p>
      <w:pPr>
        <w:pStyle w:val="7"/>
        <w:spacing w:before="0" w:beforeAutospacing="0" w:after="0" w:afterAutospacing="0" w:line="360" w:lineRule="auto"/>
        <w:ind w:firstLine="420"/>
        <w:rPr>
          <w:sz w:val="21"/>
          <w:szCs w:val="21"/>
        </w:rPr>
      </w:pPr>
      <w:bookmarkStart w:id="199" w:name="chapter_level1_26_77_section_1"/>
      <w:bookmarkEnd w:id="199"/>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pPr>
        <w:pStyle w:val="7"/>
        <w:spacing w:before="0" w:beforeAutospacing="0" w:after="0" w:afterAutospacing="0" w:line="360" w:lineRule="auto"/>
        <w:ind w:firstLine="420"/>
        <w:rPr>
          <w:sz w:val="21"/>
          <w:szCs w:val="21"/>
        </w:rPr>
      </w:pPr>
      <w:bookmarkStart w:id="200" w:name="chapter_level1_26_77_section_1_end"/>
      <w:bookmarkEnd w:id="200"/>
      <w:r>
        <w:rPr>
          <w:rFonts w:hint="eastAsia"/>
          <w:sz w:val="21"/>
          <w:szCs w:val="21"/>
        </w:rPr>
        <w:t>基金管理人和基金托管人保证文本的内容与所公告的内容完全一致。</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1" w:name="_Toc176190868"/>
      <w:bookmarkStart w:id="202" w:name="chapter_level1_27_332"/>
      <w:r>
        <w:rPr>
          <w:rFonts w:hint="eastAsia" w:ascii="宋体" w:hAnsi="宋体" w:eastAsia="宋体"/>
          <w:sz w:val="30"/>
        </w:rPr>
        <w:t>第二十四部分  备查文件</w:t>
      </w:r>
      <w:bookmarkEnd w:id="201"/>
      <w:bookmarkEnd w:id="202"/>
    </w:p>
    <w:p>
      <w:pPr>
        <w:pStyle w:val="7"/>
        <w:spacing w:before="0" w:beforeAutospacing="0" w:after="0" w:afterAutospacing="0" w:line="360" w:lineRule="auto"/>
        <w:ind w:firstLine="420"/>
        <w:rPr>
          <w:sz w:val="21"/>
          <w:szCs w:val="21"/>
        </w:rPr>
      </w:pPr>
      <w:bookmarkStart w:id="203" w:name="chapter_level1_27_332_section_1"/>
      <w:bookmarkEnd w:id="203"/>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04" w:name="field_0_productfullname_10"/>
      <w:r>
        <w:rPr>
          <w:rFonts w:hint="eastAsia"/>
          <w:sz w:val="21"/>
          <w:szCs w:val="21"/>
        </w:rPr>
        <w:t>博时国证粮食产业指数型发起式证券投资基金</w:t>
      </w:r>
      <w:bookmarkEnd w:id="204"/>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05" w:name="field_0_productfullname_11"/>
      <w:r>
        <w:rPr>
          <w:rFonts w:hint="eastAsia"/>
          <w:sz w:val="21"/>
          <w:szCs w:val="21"/>
        </w:rPr>
        <w:t>博时国证粮食产业指数型发起式证券投资基金</w:t>
      </w:r>
      <w:bookmarkEnd w:id="205"/>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06" w:name="field_0_productfullname_12"/>
      <w:r>
        <w:rPr>
          <w:rFonts w:hint="eastAsia"/>
          <w:sz w:val="21"/>
          <w:szCs w:val="21"/>
        </w:rPr>
        <w:t>博时国证粮食产业指数型发起式证券投资基金</w:t>
      </w:r>
      <w:bookmarkEnd w:id="206"/>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bookmarkStart w:id="207" w:name="chapter_level1_27_332_section_1_end"/>
      <w:bookmarkEnd w:id="207"/>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bookmarkStart w:id="208" w:name="chapter_level1_27_332_section_2"/>
      <w:bookmarkEnd w:id="208"/>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9" w:name="field_0_managerorgfullname_1"/>
      <w:r>
        <w:rPr>
          <w:rFonts w:hint="eastAsia"/>
          <w:sz w:val="21"/>
          <w:szCs w:val="21"/>
        </w:rPr>
        <w:t>博时基金管理有限公司</w:t>
      </w:r>
      <w:bookmarkEnd w:id="209"/>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10" w:name="chapter_level1_27_332_section_2_end"/>
      <w:bookmarkEnd w:id="210"/>
      <w:bookmarkStart w:id="211" w:name="field_0_commitmenttime_1"/>
      <w:r>
        <w:rPr>
          <w:sz w:val="21"/>
          <w:szCs w:val="21"/>
        </w:rPr>
        <w:t>2024年9月30日</w:t>
      </w:r>
      <w:bookmarkEnd w:id="211"/>
      <w:r>
        <w:rPr>
          <w:rFonts w:hint="eastAsia"/>
          <w:sz w:val="21"/>
          <w:szCs w:val="21"/>
        </w:rPr>
        <w:t xml:space="preserve">  </w:t>
      </w:r>
    </w:p>
    <w:p>
      <w:pPr>
        <w:rPr>
          <w:rFonts w:ascii="宋体" w:hAnsi="宋体" w:eastAsia="宋体"/>
        </w:rPr>
      </w:pPr>
      <w:bookmarkStart w:id="212" w:name="end"/>
      <w:bookmarkEnd w:id="21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145</w:t>
    </w:r>
    <w:r>
      <w:fldChar w:fldCharType="end"/>
    </w:r>
    <w:r>
      <w:rPr>
        <w:rFonts w:hint="eastAsia"/>
      </w:rPr>
      <w:t>页 共</w:t>
    </w:r>
    <w:r>
      <w:fldChar w:fldCharType="begin"/>
    </w:r>
    <w:r>
      <w:instrText xml:space="preserve"> NumPages \* MERGEFORMAT </w:instrText>
    </w:r>
    <w:r>
      <w:fldChar w:fldCharType="separate"/>
    </w:r>
    <w:r>
      <w:t>145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博时国证粮食产业指数型发起式证券投资基金更新招募说明书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CB9"/>
    <w:rsid w:val="001E68DE"/>
    <w:rsid w:val="00246CB9"/>
    <w:rsid w:val="00F33D76"/>
    <w:rsid w:val="117D78BF"/>
    <w:rsid w:val="1AA04A8C"/>
    <w:rsid w:val="69464778"/>
    <w:rsid w:val="6C507643"/>
    <w:rsid w:val="7D446A45"/>
    <w:rsid w:val="7D904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144</Pages>
  <Words>16826</Words>
  <Characters>95911</Characters>
  <Lines>799</Lines>
  <Paragraphs>225</Paragraphs>
  <TotalTime>2</TotalTime>
  <ScaleCrop>false</ScaleCrop>
  <LinksUpToDate>false</LinksUpToDate>
  <CharactersWithSpaces>112512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2024-09-02T09:33:00Z</dcterms:created>
  <dc:creator>BSKMadminDev</dc:creator>
  <cp:lastModifiedBy>duanyc</cp:lastModifiedBy>
  <dcterms:modified xsi:type="dcterms:W3CDTF">2024-09-27T02:03:25Z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8F58081915F6470DBC8A45111338BADD</vt:lpwstr>
  </property>
</Properties>
</file>