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CF0C8C">
      <w:pPr>
        <w:widowControl/>
        <w:jc w:val="center"/>
        <w:rPr>
          <w:rFonts w:hint="eastAsia" w:ascii="宋体" w:hAnsi="宋体" w:eastAsia="宋体"/>
          <w:b/>
          <w:sz w:val="28"/>
          <w:highlight w:val="lightGray"/>
          <w:lang w:val="en-US" w:eastAsia="zh-CN"/>
        </w:rPr>
      </w:pPr>
    </w:p>
    <w:p w14:paraId="54047E1D">
      <w:pPr>
        <w:widowControl/>
        <w:jc w:val="center"/>
        <w:rPr>
          <w:rFonts w:ascii="宋体" w:hAnsi="宋体" w:eastAsia="宋体"/>
          <w:b/>
          <w:sz w:val="28"/>
          <w:highlight w:val="none"/>
        </w:rPr>
      </w:pPr>
    </w:p>
    <w:p w14:paraId="7D1F3460">
      <w:pPr>
        <w:widowControl/>
        <w:jc w:val="center"/>
        <w:rPr>
          <w:rFonts w:ascii="宋体" w:hAnsi="宋体" w:eastAsia="宋体"/>
          <w:b/>
          <w:sz w:val="28"/>
          <w:highlight w:val="none"/>
        </w:rPr>
      </w:pPr>
    </w:p>
    <w:p w14:paraId="66814BE6">
      <w:pPr>
        <w:widowControl/>
        <w:spacing w:line="360" w:lineRule="auto"/>
        <w:ind w:left="-2" w:leftChars="-1"/>
        <w:jc w:val="center"/>
        <w:rPr>
          <w:rFonts w:ascii="宋体" w:hAnsi="宋体" w:eastAsia="宋体"/>
          <w:b/>
          <w:sz w:val="48"/>
        </w:rPr>
      </w:pPr>
      <w:r>
        <w:rPr>
          <w:rFonts w:hint="eastAsia" w:ascii="宋体" w:hAnsi="宋体" w:eastAsia="宋体"/>
          <w:b/>
          <w:sz w:val="48"/>
        </w:rPr>
        <w:t>博时中证稀有金属主题交易型开放式指数证券投资基金上市交易公告书</w:t>
      </w:r>
    </w:p>
    <w:p w14:paraId="6B1FE893">
      <w:pPr>
        <w:widowControl/>
        <w:spacing w:line="360" w:lineRule="auto"/>
        <w:ind w:left="-2" w:leftChars="-1"/>
        <w:jc w:val="center"/>
        <w:rPr>
          <w:rFonts w:ascii="宋体" w:hAnsi="宋体" w:eastAsia="宋体"/>
          <w:b/>
          <w:sz w:val="28"/>
        </w:rPr>
      </w:pPr>
    </w:p>
    <w:p w14:paraId="51BBD5BC">
      <w:pPr>
        <w:widowControl/>
        <w:spacing w:line="360" w:lineRule="auto"/>
        <w:ind w:left="-2" w:leftChars="-1"/>
        <w:jc w:val="center"/>
        <w:rPr>
          <w:rFonts w:ascii="宋体" w:hAnsi="宋体" w:eastAsia="宋体"/>
          <w:b/>
          <w:sz w:val="28"/>
        </w:rPr>
      </w:pPr>
    </w:p>
    <w:p w14:paraId="78B32039">
      <w:pPr>
        <w:widowControl/>
        <w:spacing w:line="360" w:lineRule="auto"/>
        <w:ind w:left="-2" w:leftChars="-1"/>
        <w:jc w:val="center"/>
        <w:rPr>
          <w:rFonts w:ascii="宋体" w:hAnsi="宋体" w:eastAsia="宋体"/>
          <w:b/>
          <w:sz w:val="28"/>
        </w:rPr>
      </w:pPr>
    </w:p>
    <w:p w14:paraId="0610FE9D">
      <w:pPr>
        <w:widowControl/>
        <w:spacing w:line="360" w:lineRule="auto"/>
        <w:ind w:left="-2" w:leftChars="-1"/>
        <w:jc w:val="center"/>
        <w:rPr>
          <w:rFonts w:ascii="宋体" w:hAnsi="宋体" w:eastAsia="宋体"/>
          <w:b/>
          <w:sz w:val="28"/>
        </w:rPr>
      </w:pPr>
    </w:p>
    <w:p w14:paraId="35E0DF14">
      <w:pPr>
        <w:widowControl/>
        <w:spacing w:line="360" w:lineRule="auto"/>
        <w:ind w:left="-2" w:leftChars="-1"/>
        <w:jc w:val="center"/>
        <w:rPr>
          <w:rFonts w:ascii="宋体" w:hAnsi="宋体" w:eastAsia="宋体"/>
          <w:b/>
          <w:sz w:val="28"/>
        </w:rPr>
      </w:pPr>
    </w:p>
    <w:p w14:paraId="6EB0F198">
      <w:pPr>
        <w:widowControl/>
        <w:spacing w:line="360" w:lineRule="auto"/>
        <w:ind w:left="-2" w:leftChars="-1"/>
        <w:jc w:val="center"/>
        <w:rPr>
          <w:rFonts w:ascii="宋体" w:hAnsi="宋体" w:eastAsia="宋体"/>
          <w:b/>
          <w:sz w:val="28"/>
        </w:rPr>
      </w:pPr>
    </w:p>
    <w:p w14:paraId="74E2A2AD">
      <w:pPr>
        <w:widowControl/>
        <w:spacing w:line="360" w:lineRule="auto"/>
        <w:ind w:left="-2" w:leftChars="-1"/>
        <w:jc w:val="center"/>
        <w:rPr>
          <w:rFonts w:ascii="宋体" w:hAnsi="宋体" w:eastAsia="宋体"/>
          <w:b/>
          <w:sz w:val="36"/>
        </w:rPr>
      </w:pPr>
      <w:r>
        <w:rPr>
          <w:rFonts w:hint="eastAsia" w:ascii="宋体" w:hAnsi="宋体" w:eastAsia="宋体"/>
          <w:b/>
          <w:sz w:val="36"/>
        </w:rPr>
        <w:t>基金管理人</w:t>
      </w:r>
      <w:r>
        <w:rPr>
          <w:rFonts w:ascii="宋体" w:hAnsi="宋体" w:eastAsia="宋体"/>
          <w:b/>
          <w:sz w:val="36"/>
        </w:rPr>
        <w:t>: 博时基金管理有限公司</w:t>
      </w:r>
    </w:p>
    <w:p w14:paraId="2DE48982">
      <w:pPr>
        <w:widowControl/>
        <w:spacing w:line="360" w:lineRule="auto"/>
        <w:ind w:left="-2" w:leftChars="-1"/>
        <w:jc w:val="center"/>
        <w:rPr>
          <w:rFonts w:ascii="宋体" w:hAnsi="宋体" w:eastAsia="宋体"/>
          <w:b/>
          <w:sz w:val="36"/>
        </w:rPr>
      </w:pPr>
      <w:r>
        <w:rPr>
          <w:rFonts w:hint="eastAsia" w:ascii="宋体" w:hAnsi="宋体" w:eastAsia="宋体"/>
          <w:b/>
          <w:sz w:val="36"/>
        </w:rPr>
        <w:t>基金托管人</w:t>
      </w:r>
      <w:r>
        <w:rPr>
          <w:rFonts w:ascii="宋体" w:hAnsi="宋体" w:eastAsia="宋体"/>
          <w:b/>
          <w:sz w:val="36"/>
        </w:rPr>
        <w:t>: 财通证券股份有限公司</w:t>
      </w:r>
    </w:p>
    <w:p w14:paraId="5BA9BA25">
      <w:pPr>
        <w:widowControl/>
        <w:spacing w:line="360" w:lineRule="auto"/>
        <w:ind w:left="-2" w:leftChars="-1"/>
        <w:jc w:val="center"/>
        <w:rPr>
          <w:rFonts w:ascii="宋体" w:hAnsi="宋体" w:eastAsia="宋体"/>
          <w:b/>
          <w:sz w:val="36"/>
        </w:rPr>
      </w:pPr>
      <w:r>
        <w:rPr>
          <w:rFonts w:hint="eastAsia" w:ascii="宋体" w:hAnsi="宋体" w:eastAsia="宋体"/>
          <w:b/>
          <w:sz w:val="36"/>
        </w:rPr>
        <w:t>上市地点</w:t>
      </w:r>
      <w:r>
        <w:rPr>
          <w:rFonts w:ascii="宋体" w:hAnsi="宋体" w:eastAsia="宋体"/>
          <w:b/>
          <w:sz w:val="36"/>
        </w:rPr>
        <w:t>: 上海证券交易所</w:t>
      </w:r>
    </w:p>
    <w:p w14:paraId="74E39A0C">
      <w:pPr>
        <w:widowControl/>
        <w:spacing w:line="360" w:lineRule="auto"/>
        <w:ind w:left="-2" w:leftChars="-1"/>
        <w:jc w:val="center"/>
        <w:rPr>
          <w:rFonts w:ascii="宋体" w:hAnsi="宋体" w:eastAsia="宋体"/>
          <w:b/>
          <w:sz w:val="36"/>
        </w:rPr>
      </w:pPr>
      <w:r>
        <w:rPr>
          <w:rFonts w:hint="eastAsia" w:ascii="宋体" w:hAnsi="宋体" w:eastAsia="宋体"/>
          <w:b/>
          <w:sz w:val="36"/>
        </w:rPr>
        <w:t>上市时间</w:t>
      </w:r>
      <w:r>
        <w:rPr>
          <w:rFonts w:ascii="宋体" w:hAnsi="宋体" w:eastAsia="宋体"/>
          <w:b/>
          <w:sz w:val="36"/>
        </w:rPr>
        <w:t>: 2026年11月</w:t>
      </w:r>
      <w:r>
        <w:rPr>
          <w:rFonts w:hint="eastAsia" w:ascii="宋体" w:hAnsi="宋体" w:eastAsia="宋体"/>
          <w:b/>
          <w:sz w:val="36"/>
          <w:lang w:val="en-US" w:eastAsia="zh-CN"/>
        </w:rPr>
        <w:t>11</w:t>
      </w:r>
      <w:r>
        <w:rPr>
          <w:rFonts w:ascii="宋体" w:hAnsi="宋体" w:eastAsia="宋体"/>
          <w:b/>
          <w:sz w:val="36"/>
        </w:rPr>
        <w:t>日</w:t>
      </w:r>
    </w:p>
    <w:p w14:paraId="0F876871">
      <w:pPr>
        <w:widowControl/>
        <w:spacing w:line="360" w:lineRule="auto"/>
        <w:ind w:left="-2" w:leftChars="-1"/>
        <w:jc w:val="center"/>
        <w:rPr>
          <w:rFonts w:ascii="宋体" w:hAnsi="宋体" w:eastAsia="宋体"/>
          <w:b/>
          <w:sz w:val="36"/>
        </w:rPr>
      </w:pPr>
      <w:r>
        <w:rPr>
          <w:rFonts w:hint="eastAsia" w:ascii="宋体" w:hAnsi="宋体" w:eastAsia="宋体"/>
          <w:b/>
          <w:sz w:val="36"/>
        </w:rPr>
        <w:t>公告日期</w:t>
      </w:r>
      <w:r>
        <w:rPr>
          <w:rFonts w:ascii="宋体" w:hAnsi="宋体" w:eastAsia="宋体"/>
          <w:b/>
          <w:sz w:val="36"/>
        </w:rPr>
        <w:t>: 2026年11月6日</w:t>
      </w:r>
    </w:p>
    <w:p w14:paraId="259145E7">
      <w:pPr>
        <w:widowControl/>
        <w:spacing w:line="360" w:lineRule="auto"/>
        <w:ind w:left="-2" w:leftChars="-1"/>
        <w:jc w:val="center"/>
        <w:rPr>
          <w:rFonts w:ascii="宋体" w:hAnsi="宋体" w:eastAsia="宋体"/>
          <w:b/>
          <w:sz w:val="36"/>
        </w:rPr>
      </w:pPr>
    </w:p>
    <w:p w14:paraId="3D3EA6CC">
      <w:pPr>
        <w:widowControl/>
        <w:spacing w:line="360" w:lineRule="auto"/>
        <w:ind w:left="-2" w:leftChars="-1"/>
        <w:jc w:val="center"/>
        <w:rPr>
          <w:rFonts w:ascii="宋体" w:hAnsi="宋体" w:eastAsia="宋体"/>
          <w:b/>
          <w:sz w:val="36"/>
        </w:rPr>
      </w:pPr>
    </w:p>
    <w:p w14:paraId="594BC5CC">
      <w:pPr>
        <w:widowControl/>
        <w:spacing w:line="360" w:lineRule="auto"/>
        <w:ind w:left="-2" w:leftChars="-1"/>
        <w:jc w:val="center"/>
        <w:rPr>
          <w:rFonts w:ascii="宋体" w:hAnsi="宋体" w:eastAsia="宋体"/>
          <w:b/>
          <w:sz w:val="36"/>
        </w:rPr>
      </w:pPr>
    </w:p>
    <w:p w14:paraId="0982AE54">
      <w:pPr>
        <w:widowControl/>
        <w:spacing w:line="360" w:lineRule="auto"/>
        <w:ind w:left="-2" w:leftChars="-1"/>
        <w:jc w:val="center"/>
        <w:rPr>
          <w:rFonts w:ascii="宋体" w:hAnsi="宋体" w:eastAsia="宋体"/>
          <w:b/>
          <w:sz w:val="36"/>
        </w:rPr>
      </w:pPr>
    </w:p>
    <w:p w14:paraId="4D64FF03">
      <w:pPr>
        <w:widowControl/>
        <w:spacing w:line="360" w:lineRule="auto"/>
        <w:ind w:left="-2" w:leftChars="-1"/>
        <w:jc w:val="center"/>
        <w:rPr>
          <w:rFonts w:ascii="宋体" w:hAnsi="宋体" w:eastAsia="宋体"/>
          <w:b/>
          <w:sz w:val="36"/>
        </w:rPr>
      </w:pPr>
    </w:p>
    <w:p w14:paraId="0D7F01B3">
      <w:pPr>
        <w:widowControl/>
        <w:spacing w:line="360" w:lineRule="auto"/>
        <w:ind w:left="-2" w:leftChars="-1"/>
        <w:jc w:val="center"/>
        <w:rPr>
          <w:rFonts w:ascii="宋体" w:hAnsi="宋体" w:eastAsia="宋体"/>
          <w:b/>
          <w:sz w:val="36"/>
        </w:rPr>
      </w:pPr>
    </w:p>
    <w:p w14:paraId="5064549D">
      <w:pPr>
        <w:widowControl/>
        <w:spacing w:line="360" w:lineRule="auto"/>
        <w:jc w:val="center"/>
        <w:rPr>
          <w:rFonts w:hint="eastAsia" w:ascii="宋体" w:hAnsi="宋体" w:eastAsia="宋体"/>
          <w:b/>
          <w:sz w:val="28"/>
          <w:highlight w:val="none"/>
        </w:rPr>
      </w:pPr>
      <w:r>
        <w:rPr>
          <w:rFonts w:hint="eastAsia" w:ascii="宋体" w:hAnsi="宋体" w:eastAsia="宋体"/>
          <w:b/>
          <w:sz w:val="28"/>
          <w:highlight w:val="none"/>
        </w:rPr>
        <w:t>目录</w:t>
      </w:r>
    </w:p>
    <w:p w14:paraId="0885BEA2">
      <w:pPr>
        <w:pStyle w:val="5"/>
        <w:rPr>
          <w:highlight w:val="none"/>
        </w:rPr>
      </w:pPr>
    </w:p>
    <w:p w14:paraId="1245B4BC">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TOC \o "1-2" \f 8 \h \t "2" </w:instrText>
      </w:r>
      <w:r>
        <w:rPr>
          <w:rFonts w:ascii="宋体" w:hAnsi="宋体" w:eastAsia="宋体"/>
          <w:highlight w:val="none"/>
        </w:rPr>
        <w:fldChar w:fldCharType="separate"/>
      </w:r>
      <w:r>
        <w:rPr>
          <w:rFonts w:ascii="宋体" w:hAnsi="宋体" w:eastAsia="宋体"/>
          <w:highlight w:val="none"/>
        </w:rPr>
        <w:fldChar w:fldCharType="begin"/>
      </w:r>
      <w:r>
        <w:rPr>
          <w:rFonts w:ascii="宋体" w:hAnsi="宋体" w:eastAsia="宋体"/>
          <w:highlight w:val="none"/>
        </w:rPr>
        <w:instrText xml:space="preserve"> HYPERLINK \l _Toc16628 </w:instrText>
      </w:r>
      <w:r>
        <w:rPr>
          <w:rFonts w:ascii="宋体" w:hAnsi="宋体" w:eastAsia="宋体"/>
          <w:highlight w:val="none"/>
        </w:rPr>
        <w:fldChar w:fldCharType="separate"/>
      </w:r>
      <w:r>
        <w:rPr>
          <w:rFonts w:hint="eastAsia" w:ascii="宋体" w:hAnsi="宋体" w:eastAsia="宋体"/>
          <w:highlight w:val="none"/>
        </w:rPr>
        <w:t>一、重要声明与提示</w:t>
      </w:r>
      <w:r>
        <w:rPr>
          <w:highlight w:val="none"/>
        </w:rPr>
        <w:tab/>
      </w:r>
      <w:r>
        <w:rPr>
          <w:highlight w:val="none"/>
        </w:rPr>
        <w:fldChar w:fldCharType="begin"/>
      </w:r>
      <w:r>
        <w:rPr>
          <w:highlight w:val="none"/>
        </w:rPr>
        <w:instrText xml:space="preserve"> PAGEREF _Toc16628 \h </w:instrText>
      </w:r>
      <w:r>
        <w:rPr>
          <w:highlight w:val="none"/>
        </w:rPr>
        <w:fldChar w:fldCharType="separate"/>
      </w:r>
      <w:r>
        <w:rPr>
          <w:highlight w:val="none"/>
        </w:rPr>
        <w:t>1</w:t>
      </w:r>
      <w:r>
        <w:rPr>
          <w:highlight w:val="none"/>
        </w:rPr>
        <w:fldChar w:fldCharType="end"/>
      </w:r>
      <w:r>
        <w:rPr>
          <w:rFonts w:ascii="宋体" w:hAnsi="宋体" w:eastAsia="宋体"/>
          <w:highlight w:val="none"/>
        </w:rPr>
        <w:fldChar w:fldCharType="end"/>
      </w:r>
    </w:p>
    <w:p w14:paraId="3B690586">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_Toc1668 </w:instrText>
      </w:r>
      <w:r>
        <w:rPr>
          <w:rFonts w:ascii="宋体" w:hAnsi="宋体" w:eastAsia="宋体"/>
          <w:highlight w:val="none"/>
        </w:rPr>
        <w:fldChar w:fldCharType="separate"/>
      </w:r>
      <w:r>
        <w:rPr>
          <w:rFonts w:hint="eastAsia" w:ascii="宋体" w:hAnsi="宋体" w:eastAsia="宋体"/>
          <w:highlight w:val="none"/>
        </w:rPr>
        <w:t>二、基金概览</w:t>
      </w:r>
      <w:r>
        <w:rPr>
          <w:highlight w:val="none"/>
        </w:rPr>
        <w:tab/>
      </w:r>
      <w:r>
        <w:rPr>
          <w:highlight w:val="none"/>
        </w:rPr>
        <w:fldChar w:fldCharType="begin"/>
      </w:r>
      <w:r>
        <w:rPr>
          <w:highlight w:val="none"/>
        </w:rPr>
        <w:instrText xml:space="preserve"> PAGEREF _Toc1668 \h </w:instrText>
      </w:r>
      <w:r>
        <w:rPr>
          <w:highlight w:val="none"/>
        </w:rPr>
        <w:fldChar w:fldCharType="separate"/>
      </w:r>
      <w:r>
        <w:rPr>
          <w:highlight w:val="none"/>
        </w:rPr>
        <w:t>2</w:t>
      </w:r>
      <w:r>
        <w:rPr>
          <w:highlight w:val="none"/>
        </w:rPr>
        <w:fldChar w:fldCharType="end"/>
      </w:r>
      <w:r>
        <w:rPr>
          <w:rFonts w:ascii="宋体" w:hAnsi="宋体" w:eastAsia="宋体"/>
          <w:highlight w:val="none"/>
        </w:rPr>
        <w:fldChar w:fldCharType="end"/>
      </w:r>
    </w:p>
    <w:p w14:paraId="74C426C7">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_Toc3997 </w:instrText>
      </w:r>
      <w:r>
        <w:rPr>
          <w:rFonts w:ascii="宋体" w:hAnsi="宋体" w:eastAsia="宋体"/>
          <w:highlight w:val="none"/>
        </w:rPr>
        <w:fldChar w:fldCharType="separate"/>
      </w:r>
      <w:r>
        <w:rPr>
          <w:rFonts w:hint="eastAsia" w:ascii="宋体" w:hAnsi="宋体" w:eastAsia="宋体"/>
          <w:highlight w:val="none"/>
        </w:rPr>
        <w:t>三、基金的募集与上市交易</w:t>
      </w:r>
      <w:r>
        <w:rPr>
          <w:highlight w:val="none"/>
        </w:rPr>
        <w:tab/>
      </w:r>
      <w:r>
        <w:rPr>
          <w:highlight w:val="none"/>
        </w:rPr>
        <w:fldChar w:fldCharType="begin"/>
      </w:r>
      <w:r>
        <w:rPr>
          <w:highlight w:val="none"/>
        </w:rPr>
        <w:instrText xml:space="preserve"> PAGEREF _Toc3997 \h </w:instrText>
      </w:r>
      <w:r>
        <w:rPr>
          <w:highlight w:val="none"/>
        </w:rPr>
        <w:fldChar w:fldCharType="separate"/>
      </w:r>
      <w:r>
        <w:rPr>
          <w:highlight w:val="none"/>
        </w:rPr>
        <w:t>3</w:t>
      </w:r>
      <w:r>
        <w:rPr>
          <w:highlight w:val="none"/>
        </w:rPr>
        <w:fldChar w:fldCharType="end"/>
      </w:r>
      <w:r>
        <w:rPr>
          <w:rFonts w:ascii="宋体" w:hAnsi="宋体" w:eastAsia="宋体"/>
          <w:highlight w:val="none"/>
        </w:rPr>
        <w:fldChar w:fldCharType="end"/>
      </w:r>
    </w:p>
    <w:p w14:paraId="0B40AFE7">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_Toc20520 </w:instrText>
      </w:r>
      <w:r>
        <w:rPr>
          <w:rFonts w:ascii="宋体" w:hAnsi="宋体" w:eastAsia="宋体"/>
          <w:highlight w:val="none"/>
        </w:rPr>
        <w:fldChar w:fldCharType="separate"/>
      </w:r>
      <w:r>
        <w:rPr>
          <w:rFonts w:hint="eastAsia" w:ascii="宋体" w:hAnsi="宋体" w:eastAsia="宋体"/>
          <w:highlight w:val="none"/>
        </w:rPr>
        <w:t>四、持有人户数、持有人结构及前十名持有人</w:t>
      </w:r>
      <w:r>
        <w:rPr>
          <w:highlight w:val="none"/>
        </w:rPr>
        <w:tab/>
      </w:r>
      <w:r>
        <w:rPr>
          <w:highlight w:val="none"/>
        </w:rPr>
        <w:fldChar w:fldCharType="begin"/>
      </w:r>
      <w:r>
        <w:rPr>
          <w:highlight w:val="none"/>
        </w:rPr>
        <w:instrText xml:space="preserve"> PAGEREF _Toc20520 \h </w:instrText>
      </w:r>
      <w:r>
        <w:rPr>
          <w:highlight w:val="none"/>
        </w:rPr>
        <w:fldChar w:fldCharType="separate"/>
      </w:r>
      <w:r>
        <w:rPr>
          <w:highlight w:val="none"/>
        </w:rPr>
        <w:t>6</w:t>
      </w:r>
      <w:r>
        <w:rPr>
          <w:highlight w:val="none"/>
        </w:rPr>
        <w:fldChar w:fldCharType="end"/>
      </w:r>
      <w:r>
        <w:rPr>
          <w:rFonts w:ascii="宋体" w:hAnsi="宋体" w:eastAsia="宋体"/>
          <w:highlight w:val="none"/>
        </w:rPr>
        <w:fldChar w:fldCharType="end"/>
      </w:r>
    </w:p>
    <w:p w14:paraId="16655098">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_Toc32626 </w:instrText>
      </w:r>
      <w:r>
        <w:rPr>
          <w:rFonts w:ascii="宋体" w:hAnsi="宋体" w:eastAsia="宋体"/>
          <w:highlight w:val="none"/>
        </w:rPr>
        <w:fldChar w:fldCharType="separate"/>
      </w:r>
      <w:r>
        <w:rPr>
          <w:rFonts w:hint="eastAsia" w:ascii="宋体" w:hAnsi="宋体" w:eastAsia="宋体"/>
          <w:highlight w:val="none"/>
        </w:rPr>
        <w:t>五、基金主要当事人简介</w:t>
      </w:r>
      <w:r>
        <w:rPr>
          <w:highlight w:val="none"/>
        </w:rPr>
        <w:tab/>
      </w:r>
      <w:r>
        <w:rPr>
          <w:highlight w:val="none"/>
        </w:rPr>
        <w:fldChar w:fldCharType="begin"/>
      </w:r>
      <w:r>
        <w:rPr>
          <w:highlight w:val="none"/>
        </w:rPr>
        <w:instrText xml:space="preserve"> PAGEREF _Toc32626 \h </w:instrText>
      </w:r>
      <w:r>
        <w:rPr>
          <w:highlight w:val="none"/>
        </w:rPr>
        <w:fldChar w:fldCharType="separate"/>
      </w:r>
      <w:r>
        <w:rPr>
          <w:highlight w:val="none"/>
        </w:rPr>
        <w:t>6</w:t>
      </w:r>
      <w:r>
        <w:rPr>
          <w:highlight w:val="none"/>
        </w:rPr>
        <w:fldChar w:fldCharType="end"/>
      </w:r>
      <w:r>
        <w:rPr>
          <w:rFonts w:ascii="宋体" w:hAnsi="宋体" w:eastAsia="宋体"/>
          <w:highlight w:val="none"/>
        </w:rPr>
        <w:fldChar w:fldCharType="end"/>
      </w:r>
    </w:p>
    <w:p w14:paraId="7929249B">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_Toc20861 </w:instrText>
      </w:r>
      <w:r>
        <w:rPr>
          <w:rFonts w:ascii="宋体" w:hAnsi="宋体" w:eastAsia="宋体"/>
          <w:highlight w:val="none"/>
        </w:rPr>
        <w:fldChar w:fldCharType="separate"/>
      </w:r>
      <w:r>
        <w:rPr>
          <w:rFonts w:hint="eastAsia" w:ascii="宋体" w:hAnsi="宋体" w:eastAsia="宋体"/>
          <w:highlight w:val="none"/>
        </w:rPr>
        <w:t>六、基金合同摘要</w:t>
      </w:r>
      <w:r>
        <w:rPr>
          <w:highlight w:val="none"/>
        </w:rPr>
        <w:tab/>
      </w:r>
      <w:r>
        <w:rPr>
          <w:highlight w:val="none"/>
        </w:rPr>
        <w:fldChar w:fldCharType="begin"/>
      </w:r>
      <w:r>
        <w:rPr>
          <w:highlight w:val="none"/>
        </w:rPr>
        <w:instrText xml:space="preserve"> PAGEREF _Toc20861 \h </w:instrText>
      </w:r>
      <w:r>
        <w:rPr>
          <w:highlight w:val="none"/>
        </w:rPr>
        <w:fldChar w:fldCharType="separate"/>
      </w:r>
      <w:r>
        <w:rPr>
          <w:highlight w:val="none"/>
        </w:rPr>
        <w:t>16</w:t>
      </w:r>
      <w:r>
        <w:rPr>
          <w:highlight w:val="none"/>
        </w:rPr>
        <w:fldChar w:fldCharType="end"/>
      </w:r>
      <w:r>
        <w:rPr>
          <w:rFonts w:ascii="宋体" w:hAnsi="宋体" w:eastAsia="宋体"/>
          <w:highlight w:val="none"/>
        </w:rPr>
        <w:fldChar w:fldCharType="end"/>
      </w:r>
    </w:p>
    <w:p w14:paraId="26D02FBB">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_Toc25489 </w:instrText>
      </w:r>
      <w:r>
        <w:rPr>
          <w:rFonts w:ascii="宋体" w:hAnsi="宋体" w:eastAsia="宋体"/>
          <w:highlight w:val="none"/>
        </w:rPr>
        <w:fldChar w:fldCharType="separate"/>
      </w:r>
      <w:r>
        <w:rPr>
          <w:rFonts w:hint="eastAsia" w:ascii="宋体" w:hAnsi="宋体" w:eastAsia="宋体"/>
          <w:highlight w:val="none"/>
        </w:rPr>
        <w:t>七、基金财务状况</w:t>
      </w:r>
      <w:r>
        <w:rPr>
          <w:highlight w:val="none"/>
        </w:rPr>
        <w:tab/>
      </w:r>
      <w:r>
        <w:rPr>
          <w:highlight w:val="none"/>
        </w:rPr>
        <w:fldChar w:fldCharType="begin"/>
      </w:r>
      <w:r>
        <w:rPr>
          <w:highlight w:val="none"/>
        </w:rPr>
        <w:instrText xml:space="preserve"> PAGEREF _Toc25489 \h </w:instrText>
      </w:r>
      <w:r>
        <w:rPr>
          <w:highlight w:val="none"/>
        </w:rPr>
        <w:fldChar w:fldCharType="separate"/>
      </w:r>
      <w:r>
        <w:rPr>
          <w:highlight w:val="none"/>
        </w:rPr>
        <w:t>17</w:t>
      </w:r>
      <w:r>
        <w:rPr>
          <w:highlight w:val="none"/>
        </w:rPr>
        <w:fldChar w:fldCharType="end"/>
      </w:r>
      <w:r>
        <w:rPr>
          <w:rFonts w:ascii="宋体" w:hAnsi="宋体" w:eastAsia="宋体"/>
          <w:highlight w:val="none"/>
        </w:rPr>
        <w:fldChar w:fldCharType="end"/>
      </w:r>
    </w:p>
    <w:p w14:paraId="3A77DD7F">
      <w:pPr>
        <w:pStyle w:val="8"/>
        <w:keepNext w:val="0"/>
        <w:keepLines w:val="0"/>
        <w:pageBreakBefore w:val="0"/>
        <w:widowControl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_Toc23786 </w:instrText>
      </w:r>
      <w:r>
        <w:rPr>
          <w:rFonts w:ascii="宋体" w:hAnsi="宋体" w:eastAsia="宋体"/>
          <w:highlight w:val="none"/>
        </w:rPr>
        <w:fldChar w:fldCharType="separate"/>
      </w:r>
      <w:r>
        <w:rPr>
          <w:rFonts w:hint="eastAsia" w:ascii="宋体" w:hAnsi="宋体" w:eastAsia="宋体" w:cstheme="majorBidi"/>
          <w:highlight w:val="none"/>
        </w:rPr>
        <w:t>八、基金投资组合</w:t>
      </w:r>
      <w:r>
        <w:rPr>
          <w:highlight w:val="none"/>
        </w:rPr>
        <w:tab/>
      </w:r>
      <w:r>
        <w:rPr>
          <w:highlight w:val="none"/>
        </w:rPr>
        <w:fldChar w:fldCharType="begin"/>
      </w:r>
      <w:r>
        <w:rPr>
          <w:highlight w:val="none"/>
        </w:rPr>
        <w:instrText xml:space="preserve"> PAGEREF _Toc23786 \h </w:instrText>
      </w:r>
      <w:r>
        <w:rPr>
          <w:highlight w:val="none"/>
        </w:rPr>
        <w:fldChar w:fldCharType="separate"/>
      </w:r>
      <w:r>
        <w:rPr>
          <w:highlight w:val="none"/>
        </w:rPr>
        <w:t>17</w:t>
      </w:r>
      <w:r>
        <w:rPr>
          <w:highlight w:val="none"/>
        </w:rPr>
        <w:fldChar w:fldCharType="end"/>
      </w:r>
      <w:r>
        <w:rPr>
          <w:rFonts w:ascii="宋体" w:hAnsi="宋体" w:eastAsia="宋体"/>
          <w:highlight w:val="none"/>
        </w:rPr>
        <w:fldChar w:fldCharType="end"/>
      </w:r>
    </w:p>
    <w:p w14:paraId="2822B795">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_Toc18836 </w:instrText>
      </w:r>
      <w:r>
        <w:rPr>
          <w:rFonts w:ascii="宋体" w:hAnsi="宋体" w:eastAsia="宋体"/>
          <w:highlight w:val="none"/>
        </w:rPr>
        <w:fldChar w:fldCharType="separate"/>
      </w:r>
      <w:r>
        <w:rPr>
          <w:rFonts w:hint="eastAsia" w:ascii="宋体" w:hAnsi="宋体" w:eastAsia="宋体"/>
          <w:highlight w:val="none"/>
        </w:rPr>
        <w:t>九、重大事件揭示</w:t>
      </w:r>
      <w:r>
        <w:rPr>
          <w:highlight w:val="none"/>
        </w:rPr>
        <w:tab/>
      </w:r>
      <w:r>
        <w:rPr>
          <w:highlight w:val="none"/>
        </w:rPr>
        <w:fldChar w:fldCharType="begin"/>
      </w:r>
      <w:r>
        <w:rPr>
          <w:highlight w:val="none"/>
        </w:rPr>
        <w:instrText xml:space="preserve"> PAGEREF _Toc18836 \h </w:instrText>
      </w:r>
      <w:r>
        <w:rPr>
          <w:highlight w:val="none"/>
        </w:rPr>
        <w:fldChar w:fldCharType="separate"/>
      </w:r>
      <w:r>
        <w:rPr>
          <w:highlight w:val="none"/>
        </w:rPr>
        <w:t>19</w:t>
      </w:r>
      <w:r>
        <w:rPr>
          <w:highlight w:val="none"/>
        </w:rPr>
        <w:fldChar w:fldCharType="end"/>
      </w:r>
      <w:r>
        <w:rPr>
          <w:rFonts w:ascii="宋体" w:hAnsi="宋体" w:eastAsia="宋体"/>
          <w:highlight w:val="none"/>
        </w:rPr>
        <w:fldChar w:fldCharType="end"/>
      </w:r>
    </w:p>
    <w:p w14:paraId="68EFBBBA">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_Toc802 </w:instrText>
      </w:r>
      <w:r>
        <w:rPr>
          <w:rFonts w:ascii="宋体" w:hAnsi="宋体" w:eastAsia="宋体"/>
          <w:highlight w:val="none"/>
        </w:rPr>
        <w:fldChar w:fldCharType="separate"/>
      </w:r>
      <w:r>
        <w:rPr>
          <w:rFonts w:hint="eastAsia" w:ascii="宋体" w:hAnsi="宋体" w:eastAsia="宋体"/>
          <w:highlight w:val="none"/>
        </w:rPr>
        <w:t>十、基金管理人承诺</w:t>
      </w:r>
      <w:r>
        <w:rPr>
          <w:highlight w:val="none"/>
        </w:rPr>
        <w:tab/>
      </w:r>
      <w:r>
        <w:rPr>
          <w:highlight w:val="none"/>
        </w:rPr>
        <w:fldChar w:fldCharType="begin"/>
      </w:r>
      <w:r>
        <w:rPr>
          <w:highlight w:val="none"/>
        </w:rPr>
        <w:instrText xml:space="preserve"> PAGEREF _Toc802 \h </w:instrText>
      </w:r>
      <w:r>
        <w:rPr>
          <w:highlight w:val="none"/>
        </w:rPr>
        <w:fldChar w:fldCharType="separate"/>
      </w:r>
      <w:r>
        <w:rPr>
          <w:highlight w:val="none"/>
        </w:rPr>
        <w:t>23</w:t>
      </w:r>
      <w:r>
        <w:rPr>
          <w:highlight w:val="none"/>
        </w:rPr>
        <w:fldChar w:fldCharType="end"/>
      </w:r>
      <w:r>
        <w:rPr>
          <w:rFonts w:ascii="宋体" w:hAnsi="宋体" w:eastAsia="宋体"/>
          <w:highlight w:val="none"/>
        </w:rPr>
        <w:fldChar w:fldCharType="end"/>
      </w:r>
    </w:p>
    <w:p w14:paraId="49585908">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_Toc31429 </w:instrText>
      </w:r>
      <w:r>
        <w:rPr>
          <w:rFonts w:ascii="宋体" w:hAnsi="宋体" w:eastAsia="宋体"/>
          <w:highlight w:val="none"/>
        </w:rPr>
        <w:fldChar w:fldCharType="separate"/>
      </w:r>
      <w:r>
        <w:rPr>
          <w:rFonts w:hint="eastAsia" w:ascii="宋体" w:hAnsi="宋体" w:eastAsia="宋体"/>
          <w:highlight w:val="none"/>
        </w:rPr>
        <w:t>十一、基金托管人承诺</w:t>
      </w:r>
      <w:r>
        <w:rPr>
          <w:highlight w:val="none"/>
        </w:rPr>
        <w:tab/>
      </w:r>
      <w:r>
        <w:rPr>
          <w:highlight w:val="none"/>
        </w:rPr>
        <w:fldChar w:fldCharType="begin"/>
      </w:r>
      <w:r>
        <w:rPr>
          <w:highlight w:val="none"/>
        </w:rPr>
        <w:instrText xml:space="preserve"> PAGEREF _Toc31429 \h </w:instrText>
      </w:r>
      <w:r>
        <w:rPr>
          <w:highlight w:val="none"/>
        </w:rPr>
        <w:fldChar w:fldCharType="separate"/>
      </w:r>
      <w:r>
        <w:rPr>
          <w:highlight w:val="none"/>
        </w:rPr>
        <w:t>24</w:t>
      </w:r>
      <w:r>
        <w:rPr>
          <w:highlight w:val="none"/>
        </w:rPr>
        <w:fldChar w:fldCharType="end"/>
      </w:r>
      <w:r>
        <w:rPr>
          <w:rFonts w:ascii="宋体" w:hAnsi="宋体" w:eastAsia="宋体"/>
          <w:highlight w:val="none"/>
        </w:rPr>
        <w:fldChar w:fldCharType="end"/>
      </w:r>
    </w:p>
    <w:p w14:paraId="7DA40C3C">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_Toc32296 </w:instrText>
      </w:r>
      <w:r>
        <w:rPr>
          <w:rFonts w:ascii="宋体" w:hAnsi="宋体" w:eastAsia="宋体"/>
          <w:highlight w:val="none"/>
        </w:rPr>
        <w:fldChar w:fldCharType="separate"/>
      </w:r>
      <w:r>
        <w:rPr>
          <w:rFonts w:hint="eastAsia" w:ascii="宋体" w:hAnsi="宋体" w:eastAsia="宋体"/>
          <w:highlight w:val="none"/>
        </w:rPr>
        <w:t>十二、基金上市推荐人意见</w:t>
      </w:r>
      <w:r>
        <w:rPr>
          <w:highlight w:val="none"/>
        </w:rPr>
        <w:tab/>
      </w:r>
      <w:r>
        <w:rPr>
          <w:highlight w:val="none"/>
        </w:rPr>
        <w:fldChar w:fldCharType="begin"/>
      </w:r>
      <w:r>
        <w:rPr>
          <w:highlight w:val="none"/>
        </w:rPr>
        <w:instrText xml:space="preserve"> PAGEREF _Toc32296 \h </w:instrText>
      </w:r>
      <w:r>
        <w:rPr>
          <w:highlight w:val="none"/>
        </w:rPr>
        <w:fldChar w:fldCharType="separate"/>
      </w:r>
      <w:r>
        <w:rPr>
          <w:highlight w:val="none"/>
        </w:rPr>
        <w:t>25</w:t>
      </w:r>
      <w:r>
        <w:rPr>
          <w:highlight w:val="none"/>
        </w:rPr>
        <w:fldChar w:fldCharType="end"/>
      </w:r>
      <w:r>
        <w:rPr>
          <w:rFonts w:ascii="宋体" w:hAnsi="宋体" w:eastAsia="宋体"/>
          <w:highlight w:val="none"/>
        </w:rPr>
        <w:fldChar w:fldCharType="end"/>
      </w:r>
    </w:p>
    <w:p w14:paraId="4E851841">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_Toc28556 </w:instrText>
      </w:r>
      <w:r>
        <w:rPr>
          <w:rFonts w:ascii="宋体" w:hAnsi="宋体" w:eastAsia="宋体"/>
          <w:highlight w:val="none"/>
        </w:rPr>
        <w:fldChar w:fldCharType="separate"/>
      </w:r>
      <w:r>
        <w:rPr>
          <w:rFonts w:hint="eastAsia" w:ascii="宋体" w:hAnsi="宋体" w:eastAsia="宋体"/>
          <w:highlight w:val="none"/>
        </w:rPr>
        <w:t>十三、备查文件目录</w:t>
      </w:r>
      <w:r>
        <w:rPr>
          <w:highlight w:val="none"/>
        </w:rPr>
        <w:tab/>
      </w:r>
      <w:r>
        <w:rPr>
          <w:highlight w:val="none"/>
        </w:rPr>
        <w:fldChar w:fldCharType="begin"/>
      </w:r>
      <w:r>
        <w:rPr>
          <w:highlight w:val="none"/>
        </w:rPr>
        <w:instrText xml:space="preserve"> PAGEREF _Toc28556 \h </w:instrText>
      </w:r>
      <w:r>
        <w:rPr>
          <w:highlight w:val="none"/>
        </w:rPr>
        <w:fldChar w:fldCharType="separate"/>
      </w:r>
      <w:r>
        <w:rPr>
          <w:highlight w:val="none"/>
        </w:rPr>
        <w:t>26</w:t>
      </w:r>
      <w:r>
        <w:rPr>
          <w:highlight w:val="none"/>
        </w:rPr>
        <w:fldChar w:fldCharType="end"/>
      </w:r>
      <w:r>
        <w:rPr>
          <w:rFonts w:ascii="宋体" w:hAnsi="宋体" w:eastAsia="宋体"/>
          <w:highlight w:val="none"/>
        </w:rPr>
        <w:fldChar w:fldCharType="end"/>
      </w:r>
    </w:p>
    <w:p w14:paraId="15FDC8DB">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_Toc14698 </w:instrText>
      </w:r>
      <w:r>
        <w:rPr>
          <w:rFonts w:ascii="宋体" w:hAnsi="宋体" w:eastAsia="宋体"/>
          <w:highlight w:val="none"/>
        </w:rPr>
        <w:fldChar w:fldCharType="separate"/>
      </w:r>
      <w:r>
        <w:rPr>
          <w:rFonts w:hint="eastAsia" w:ascii="宋体" w:hAnsi="宋体" w:eastAsia="宋体"/>
          <w:highlight w:val="none"/>
        </w:rPr>
        <w:t>附件：基金合同摘要</w:t>
      </w:r>
      <w:r>
        <w:rPr>
          <w:highlight w:val="none"/>
        </w:rPr>
        <w:tab/>
      </w:r>
      <w:r>
        <w:rPr>
          <w:highlight w:val="none"/>
        </w:rPr>
        <w:fldChar w:fldCharType="begin"/>
      </w:r>
      <w:r>
        <w:rPr>
          <w:highlight w:val="none"/>
        </w:rPr>
        <w:instrText xml:space="preserve"> PAGEREF _Toc14698 \h </w:instrText>
      </w:r>
      <w:r>
        <w:rPr>
          <w:highlight w:val="none"/>
        </w:rPr>
        <w:fldChar w:fldCharType="separate"/>
      </w:r>
      <w:r>
        <w:rPr>
          <w:highlight w:val="none"/>
        </w:rPr>
        <w:t>27</w:t>
      </w:r>
      <w:r>
        <w:rPr>
          <w:highlight w:val="none"/>
        </w:rPr>
        <w:fldChar w:fldCharType="end"/>
      </w:r>
      <w:r>
        <w:rPr>
          <w:rFonts w:ascii="宋体" w:hAnsi="宋体" w:eastAsia="宋体"/>
          <w:highlight w:val="none"/>
        </w:rPr>
        <w:fldChar w:fldCharType="end"/>
      </w:r>
      <w:bookmarkStart w:id="69" w:name="_GoBack"/>
      <w:bookmarkEnd w:id="69"/>
    </w:p>
    <w:p w14:paraId="24F6C55E">
      <w:pPr>
        <w:keepNext w:val="0"/>
        <w:keepLines w:val="0"/>
        <w:pageBreakBefore w:val="0"/>
        <w:widowControl/>
        <w:kinsoku/>
        <w:wordWrap/>
        <w:overflowPunct/>
        <w:topLinePunct w:val="0"/>
        <w:autoSpaceDE/>
        <w:autoSpaceDN/>
        <w:bidi w:val="0"/>
        <w:adjustRightInd w:val="0"/>
        <w:snapToGrid w:val="0"/>
        <w:spacing w:line="360" w:lineRule="auto"/>
        <w:ind w:left="-2" w:leftChars="-1"/>
        <w:jc w:val="center"/>
        <w:textAlignment w:val="auto"/>
        <w:rPr>
          <w:rFonts w:ascii="宋体" w:hAnsi="宋体" w:eastAsia="宋体"/>
          <w:highlight w:val="none"/>
        </w:rPr>
        <w:sectPr>
          <w:headerReference r:id="rId3" w:type="default"/>
          <w:footerReference r:id="rId4" w:type="default"/>
          <w:pgSz w:w="11906" w:h="16838"/>
          <w:pgMar w:top="1440" w:right="1803" w:bottom="1440" w:left="1803" w:header="851" w:footer="992" w:gutter="0"/>
          <w:cols w:space="425" w:num="1"/>
          <w:docGrid w:type="lines" w:linePitch="312" w:charSpace="0"/>
        </w:sectPr>
      </w:pPr>
      <w:r>
        <w:rPr>
          <w:rFonts w:ascii="宋体" w:hAnsi="宋体" w:eastAsia="宋体"/>
          <w:highlight w:val="none"/>
        </w:rPr>
        <w:fldChar w:fldCharType="end"/>
      </w:r>
    </w:p>
    <w:p w14:paraId="36750FA5">
      <w:pPr>
        <w:pStyle w:val="2"/>
        <w:jc w:val="center"/>
        <w:rPr>
          <w:rFonts w:ascii="宋体" w:hAnsi="宋体" w:eastAsia="宋体"/>
          <w:sz w:val="30"/>
          <w:highlight w:val="none"/>
        </w:rPr>
      </w:pPr>
      <w:bookmarkStart w:id="0" w:name="_Toc16628"/>
      <w:bookmarkStart w:id="1" w:name="chapter_level1_1_56143"/>
      <w:r>
        <w:rPr>
          <w:rFonts w:hint="eastAsia" w:ascii="宋体" w:hAnsi="宋体" w:eastAsia="宋体"/>
          <w:sz w:val="30"/>
          <w:highlight w:val="none"/>
        </w:rPr>
        <w:t>一、重要声明与提示</w:t>
      </w:r>
      <w:bookmarkEnd w:id="0"/>
      <w:bookmarkEnd w:id="1"/>
      <w:bookmarkStart w:id="2" w:name="start"/>
      <w:bookmarkEnd w:id="2"/>
    </w:p>
    <w:p w14:paraId="046CD8CA">
      <w:pPr>
        <w:pStyle w:val="9"/>
        <w:spacing w:before="0" w:beforeAutospacing="0" w:after="0" w:afterAutospacing="0" w:line="360" w:lineRule="auto"/>
        <w:ind w:firstLine="420"/>
        <w:jc w:val="both"/>
        <w:rPr>
          <w:sz w:val="21"/>
          <w:szCs w:val="21"/>
          <w:highlight w:val="none"/>
        </w:rPr>
      </w:pPr>
      <w:bookmarkStart w:id="3" w:name="chapter_level1_1_56143_section_1"/>
      <w:bookmarkEnd w:id="3"/>
      <w:r>
        <w:rPr>
          <w:rFonts w:hint="eastAsia"/>
          <w:sz w:val="21"/>
          <w:szCs w:val="21"/>
          <w:highlight w:val="none"/>
          <w:lang w:eastAsia="zh-CN"/>
        </w:rPr>
        <w:t>博时中证稀有金属主题交易型开放式指数证券投资基金</w:t>
      </w:r>
      <w:r>
        <w:rPr>
          <w:rFonts w:hint="eastAsia"/>
          <w:sz w:val="21"/>
          <w:szCs w:val="21"/>
          <w:highlight w:val="none"/>
        </w:rPr>
        <w:t>（以下简称“本基金”）上市交易公告书依据《中华人民共和国证券投资基金法》（以下简称“《基金法》”）、《证券投资基金信息披露内容与格式准则第1号〈上市交易公告书的内容与格式〉》和《上海证券交易所证券投资基金上市规则》的规定编制，</w:t>
      </w:r>
      <w:bookmarkStart w:id="4" w:name="field_0_managerorgfullname_1"/>
      <w:r>
        <w:rPr>
          <w:rFonts w:hint="eastAsia"/>
          <w:sz w:val="21"/>
          <w:szCs w:val="21"/>
          <w:highlight w:val="none"/>
        </w:rPr>
        <w:t>博时基金管理有限公司</w:t>
      </w:r>
      <w:bookmarkEnd w:id="4"/>
      <w:r>
        <w:rPr>
          <w:rFonts w:hint="eastAsia"/>
          <w:sz w:val="21"/>
          <w:szCs w:val="21"/>
          <w:highlight w:val="none"/>
        </w:rPr>
        <w:t>（以下简称“本基金管理人”）的董事会及董事保证本报告所载资料不存在虚假记载、误导性陈述或者重大遗漏，并对其内容的真实性、准确性和完整性承担个别及连带责任。本基金托管人</w:t>
      </w:r>
      <w:r>
        <w:rPr>
          <w:rFonts w:hint="eastAsia"/>
          <w:sz w:val="21"/>
          <w:szCs w:val="21"/>
          <w:highlight w:val="none"/>
          <w:lang w:eastAsia="zh-CN"/>
        </w:rPr>
        <w:t>财通证券股份有限公司</w:t>
      </w:r>
      <w:r>
        <w:rPr>
          <w:rFonts w:hint="eastAsia"/>
          <w:sz w:val="21"/>
          <w:szCs w:val="21"/>
          <w:highlight w:val="none"/>
        </w:rPr>
        <w:t xml:space="preserve">保证本报告书中基金财务会计资料等内容的真实性、准确性和完整性，承诺其中不存在虚假记载、误导性陈述或者重大遗漏。 </w:t>
      </w:r>
    </w:p>
    <w:p w14:paraId="5E9220AA">
      <w:pPr>
        <w:pStyle w:val="9"/>
        <w:spacing w:before="0" w:beforeAutospacing="0" w:after="0" w:afterAutospacing="0" w:line="360" w:lineRule="auto"/>
        <w:ind w:firstLine="420"/>
        <w:jc w:val="both"/>
        <w:rPr>
          <w:rFonts w:ascii="Times New Roman" w:hAnsi="Times New Roman" w:cs="Times New Roman"/>
          <w:sz w:val="21"/>
          <w:szCs w:val="21"/>
          <w:highlight w:val="none"/>
        </w:rPr>
        <w:sectPr>
          <w:footerReference r:id="rId5" w:type="default"/>
          <w:pgSz w:w="11906" w:h="16838"/>
          <w:pgMar w:top="1440" w:right="1803" w:bottom="1440" w:left="1803" w:header="851" w:footer="992" w:gutter="0"/>
          <w:pgNumType w:fmt="decimal" w:start="1"/>
          <w:cols w:space="425" w:num="1"/>
          <w:docGrid w:type="lines" w:linePitch="312" w:charSpace="0"/>
        </w:sectPr>
      </w:pPr>
      <w:r>
        <w:rPr>
          <w:rFonts w:hint="eastAsia"/>
          <w:sz w:val="21"/>
          <w:szCs w:val="21"/>
          <w:highlight w:val="none"/>
        </w:rPr>
        <w:t>中国证券监督管理委员会（以下简称“中国证监会”）和上海证券交易所对本基金上市交易及有关事项的意见，均不表明对本基金的任何保证。凡本上市交易公告书未涉及的有关内容，投资者欲了解</w:t>
      </w:r>
      <w:r>
        <w:rPr>
          <w:rFonts w:hint="eastAsia"/>
          <w:sz w:val="21"/>
          <w:szCs w:val="21"/>
          <w:highlight w:val="none"/>
          <w:lang w:eastAsia="zh-CN"/>
        </w:rPr>
        <w:t>博时中证稀有金属主题交易型开放式指数证券投资基金</w:t>
      </w:r>
      <w:r>
        <w:rPr>
          <w:rFonts w:hint="eastAsia"/>
          <w:sz w:val="21"/>
          <w:szCs w:val="21"/>
          <w:highlight w:val="none"/>
        </w:rPr>
        <w:t>的详细情况，请详细阅读发布在本公司网站</w:t>
      </w:r>
      <w:r>
        <w:rPr>
          <w:rFonts w:ascii="Times New Roman" w:hAnsi="Times New Roman" w:cs="Times New Roman"/>
          <w:sz w:val="21"/>
          <w:szCs w:val="21"/>
          <w:highlight w:val="none"/>
        </w:rPr>
        <w:t>（</w:t>
      </w:r>
      <w:r>
        <w:rPr>
          <w:highlight w:val="none"/>
        </w:rPr>
        <w:fldChar w:fldCharType="begin"/>
      </w:r>
      <w:r>
        <w:rPr>
          <w:highlight w:val="none"/>
        </w:rPr>
        <w:instrText xml:space="preserve"> HYPERLINK "http://www.bosera.com/" </w:instrText>
      </w:r>
      <w:r>
        <w:rPr>
          <w:highlight w:val="none"/>
        </w:rPr>
        <w:fldChar w:fldCharType="separate"/>
      </w:r>
      <w:r>
        <w:rPr>
          <w:rStyle w:val="17"/>
          <w:rFonts w:ascii="Times New Roman" w:hAnsi="Times New Roman" w:cs="Times New Roman"/>
          <w:sz w:val="21"/>
          <w:szCs w:val="21"/>
          <w:highlight w:val="none"/>
        </w:rPr>
        <w:t>http</w:t>
      </w:r>
      <w:r>
        <w:rPr>
          <w:rStyle w:val="17"/>
          <w:rFonts w:hint="eastAsia" w:ascii="Times New Roman" w:hAnsi="Times New Roman" w:cs="Times New Roman"/>
          <w:sz w:val="21"/>
          <w:szCs w:val="21"/>
          <w:highlight w:val="none"/>
          <w:lang w:val="en-US" w:eastAsia="zh-CN"/>
        </w:rPr>
        <w:t>s</w:t>
      </w:r>
      <w:r>
        <w:rPr>
          <w:rStyle w:val="17"/>
          <w:rFonts w:ascii="Times New Roman" w:hAnsi="Times New Roman" w:cs="Times New Roman"/>
          <w:sz w:val="21"/>
          <w:szCs w:val="21"/>
          <w:highlight w:val="none"/>
        </w:rPr>
        <w:t>://www.bosera.com/</w:t>
      </w:r>
      <w:r>
        <w:rPr>
          <w:rStyle w:val="17"/>
          <w:rFonts w:ascii="Times New Roman" w:hAnsi="Times New Roman" w:cs="Times New Roman"/>
          <w:sz w:val="21"/>
          <w:szCs w:val="21"/>
          <w:highlight w:val="none"/>
        </w:rPr>
        <w:fldChar w:fldCharType="end"/>
      </w:r>
      <w:r>
        <w:rPr>
          <w:rFonts w:ascii="Times New Roman" w:hAnsi="Times New Roman" w:cs="Times New Roman"/>
          <w:sz w:val="21"/>
          <w:szCs w:val="21"/>
          <w:highlight w:val="none"/>
        </w:rPr>
        <w:t>）</w:t>
      </w:r>
      <w:r>
        <w:rPr>
          <w:rFonts w:hint="eastAsia"/>
          <w:sz w:val="21"/>
          <w:szCs w:val="21"/>
          <w:highlight w:val="none"/>
        </w:rPr>
        <w:t>和中国证监会基金电子披露网站</w:t>
      </w:r>
      <w:r>
        <w:rPr>
          <w:rFonts w:hint="eastAsia" w:ascii="Times New Roman" w:hAnsi="Times New Roman" w:cs="Times New Roman"/>
          <w:sz w:val="21"/>
          <w:szCs w:val="21"/>
          <w:highlight w:val="none"/>
        </w:rPr>
        <w:t>（http://eid.csrc.gov.cn/fund）</w:t>
      </w:r>
      <w:r>
        <w:rPr>
          <w:rFonts w:hint="eastAsia"/>
          <w:sz w:val="21"/>
          <w:szCs w:val="21"/>
          <w:highlight w:val="none"/>
        </w:rPr>
        <w:t xml:space="preserve">上的本基金招募说明书、产品资料概要。 </w:t>
      </w:r>
    </w:p>
    <w:p w14:paraId="30D5110F">
      <w:pPr>
        <w:pStyle w:val="2"/>
        <w:jc w:val="center"/>
        <w:rPr>
          <w:rFonts w:ascii="宋体" w:hAnsi="宋体" w:eastAsia="宋体"/>
          <w:sz w:val="30"/>
          <w:highlight w:val="none"/>
        </w:rPr>
      </w:pPr>
      <w:bookmarkStart w:id="5" w:name="_Toc1668"/>
      <w:bookmarkStart w:id="6" w:name="chapter_level1_2_56144"/>
      <w:r>
        <w:rPr>
          <w:rFonts w:hint="eastAsia" w:ascii="宋体" w:hAnsi="宋体" w:eastAsia="宋体"/>
          <w:sz w:val="30"/>
          <w:highlight w:val="none"/>
        </w:rPr>
        <w:t>二、基金概览</w:t>
      </w:r>
      <w:bookmarkEnd w:id="5"/>
      <w:bookmarkEnd w:id="6"/>
    </w:p>
    <w:p w14:paraId="07CB11AE">
      <w:pPr>
        <w:pStyle w:val="9"/>
        <w:spacing w:before="0" w:beforeAutospacing="0" w:after="0" w:afterAutospacing="0" w:line="360" w:lineRule="auto"/>
        <w:ind w:firstLine="420"/>
        <w:jc w:val="both"/>
        <w:rPr>
          <w:sz w:val="21"/>
          <w:szCs w:val="21"/>
          <w:highlight w:val="none"/>
        </w:rPr>
      </w:pPr>
      <w:bookmarkStart w:id="7" w:name="chapter_level1_2_56144_section_1"/>
      <w:bookmarkEnd w:id="7"/>
      <w:r>
        <w:rPr>
          <w:rFonts w:hint="eastAsia"/>
          <w:sz w:val="21"/>
          <w:szCs w:val="21"/>
          <w:highlight w:val="none"/>
        </w:rPr>
        <w:t>1、基金名称：</w:t>
      </w:r>
      <w:r>
        <w:rPr>
          <w:rFonts w:hint="eastAsia"/>
          <w:sz w:val="21"/>
          <w:szCs w:val="21"/>
          <w:highlight w:val="none"/>
          <w:lang w:eastAsia="zh-CN"/>
        </w:rPr>
        <w:t>博时中证稀有金属主题交易型开放式指数证券投资基金</w:t>
      </w:r>
      <w:r>
        <w:rPr>
          <w:rFonts w:hint="eastAsia"/>
          <w:sz w:val="21"/>
          <w:szCs w:val="21"/>
          <w:highlight w:val="none"/>
        </w:rPr>
        <w:t xml:space="preserve"> </w:t>
      </w:r>
    </w:p>
    <w:p w14:paraId="7CEDC2DC">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2、基金类型：股票型证券投资基金 </w:t>
      </w:r>
    </w:p>
    <w:p w14:paraId="1F46F7E9">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3、运作方式：</w:t>
      </w:r>
      <w:bookmarkStart w:id="8" w:name="field_0_operation_1"/>
      <w:r>
        <w:rPr>
          <w:rFonts w:hint="eastAsia"/>
          <w:sz w:val="21"/>
          <w:szCs w:val="21"/>
          <w:highlight w:val="none"/>
        </w:rPr>
        <w:t>交易型开放式</w:t>
      </w:r>
      <w:bookmarkEnd w:id="8"/>
      <w:r>
        <w:rPr>
          <w:rFonts w:hint="eastAsia"/>
          <w:sz w:val="21"/>
          <w:szCs w:val="21"/>
          <w:highlight w:val="none"/>
        </w:rPr>
        <w:t xml:space="preserve"> </w:t>
      </w:r>
    </w:p>
    <w:p w14:paraId="62FA8EBB">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4、基金存续期限：</w:t>
      </w:r>
      <w:bookmarkStart w:id="9" w:name="field_0_duration_1"/>
      <w:r>
        <w:rPr>
          <w:rFonts w:hint="eastAsia"/>
          <w:sz w:val="21"/>
          <w:szCs w:val="21"/>
          <w:highlight w:val="none"/>
        </w:rPr>
        <w:t>不定期</w:t>
      </w:r>
      <w:bookmarkEnd w:id="9"/>
      <w:r>
        <w:rPr>
          <w:rFonts w:hint="eastAsia"/>
          <w:sz w:val="21"/>
          <w:szCs w:val="21"/>
          <w:highlight w:val="none"/>
        </w:rPr>
        <w:t xml:space="preserve"> </w:t>
      </w:r>
    </w:p>
    <w:p w14:paraId="7A1453F4">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5、基金简称：</w:t>
      </w:r>
      <w:r>
        <w:rPr>
          <w:rFonts w:hint="eastAsia"/>
          <w:sz w:val="21"/>
          <w:szCs w:val="21"/>
          <w:highlight w:val="none"/>
          <w:lang w:eastAsia="zh-CN"/>
        </w:rPr>
        <w:t>博时中证稀有金属主题ETF</w:t>
      </w:r>
      <w:r>
        <w:rPr>
          <w:rFonts w:hint="eastAsia"/>
          <w:sz w:val="21"/>
          <w:szCs w:val="21"/>
          <w:highlight w:val="none"/>
        </w:rPr>
        <w:t xml:space="preserve"> </w:t>
      </w:r>
    </w:p>
    <w:p w14:paraId="763CFE2D">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6、基金二级市场交易简称及交易代码 </w:t>
      </w:r>
    </w:p>
    <w:p w14:paraId="3C6AD1E0">
      <w:pPr>
        <w:pStyle w:val="9"/>
        <w:spacing w:before="0" w:beforeAutospacing="0" w:after="0" w:afterAutospacing="0" w:line="360" w:lineRule="auto"/>
        <w:ind w:firstLine="420"/>
        <w:jc w:val="both"/>
        <w:rPr>
          <w:rFonts w:hint="eastAsia" w:eastAsia="宋体"/>
          <w:sz w:val="21"/>
          <w:szCs w:val="21"/>
          <w:highlight w:val="none"/>
          <w:lang w:eastAsia="zh-CN"/>
        </w:rPr>
      </w:pPr>
      <w:r>
        <w:rPr>
          <w:rFonts w:hint="eastAsia"/>
          <w:sz w:val="21"/>
          <w:szCs w:val="21"/>
        </w:rPr>
        <w:t>证券简称：</w:t>
      </w:r>
      <w:r>
        <w:rPr>
          <w:rFonts w:hint="eastAsia"/>
          <w:sz w:val="21"/>
          <w:szCs w:val="21"/>
          <w:lang w:eastAsia="zh-CN"/>
        </w:rPr>
        <w:t>金属博时</w:t>
      </w:r>
      <w:r>
        <w:rPr>
          <w:rFonts w:hint="eastAsia"/>
          <w:sz w:val="21"/>
          <w:szCs w:val="21"/>
        </w:rPr>
        <w:t>，扩位证券简称：</w:t>
      </w:r>
      <w:r>
        <w:rPr>
          <w:rFonts w:hint="eastAsia"/>
          <w:sz w:val="21"/>
          <w:szCs w:val="21"/>
          <w:lang w:eastAsia="zh-CN"/>
        </w:rPr>
        <w:t>稀有金属ETF博时</w:t>
      </w:r>
      <w:r>
        <w:rPr>
          <w:rFonts w:hint="eastAsia"/>
          <w:sz w:val="21"/>
          <w:szCs w:val="21"/>
        </w:rPr>
        <w:t>，交易代码：</w:t>
      </w:r>
      <w:r>
        <w:rPr>
          <w:rFonts w:hint="eastAsia"/>
          <w:sz w:val="21"/>
          <w:szCs w:val="21"/>
          <w:lang w:eastAsia="zh-CN"/>
        </w:rPr>
        <w:t>561970</w:t>
      </w:r>
    </w:p>
    <w:p w14:paraId="29B638B4">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7、截至公告日前两个工作日的基金份额总额：截至</w:t>
      </w:r>
      <w:r>
        <w:rPr>
          <w:rFonts w:hint="eastAsia"/>
          <w:sz w:val="21"/>
          <w:szCs w:val="21"/>
          <w:highlight w:val="none"/>
          <w:lang w:eastAsia="zh-CN"/>
        </w:rPr>
        <w:t>2026年11月4日</w:t>
      </w:r>
      <w:r>
        <w:rPr>
          <w:rFonts w:hint="eastAsia"/>
          <w:sz w:val="21"/>
          <w:szCs w:val="21"/>
          <w:highlight w:val="none"/>
        </w:rPr>
        <w:t>，本基金的基金份额总额为</w:t>
      </w:r>
      <w:r>
        <w:rPr>
          <w:rFonts w:hint="eastAsia"/>
          <w:sz w:val="21"/>
          <w:szCs w:val="21"/>
          <w:highlight w:val="none"/>
          <w:lang w:eastAsia="zh-CN"/>
        </w:rPr>
        <w:t>211,610,272.00份</w:t>
      </w:r>
      <w:r>
        <w:rPr>
          <w:rFonts w:hint="eastAsia"/>
          <w:sz w:val="21"/>
          <w:szCs w:val="21"/>
          <w:highlight w:val="none"/>
        </w:rPr>
        <w:t>。</w:t>
      </w:r>
    </w:p>
    <w:p w14:paraId="767F0141">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8、截至公告日前两个工作日的基金份额净值：截至</w:t>
      </w:r>
      <w:r>
        <w:rPr>
          <w:rFonts w:hint="eastAsia"/>
          <w:sz w:val="21"/>
          <w:szCs w:val="21"/>
          <w:highlight w:val="none"/>
          <w:lang w:eastAsia="zh-CN"/>
        </w:rPr>
        <w:t>2026年11月4日</w:t>
      </w:r>
      <w:r>
        <w:rPr>
          <w:rFonts w:hint="eastAsia"/>
          <w:sz w:val="21"/>
          <w:szCs w:val="21"/>
          <w:highlight w:val="none"/>
        </w:rPr>
        <w:t>，本基金的基金份额净值为1.0130元。</w:t>
      </w:r>
    </w:p>
    <w:p w14:paraId="5CF64830">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9、本次上市交易的基金份额总额：截至</w:t>
      </w:r>
      <w:r>
        <w:rPr>
          <w:rFonts w:hint="eastAsia"/>
          <w:sz w:val="21"/>
          <w:szCs w:val="21"/>
          <w:highlight w:val="none"/>
          <w:lang w:eastAsia="zh-CN"/>
        </w:rPr>
        <w:t>2026年11月4日</w:t>
      </w:r>
      <w:r>
        <w:rPr>
          <w:rFonts w:hint="eastAsia"/>
          <w:sz w:val="21"/>
          <w:szCs w:val="21"/>
          <w:highlight w:val="none"/>
        </w:rPr>
        <w:t>，本次上市交易的基金份额总额为</w:t>
      </w:r>
      <w:r>
        <w:rPr>
          <w:rFonts w:hint="eastAsia"/>
          <w:sz w:val="21"/>
          <w:szCs w:val="21"/>
          <w:highlight w:val="none"/>
          <w:lang w:eastAsia="zh-CN"/>
        </w:rPr>
        <w:t>211,610,272.00份</w:t>
      </w:r>
      <w:r>
        <w:rPr>
          <w:rFonts w:hint="eastAsia"/>
          <w:sz w:val="21"/>
          <w:szCs w:val="21"/>
          <w:highlight w:val="none"/>
        </w:rPr>
        <w:t>。</w:t>
      </w:r>
    </w:p>
    <w:p w14:paraId="149EB745">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10、上市交易的证券交易所：</w:t>
      </w:r>
      <w:bookmarkStart w:id="10" w:name="field_0_listedlandname_1"/>
      <w:r>
        <w:rPr>
          <w:rFonts w:hint="eastAsia"/>
          <w:sz w:val="21"/>
          <w:szCs w:val="21"/>
          <w:highlight w:val="none"/>
        </w:rPr>
        <w:t>上海证券交易所</w:t>
      </w:r>
      <w:bookmarkEnd w:id="10"/>
      <w:r>
        <w:rPr>
          <w:rFonts w:hint="eastAsia"/>
          <w:sz w:val="21"/>
          <w:szCs w:val="21"/>
          <w:highlight w:val="none"/>
        </w:rPr>
        <w:t xml:space="preserve"> </w:t>
      </w:r>
    </w:p>
    <w:p w14:paraId="01286021">
      <w:pPr>
        <w:pStyle w:val="9"/>
        <w:spacing w:before="0" w:beforeAutospacing="0" w:after="0" w:afterAutospacing="0" w:line="360" w:lineRule="auto"/>
        <w:ind w:firstLine="420"/>
        <w:jc w:val="both"/>
        <w:rPr>
          <w:rFonts w:hint="eastAsia" w:eastAsia="宋体"/>
          <w:sz w:val="21"/>
          <w:szCs w:val="21"/>
          <w:highlight w:val="none"/>
          <w:lang w:eastAsia="zh-CN"/>
        </w:rPr>
      </w:pPr>
      <w:r>
        <w:rPr>
          <w:rFonts w:hint="eastAsia"/>
          <w:sz w:val="21"/>
          <w:szCs w:val="21"/>
          <w:highlight w:val="none"/>
        </w:rPr>
        <w:t>11、上市交易日期：</w:t>
      </w:r>
      <w:r>
        <w:rPr>
          <w:rFonts w:hint="eastAsia"/>
          <w:sz w:val="21"/>
          <w:szCs w:val="21"/>
          <w:highlight w:val="none"/>
          <w:lang w:eastAsia="zh-CN"/>
        </w:rPr>
        <w:t>2026年11月11日</w:t>
      </w:r>
    </w:p>
    <w:p w14:paraId="32AF5137">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12、基金管理人：</w:t>
      </w:r>
      <w:bookmarkStart w:id="11" w:name="field_0_managerorgfullname_2"/>
      <w:r>
        <w:rPr>
          <w:rFonts w:hint="eastAsia"/>
          <w:sz w:val="21"/>
          <w:szCs w:val="21"/>
          <w:highlight w:val="none"/>
        </w:rPr>
        <w:t>博时基金管理有限公司</w:t>
      </w:r>
      <w:bookmarkEnd w:id="11"/>
      <w:r>
        <w:rPr>
          <w:rFonts w:hint="eastAsia"/>
          <w:sz w:val="21"/>
          <w:szCs w:val="21"/>
          <w:highlight w:val="none"/>
        </w:rPr>
        <w:t xml:space="preserve"> </w:t>
      </w:r>
    </w:p>
    <w:p w14:paraId="0A5DFF49">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13、基金托管人：</w:t>
      </w:r>
      <w:r>
        <w:rPr>
          <w:rFonts w:hint="eastAsia"/>
          <w:sz w:val="21"/>
          <w:szCs w:val="21"/>
          <w:highlight w:val="none"/>
          <w:lang w:eastAsia="zh-CN"/>
        </w:rPr>
        <w:t xml:space="preserve">财通证券股份有限公司 </w:t>
      </w:r>
      <w:r>
        <w:rPr>
          <w:rFonts w:hint="eastAsia"/>
          <w:sz w:val="21"/>
          <w:szCs w:val="21"/>
          <w:highlight w:val="none"/>
        </w:rPr>
        <w:t xml:space="preserve"> </w:t>
      </w:r>
    </w:p>
    <w:p w14:paraId="003684D3">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14、登记机构：</w:t>
      </w:r>
      <w:bookmarkStart w:id="12" w:name="field_0_registerorgfullname_1"/>
      <w:r>
        <w:rPr>
          <w:rFonts w:hint="eastAsia"/>
          <w:sz w:val="21"/>
          <w:szCs w:val="21"/>
          <w:highlight w:val="none"/>
        </w:rPr>
        <w:t>中国证券登记结算有限责任公司</w:t>
      </w:r>
      <w:bookmarkEnd w:id="12"/>
      <w:r>
        <w:rPr>
          <w:rFonts w:hint="eastAsia"/>
          <w:sz w:val="21"/>
          <w:szCs w:val="21"/>
          <w:highlight w:val="none"/>
        </w:rPr>
        <w:t xml:space="preserve"> </w:t>
      </w:r>
    </w:p>
    <w:p w14:paraId="2FE755D5">
      <w:pPr>
        <w:pStyle w:val="9"/>
        <w:spacing w:before="0" w:beforeAutospacing="0" w:after="0" w:afterAutospacing="0" w:line="360" w:lineRule="auto"/>
        <w:ind w:firstLine="420"/>
        <w:jc w:val="both"/>
        <w:rPr>
          <w:rFonts w:hint="eastAsia" w:eastAsia="宋体"/>
          <w:sz w:val="21"/>
          <w:szCs w:val="21"/>
          <w:highlight w:val="none"/>
          <w:lang w:eastAsia="zh-CN"/>
        </w:rPr>
        <w:sectPr>
          <w:pgSz w:w="11906" w:h="16838"/>
          <w:pgMar w:top="1440" w:right="1803" w:bottom="1440" w:left="1803" w:header="851" w:footer="992" w:gutter="0"/>
          <w:pgNumType w:fmt="decimal"/>
          <w:cols w:space="425" w:num="1"/>
          <w:docGrid w:type="lines" w:linePitch="312" w:charSpace="0"/>
        </w:sectPr>
      </w:pPr>
      <w:bookmarkStart w:id="13" w:name="chapter_level1_2_56144_section_1_end"/>
      <w:bookmarkEnd w:id="13"/>
      <w:r>
        <w:rPr>
          <w:rFonts w:hint="eastAsia"/>
          <w:sz w:val="21"/>
          <w:szCs w:val="21"/>
          <w:highlight w:val="none"/>
        </w:rPr>
        <w:t>15、上市推荐人：</w:t>
      </w:r>
      <w:r>
        <w:rPr>
          <w:rFonts w:hint="eastAsia"/>
          <w:sz w:val="21"/>
          <w:szCs w:val="21"/>
          <w:highlight w:val="none"/>
          <w:lang w:val="en-US" w:eastAsia="zh-CN"/>
        </w:rPr>
        <w:t>华泰证券股份有限公司</w:t>
      </w:r>
    </w:p>
    <w:p w14:paraId="20DF765A">
      <w:pPr>
        <w:pStyle w:val="2"/>
        <w:jc w:val="center"/>
        <w:rPr>
          <w:rFonts w:ascii="宋体" w:hAnsi="宋体" w:eastAsia="宋体"/>
          <w:sz w:val="30"/>
          <w:highlight w:val="none"/>
        </w:rPr>
      </w:pPr>
      <w:bookmarkStart w:id="14" w:name="chapter_level1_3_56145"/>
      <w:bookmarkStart w:id="15" w:name="_Toc3997"/>
      <w:r>
        <w:rPr>
          <w:rFonts w:hint="eastAsia" w:ascii="宋体" w:hAnsi="宋体" w:eastAsia="宋体"/>
          <w:sz w:val="30"/>
          <w:highlight w:val="none"/>
        </w:rPr>
        <w:t>三、基金的募集与上市交易</w:t>
      </w:r>
      <w:bookmarkEnd w:id="14"/>
      <w:bookmarkEnd w:id="15"/>
    </w:p>
    <w:p w14:paraId="19F8DEA0">
      <w:pPr>
        <w:pStyle w:val="9"/>
        <w:spacing w:before="0" w:beforeAutospacing="0" w:after="0" w:afterAutospacing="0" w:line="360" w:lineRule="auto"/>
        <w:ind w:firstLine="420"/>
        <w:jc w:val="both"/>
        <w:rPr>
          <w:sz w:val="21"/>
          <w:szCs w:val="21"/>
          <w:highlight w:val="none"/>
        </w:rPr>
      </w:pPr>
      <w:bookmarkStart w:id="16" w:name="chapter_level1_3_56145_section_1"/>
      <w:bookmarkEnd w:id="16"/>
      <w:r>
        <w:rPr>
          <w:rFonts w:hint="eastAsia"/>
          <w:sz w:val="21"/>
          <w:szCs w:val="21"/>
          <w:highlight w:val="none"/>
        </w:rPr>
        <w:t xml:space="preserve">（一）本基金上市前基金募集情况 </w:t>
      </w:r>
    </w:p>
    <w:p w14:paraId="7731B3EE">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1、基金募集申请的核准机构和核准文号：</w:t>
      </w:r>
      <w:r>
        <w:rPr>
          <w:rFonts w:hint="eastAsia"/>
          <w:sz w:val="21"/>
          <w:szCs w:val="21"/>
          <w:lang w:eastAsia="zh-CN"/>
        </w:rPr>
        <w:t>中国证监会证监许可[2026]1426号文</w:t>
      </w:r>
      <w:r>
        <w:rPr>
          <w:rFonts w:hint="eastAsia"/>
          <w:sz w:val="21"/>
          <w:szCs w:val="21"/>
          <w:highlight w:val="none"/>
        </w:rPr>
        <w:t>。</w:t>
      </w:r>
    </w:p>
    <w:p w14:paraId="2A2C6B3C">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2、基金运作方式：</w:t>
      </w:r>
      <w:bookmarkStart w:id="17" w:name="field_0_operation_2"/>
      <w:r>
        <w:rPr>
          <w:rFonts w:hint="eastAsia"/>
          <w:sz w:val="21"/>
          <w:szCs w:val="21"/>
          <w:highlight w:val="none"/>
        </w:rPr>
        <w:t>交易型开放式</w:t>
      </w:r>
      <w:bookmarkEnd w:id="17"/>
      <w:r>
        <w:rPr>
          <w:rFonts w:hint="eastAsia"/>
          <w:sz w:val="21"/>
          <w:szCs w:val="21"/>
          <w:highlight w:val="none"/>
        </w:rPr>
        <w:t>。</w:t>
      </w:r>
    </w:p>
    <w:p w14:paraId="729CB0B6">
      <w:pPr>
        <w:pStyle w:val="9"/>
        <w:spacing w:before="0" w:beforeAutospacing="0" w:after="0" w:afterAutospacing="0" w:line="360" w:lineRule="auto"/>
        <w:ind w:firstLine="420"/>
        <w:jc w:val="both"/>
        <w:rPr>
          <w:sz w:val="21"/>
          <w:szCs w:val="21"/>
          <w:highlight w:val="none"/>
        </w:rPr>
      </w:pPr>
      <w:r>
        <w:rPr>
          <w:sz w:val="21"/>
          <w:szCs w:val="21"/>
          <w:highlight w:val="none"/>
        </w:rPr>
        <w:t>3</w:t>
      </w:r>
      <w:r>
        <w:rPr>
          <w:rFonts w:hint="eastAsia"/>
          <w:sz w:val="21"/>
          <w:szCs w:val="21"/>
          <w:highlight w:val="none"/>
        </w:rPr>
        <w:t>、基金合同期限：</w:t>
      </w:r>
      <w:bookmarkStart w:id="18" w:name="field_0_duration_2"/>
      <w:r>
        <w:rPr>
          <w:rFonts w:hint="eastAsia"/>
          <w:sz w:val="21"/>
          <w:szCs w:val="21"/>
          <w:highlight w:val="none"/>
        </w:rPr>
        <w:t>不定期</w:t>
      </w:r>
      <w:bookmarkEnd w:id="18"/>
      <w:r>
        <w:rPr>
          <w:rFonts w:hint="eastAsia"/>
          <w:sz w:val="21"/>
          <w:szCs w:val="21"/>
          <w:highlight w:val="none"/>
        </w:rPr>
        <w:t>。</w:t>
      </w:r>
    </w:p>
    <w:p w14:paraId="68B91F4D">
      <w:pPr>
        <w:pStyle w:val="9"/>
        <w:spacing w:before="0" w:beforeAutospacing="0" w:after="0" w:afterAutospacing="0" w:line="360" w:lineRule="auto"/>
        <w:ind w:firstLine="420"/>
        <w:jc w:val="both"/>
        <w:rPr>
          <w:sz w:val="21"/>
          <w:szCs w:val="21"/>
          <w:highlight w:val="none"/>
        </w:rPr>
      </w:pPr>
      <w:r>
        <w:rPr>
          <w:sz w:val="21"/>
          <w:szCs w:val="21"/>
          <w:highlight w:val="none"/>
        </w:rPr>
        <w:t>4</w:t>
      </w:r>
      <w:r>
        <w:rPr>
          <w:rFonts w:hint="eastAsia"/>
          <w:sz w:val="21"/>
          <w:szCs w:val="21"/>
          <w:highlight w:val="none"/>
        </w:rPr>
        <w:t>、发售日期：</w:t>
      </w:r>
      <w:bookmarkStart w:id="19" w:name="field_0_raisebegindate_1"/>
      <w:r>
        <w:rPr>
          <w:sz w:val="21"/>
          <w:szCs w:val="21"/>
        </w:rPr>
        <w:t>2026年10月12日</w:t>
      </w:r>
      <w:r>
        <w:rPr>
          <w:rFonts w:hint="eastAsia"/>
          <w:sz w:val="21"/>
          <w:szCs w:val="21"/>
        </w:rPr>
        <w:t>起至</w:t>
      </w:r>
      <w:r>
        <w:rPr>
          <w:sz w:val="21"/>
          <w:szCs w:val="21"/>
        </w:rPr>
        <w:t>2026年10月28日</w:t>
      </w:r>
      <w:bookmarkEnd w:id="19"/>
      <w:r>
        <w:rPr>
          <w:rFonts w:hint="eastAsia"/>
          <w:sz w:val="21"/>
          <w:szCs w:val="21"/>
        </w:rPr>
        <w:t>通过销售机构公开发售。其中，网下现金发售的日期为</w:t>
      </w:r>
      <w:bookmarkStart w:id="20" w:name="field_0_raisebegindate_2"/>
      <w:r>
        <w:rPr>
          <w:sz w:val="21"/>
          <w:szCs w:val="21"/>
        </w:rPr>
        <w:t>2026年10月12日</w:t>
      </w:r>
      <w:r>
        <w:rPr>
          <w:rFonts w:hint="eastAsia"/>
          <w:sz w:val="21"/>
          <w:szCs w:val="21"/>
        </w:rPr>
        <w:t>起至</w:t>
      </w:r>
      <w:r>
        <w:rPr>
          <w:sz w:val="21"/>
          <w:szCs w:val="21"/>
        </w:rPr>
        <w:t>2026年10月28日</w:t>
      </w:r>
      <w:bookmarkEnd w:id="20"/>
      <w:r>
        <w:rPr>
          <w:rFonts w:hint="eastAsia"/>
          <w:sz w:val="21"/>
          <w:szCs w:val="21"/>
        </w:rPr>
        <w:t>，网上现金发售的日期为</w:t>
      </w:r>
      <w:bookmarkStart w:id="21" w:name="field_0_onlinecashraisebegindate_1"/>
      <w:r>
        <w:rPr>
          <w:sz w:val="21"/>
          <w:szCs w:val="21"/>
        </w:rPr>
        <w:t>2026年10月12日</w:t>
      </w:r>
      <w:r>
        <w:rPr>
          <w:rFonts w:hint="eastAsia"/>
          <w:sz w:val="21"/>
          <w:szCs w:val="21"/>
        </w:rPr>
        <w:t>起至</w:t>
      </w:r>
      <w:r>
        <w:rPr>
          <w:sz w:val="21"/>
          <w:szCs w:val="21"/>
        </w:rPr>
        <w:t>2026年10月28日</w:t>
      </w:r>
      <w:bookmarkEnd w:id="21"/>
      <w:r>
        <w:rPr>
          <w:rFonts w:hint="eastAsia"/>
          <w:sz w:val="21"/>
          <w:szCs w:val="21"/>
        </w:rPr>
        <w:t xml:space="preserve">。 </w:t>
      </w:r>
    </w:p>
    <w:p w14:paraId="74CBB898">
      <w:pPr>
        <w:pStyle w:val="9"/>
        <w:spacing w:before="0" w:beforeAutospacing="0" w:after="0" w:afterAutospacing="0" w:line="360" w:lineRule="auto"/>
        <w:ind w:firstLine="420"/>
        <w:jc w:val="both"/>
        <w:rPr>
          <w:sz w:val="21"/>
          <w:szCs w:val="21"/>
          <w:highlight w:val="none"/>
        </w:rPr>
      </w:pPr>
      <w:r>
        <w:rPr>
          <w:sz w:val="21"/>
          <w:szCs w:val="21"/>
          <w:highlight w:val="none"/>
        </w:rPr>
        <w:t>5</w:t>
      </w:r>
      <w:r>
        <w:rPr>
          <w:rFonts w:hint="eastAsia"/>
          <w:sz w:val="21"/>
          <w:szCs w:val="21"/>
          <w:highlight w:val="none"/>
        </w:rPr>
        <w:t xml:space="preserve">、发售价格：1.00元人民币。 </w:t>
      </w:r>
    </w:p>
    <w:p w14:paraId="6EE8B995">
      <w:pPr>
        <w:pStyle w:val="9"/>
        <w:spacing w:before="0" w:beforeAutospacing="0" w:after="0" w:afterAutospacing="0" w:line="360" w:lineRule="auto"/>
        <w:ind w:firstLine="420"/>
        <w:jc w:val="both"/>
        <w:rPr>
          <w:sz w:val="21"/>
          <w:szCs w:val="21"/>
          <w:highlight w:val="none"/>
        </w:rPr>
      </w:pPr>
      <w:r>
        <w:rPr>
          <w:sz w:val="21"/>
          <w:szCs w:val="21"/>
          <w:highlight w:val="none"/>
        </w:rPr>
        <w:t>6</w:t>
      </w:r>
      <w:r>
        <w:rPr>
          <w:rFonts w:hint="eastAsia"/>
          <w:sz w:val="21"/>
          <w:szCs w:val="21"/>
          <w:highlight w:val="none"/>
        </w:rPr>
        <w:t>、发售期限：网下现金认购和网</w:t>
      </w:r>
      <w:r>
        <w:rPr>
          <w:rFonts w:hint="eastAsia"/>
          <w:sz w:val="21"/>
          <w:szCs w:val="21"/>
          <w:highlight w:val="none"/>
          <w:lang w:val="en-US" w:eastAsia="zh-CN"/>
        </w:rPr>
        <w:t>上现金</w:t>
      </w:r>
      <w:r>
        <w:rPr>
          <w:rFonts w:hint="eastAsia"/>
          <w:sz w:val="21"/>
          <w:szCs w:val="21"/>
          <w:highlight w:val="none"/>
        </w:rPr>
        <w:t>认购发售</w:t>
      </w:r>
      <w:r>
        <w:rPr>
          <w:rFonts w:hint="eastAsia"/>
          <w:sz w:val="21"/>
          <w:szCs w:val="21"/>
          <w:highlight w:val="none"/>
          <w:lang w:val="en-US" w:eastAsia="zh-CN"/>
        </w:rPr>
        <w:t>13</w:t>
      </w:r>
      <w:r>
        <w:rPr>
          <w:rFonts w:hint="eastAsia"/>
          <w:sz w:val="21"/>
          <w:szCs w:val="21"/>
          <w:highlight w:val="none"/>
        </w:rPr>
        <w:t xml:space="preserve">个工作日。 </w:t>
      </w:r>
    </w:p>
    <w:p w14:paraId="3EABE1E7">
      <w:pPr>
        <w:pStyle w:val="9"/>
        <w:spacing w:before="0" w:beforeAutospacing="0" w:after="0" w:afterAutospacing="0" w:line="360" w:lineRule="auto"/>
        <w:ind w:firstLine="420"/>
        <w:jc w:val="both"/>
        <w:rPr>
          <w:sz w:val="21"/>
          <w:szCs w:val="21"/>
          <w:highlight w:val="none"/>
        </w:rPr>
      </w:pPr>
      <w:r>
        <w:rPr>
          <w:sz w:val="21"/>
          <w:szCs w:val="21"/>
          <w:highlight w:val="none"/>
        </w:rPr>
        <w:t>7</w:t>
      </w:r>
      <w:r>
        <w:rPr>
          <w:rFonts w:hint="eastAsia"/>
          <w:sz w:val="21"/>
          <w:szCs w:val="21"/>
          <w:highlight w:val="none"/>
        </w:rPr>
        <w:t>、发售方式：投资者可选择网上现金认购、网下现金认购</w:t>
      </w:r>
      <w:r>
        <w:rPr>
          <w:rFonts w:hint="eastAsia"/>
          <w:sz w:val="21"/>
          <w:szCs w:val="21"/>
          <w:highlight w:val="none"/>
          <w:lang w:val="en-US" w:eastAsia="zh-CN"/>
        </w:rPr>
        <w:t>两</w:t>
      </w:r>
      <w:r>
        <w:rPr>
          <w:rFonts w:hint="eastAsia"/>
          <w:sz w:val="21"/>
          <w:szCs w:val="21"/>
          <w:highlight w:val="none"/>
        </w:rPr>
        <w:t>种方式。</w:t>
      </w:r>
    </w:p>
    <w:p w14:paraId="7905CBEF">
      <w:pPr>
        <w:pStyle w:val="9"/>
        <w:spacing w:before="0" w:beforeAutospacing="0" w:after="0" w:afterAutospacing="0" w:line="360" w:lineRule="auto"/>
        <w:ind w:firstLine="420"/>
        <w:jc w:val="both"/>
        <w:rPr>
          <w:sz w:val="21"/>
          <w:szCs w:val="21"/>
          <w:highlight w:val="none"/>
        </w:rPr>
      </w:pPr>
      <w:r>
        <w:rPr>
          <w:sz w:val="21"/>
          <w:szCs w:val="21"/>
          <w:highlight w:val="none"/>
        </w:rPr>
        <w:t>8</w:t>
      </w:r>
      <w:r>
        <w:rPr>
          <w:rFonts w:hint="eastAsia"/>
          <w:sz w:val="21"/>
          <w:szCs w:val="21"/>
          <w:highlight w:val="none"/>
        </w:rPr>
        <w:t>、发售机构</w:t>
      </w:r>
    </w:p>
    <w:p w14:paraId="2CA41E2B">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（1）网下现金发售直销机构 </w:t>
      </w:r>
    </w:p>
    <w:p w14:paraId="323A1165">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投资者可通过本基金管理人的直销机构办理本基金的网下现金认购。</w:t>
      </w:r>
    </w:p>
    <w:p w14:paraId="0C8777E6">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w:t>
      </w:r>
      <w:r>
        <w:rPr>
          <w:rFonts w:hint="eastAsia"/>
          <w:sz w:val="21"/>
          <w:szCs w:val="21"/>
          <w:highlight w:val="none"/>
          <w:lang w:val="en-US" w:eastAsia="zh-CN"/>
        </w:rPr>
        <w:t>2</w:t>
      </w:r>
      <w:r>
        <w:rPr>
          <w:rFonts w:hint="eastAsia"/>
          <w:sz w:val="21"/>
          <w:szCs w:val="21"/>
          <w:highlight w:val="none"/>
        </w:rPr>
        <w:t xml:space="preserve">）网上现金发售代理机构 </w:t>
      </w:r>
    </w:p>
    <w:p w14:paraId="51427E0D">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网上现金发售通过具有基金销售业务资格的上海证券交易所会员单位办理，具体名单可在上海证券交易所网站查询。 </w:t>
      </w:r>
    </w:p>
    <w:p w14:paraId="55B86C33">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（二）基金合同生效 </w:t>
      </w:r>
    </w:p>
    <w:p w14:paraId="07166D5F">
      <w:pPr>
        <w:pStyle w:val="9"/>
        <w:spacing w:before="0" w:beforeAutospacing="0" w:after="0" w:afterAutospacing="0" w:line="360" w:lineRule="auto"/>
        <w:ind w:firstLine="420"/>
        <w:jc w:val="both"/>
        <w:rPr>
          <w:rFonts w:hint="eastAsia"/>
          <w:sz w:val="21"/>
          <w:szCs w:val="21"/>
          <w:highlight w:val="none"/>
        </w:rPr>
      </w:pPr>
      <w:r>
        <w:rPr>
          <w:rFonts w:hint="eastAsia"/>
          <w:sz w:val="21"/>
          <w:szCs w:val="21"/>
          <w:highlight w:val="none"/>
        </w:rPr>
        <w:t>本基金自</w:t>
      </w:r>
      <w:r>
        <w:rPr>
          <w:rFonts w:hint="eastAsia"/>
          <w:sz w:val="21"/>
          <w:szCs w:val="21"/>
          <w:highlight w:val="none"/>
          <w:lang w:eastAsia="zh-CN"/>
        </w:rPr>
        <w:t>2026年10月12日</w:t>
      </w:r>
      <w:r>
        <w:rPr>
          <w:rFonts w:hint="eastAsia"/>
          <w:sz w:val="21"/>
          <w:szCs w:val="21"/>
          <w:highlight w:val="none"/>
        </w:rPr>
        <w:t>起向社会公开募集，截至</w:t>
      </w:r>
      <w:r>
        <w:rPr>
          <w:rFonts w:hint="eastAsia"/>
          <w:sz w:val="21"/>
          <w:szCs w:val="21"/>
          <w:highlight w:val="none"/>
          <w:lang w:eastAsia="zh-CN"/>
        </w:rPr>
        <w:t>2026年10月28日</w:t>
      </w:r>
      <w:r>
        <w:rPr>
          <w:rFonts w:hint="eastAsia"/>
          <w:sz w:val="21"/>
          <w:szCs w:val="21"/>
          <w:highlight w:val="none"/>
        </w:rPr>
        <w:t>募集工作已顺利结束。经安永华明会计师事务所（特殊普通合伙）验资，首次募集期间现金认购的有效认购资金扣除认购费用后的净认购金额为人民币211,594,000.00元；有效认购资金在首次募集期间产生的利息为人民币17,008.06元，其中人民币16,272.00元折成16,272.00份基金份额，剩余人民币736.06元归入基金财产。上述净认购金额及网上现金认购的利息人民币211,609,808.06元已于</w:t>
      </w:r>
      <w:r>
        <w:rPr>
          <w:rFonts w:hint="eastAsia"/>
          <w:sz w:val="21"/>
          <w:szCs w:val="21"/>
          <w:highlight w:val="none"/>
          <w:lang w:eastAsia="zh-CN"/>
        </w:rPr>
        <w:t>2026年11月2日</w:t>
      </w:r>
      <w:r>
        <w:rPr>
          <w:rFonts w:hint="eastAsia"/>
          <w:sz w:val="21"/>
          <w:szCs w:val="21"/>
          <w:highlight w:val="none"/>
        </w:rPr>
        <w:t>全部划至本基金托管账户</w:t>
      </w:r>
      <w:r>
        <w:rPr>
          <w:rFonts w:hint="eastAsia"/>
          <w:sz w:val="21"/>
          <w:szCs w:val="21"/>
          <w:highlight w:val="none"/>
          <w:lang w:val="en-US" w:eastAsia="zh-CN"/>
        </w:rPr>
        <w:t>,</w:t>
      </w:r>
      <w:r>
        <w:rPr>
          <w:rFonts w:hint="eastAsia"/>
          <w:sz w:val="21"/>
          <w:szCs w:val="21"/>
          <w:highlight w:val="none"/>
        </w:rPr>
        <w:t>网下现金认购款项的利息人民币1,200.00元</w:t>
      </w:r>
      <w:r>
        <w:rPr>
          <w:rFonts w:hint="eastAsia"/>
          <w:sz w:val="21"/>
          <w:szCs w:val="21"/>
          <w:highlight w:val="none"/>
          <w:lang w:val="en-US" w:eastAsia="zh-CN"/>
        </w:rPr>
        <w:t>将于下一银行结息日次一工作日（2026年12月21日）划入基金托管账户</w:t>
      </w:r>
      <w:r>
        <w:rPr>
          <w:rFonts w:hint="eastAsia"/>
          <w:sz w:val="21"/>
          <w:szCs w:val="21"/>
          <w:highlight w:val="none"/>
        </w:rPr>
        <w:t>。</w:t>
      </w:r>
    </w:p>
    <w:p w14:paraId="624C12C7">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本基金于</w:t>
      </w:r>
      <w:r>
        <w:rPr>
          <w:rFonts w:hint="eastAsia"/>
          <w:sz w:val="21"/>
          <w:szCs w:val="21"/>
          <w:highlight w:val="none"/>
          <w:lang w:eastAsia="zh-CN"/>
        </w:rPr>
        <w:t>2026年</w:t>
      </w:r>
      <w:r>
        <w:rPr>
          <w:rFonts w:hint="eastAsia"/>
          <w:sz w:val="21"/>
          <w:szCs w:val="21"/>
          <w:highlight w:val="none"/>
          <w:lang w:val="en-US" w:eastAsia="zh-CN"/>
        </w:rPr>
        <w:t>11</w:t>
      </w:r>
      <w:r>
        <w:rPr>
          <w:rFonts w:hint="eastAsia"/>
          <w:sz w:val="21"/>
          <w:szCs w:val="21"/>
          <w:highlight w:val="none"/>
          <w:lang w:eastAsia="zh-CN"/>
        </w:rPr>
        <w:t>月</w:t>
      </w:r>
      <w:r>
        <w:rPr>
          <w:rFonts w:hint="eastAsia"/>
          <w:sz w:val="21"/>
          <w:szCs w:val="21"/>
          <w:highlight w:val="none"/>
          <w:lang w:val="en-US" w:eastAsia="zh-CN"/>
        </w:rPr>
        <w:t>2</w:t>
      </w:r>
      <w:r>
        <w:rPr>
          <w:rFonts w:hint="eastAsia"/>
          <w:sz w:val="21"/>
          <w:szCs w:val="21"/>
          <w:highlight w:val="none"/>
          <w:lang w:eastAsia="zh-CN"/>
        </w:rPr>
        <w:t>日</w:t>
      </w:r>
      <w:r>
        <w:rPr>
          <w:rFonts w:hint="eastAsia"/>
          <w:sz w:val="21"/>
          <w:szCs w:val="21"/>
          <w:highlight w:val="none"/>
        </w:rPr>
        <w:t>得到中国证监会书面确认，基金备案手续办理完毕。根据《中华人民共和国证券投资基金法》及其配套法规和《</w:t>
      </w:r>
      <w:r>
        <w:rPr>
          <w:rFonts w:hint="eastAsia"/>
          <w:sz w:val="21"/>
          <w:szCs w:val="21"/>
          <w:highlight w:val="none"/>
          <w:lang w:eastAsia="zh-CN"/>
        </w:rPr>
        <w:t>博时中证稀有金属主题交易型开放式指数证券投资基金</w:t>
      </w:r>
      <w:r>
        <w:rPr>
          <w:rFonts w:hint="eastAsia"/>
          <w:sz w:val="21"/>
          <w:szCs w:val="21"/>
          <w:highlight w:val="none"/>
        </w:rPr>
        <w:t>基金合同》的有关规定，本基金的募集情况已符合基金合同生效的条件，基金合同于</w:t>
      </w:r>
      <w:r>
        <w:rPr>
          <w:rFonts w:hint="eastAsia"/>
          <w:sz w:val="21"/>
          <w:szCs w:val="21"/>
          <w:highlight w:val="none"/>
          <w:lang w:eastAsia="zh-CN"/>
        </w:rPr>
        <w:t>2026年11月2日</w:t>
      </w:r>
      <w:r>
        <w:rPr>
          <w:rFonts w:hint="eastAsia"/>
          <w:sz w:val="21"/>
          <w:szCs w:val="21"/>
          <w:highlight w:val="none"/>
        </w:rPr>
        <w:t>正式生效。</w:t>
      </w:r>
    </w:p>
    <w:p w14:paraId="605B532D">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（三）基金上市交易 </w:t>
      </w:r>
    </w:p>
    <w:p w14:paraId="3C45B366">
      <w:pPr>
        <w:pStyle w:val="9"/>
        <w:spacing w:before="0" w:beforeAutospacing="0" w:after="0" w:afterAutospacing="0" w:line="360" w:lineRule="auto"/>
        <w:ind w:firstLine="420"/>
        <w:jc w:val="both"/>
        <w:rPr>
          <w:rFonts w:hint="eastAsia"/>
          <w:sz w:val="21"/>
          <w:szCs w:val="21"/>
          <w:highlight w:val="none"/>
        </w:rPr>
      </w:pPr>
      <w:r>
        <w:rPr>
          <w:rFonts w:hint="eastAsia"/>
          <w:sz w:val="21"/>
          <w:szCs w:val="21"/>
          <w:highlight w:val="none"/>
        </w:rPr>
        <w:t>1、基金上市交易的核准机构和核准文号：上海证券交易所</w:t>
      </w:r>
      <w:r>
        <w:rPr>
          <w:rFonts w:hint="eastAsia"/>
          <w:sz w:val="21"/>
          <w:szCs w:val="21"/>
          <w:highlight w:val="none"/>
          <w:lang w:val="en-US" w:eastAsia="zh-CN"/>
        </w:rPr>
        <w:t>上证函</w:t>
      </w:r>
      <w:r>
        <w:rPr>
          <w:rFonts w:hint="eastAsia"/>
          <w:sz w:val="21"/>
          <w:szCs w:val="21"/>
          <w:highlight w:val="none"/>
        </w:rPr>
        <w:t>[20</w:t>
      </w:r>
      <w:r>
        <w:rPr>
          <w:rFonts w:hint="eastAsia"/>
          <w:sz w:val="21"/>
          <w:szCs w:val="21"/>
          <w:highlight w:val="none"/>
          <w:lang w:val="en-US" w:eastAsia="zh-CN"/>
        </w:rPr>
        <w:t>26</w:t>
      </w:r>
      <w:r>
        <w:rPr>
          <w:rFonts w:hint="eastAsia"/>
          <w:sz w:val="21"/>
          <w:szCs w:val="21"/>
          <w:highlight w:val="none"/>
        </w:rPr>
        <w:t>]</w:t>
      </w:r>
      <w:r>
        <w:rPr>
          <w:rFonts w:hint="eastAsia"/>
          <w:sz w:val="21"/>
          <w:szCs w:val="21"/>
          <w:highlight w:val="none"/>
          <w:lang w:val="en-US" w:eastAsia="zh-CN"/>
        </w:rPr>
        <w:t>3585号</w:t>
      </w:r>
    </w:p>
    <w:p w14:paraId="2DA0E000">
      <w:pPr>
        <w:pStyle w:val="9"/>
        <w:spacing w:before="0" w:beforeAutospacing="0" w:after="0" w:afterAutospacing="0" w:line="360" w:lineRule="auto"/>
        <w:ind w:firstLine="420"/>
        <w:jc w:val="both"/>
        <w:rPr>
          <w:rFonts w:hint="eastAsia" w:eastAsia="宋体"/>
          <w:sz w:val="21"/>
          <w:szCs w:val="21"/>
          <w:highlight w:val="none"/>
          <w:lang w:eastAsia="zh-CN"/>
        </w:rPr>
      </w:pPr>
      <w:r>
        <w:rPr>
          <w:rFonts w:hint="eastAsia"/>
          <w:sz w:val="21"/>
          <w:szCs w:val="21"/>
          <w:highlight w:val="none"/>
        </w:rPr>
        <w:t>2、上市交易日期：</w:t>
      </w:r>
      <w:r>
        <w:rPr>
          <w:rFonts w:hint="eastAsia"/>
          <w:sz w:val="21"/>
          <w:szCs w:val="21"/>
          <w:highlight w:val="none"/>
          <w:lang w:eastAsia="zh-CN"/>
        </w:rPr>
        <w:t>2026年11月11日</w:t>
      </w:r>
    </w:p>
    <w:p w14:paraId="163E9CF3">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3、上市交易的证券交易所：</w:t>
      </w:r>
      <w:bookmarkStart w:id="22" w:name="field_0_listedlandname_2"/>
      <w:r>
        <w:rPr>
          <w:rFonts w:hint="eastAsia"/>
          <w:sz w:val="21"/>
          <w:szCs w:val="21"/>
          <w:highlight w:val="none"/>
        </w:rPr>
        <w:t>上海证券交易所</w:t>
      </w:r>
      <w:bookmarkEnd w:id="22"/>
      <w:r>
        <w:rPr>
          <w:rFonts w:hint="eastAsia"/>
          <w:sz w:val="21"/>
          <w:szCs w:val="21"/>
          <w:highlight w:val="none"/>
        </w:rPr>
        <w:t xml:space="preserve"> </w:t>
      </w:r>
    </w:p>
    <w:p w14:paraId="313C1415">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4、基金二级市场交易简称 </w:t>
      </w:r>
    </w:p>
    <w:p w14:paraId="3CCCD75C">
      <w:pPr>
        <w:pStyle w:val="9"/>
        <w:spacing w:before="0" w:beforeAutospacing="0" w:after="0" w:afterAutospacing="0" w:line="360" w:lineRule="auto"/>
        <w:ind w:firstLine="420"/>
        <w:rPr>
          <w:sz w:val="21"/>
          <w:szCs w:val="21"/>
        </w:rPr>
      </w:pPr>
      <w:r>
        <w:rPr>
          <w:rFonts w:hint="eastAsia"/>
          <w:sz w:val="21"/>
          <w:szCs w:val="21"/>
        </w:rPr>
        <w:t>证券简称：</w:t>
      </w:r>
      <w:r>
        <w:rPr>
          <w:rFonts w:hint="eastAsia"/>
          <w:sz w:val="21"/>
          <w:szCs w:val="21"/>
          <w:lang w:eastAsia="zh-CN"/>
        </w:rPr>
        <w:t>金属博时</w:t>
      </w:r>
      <w:r>
        <w:rPr>
          <w:rFonts w:hint="eastAsia"/>
          <w:sz w:val="21"/>
          <w:szCs w:val="21"/>
        </w:rPr>
        <w:t>，扩位证券简称：</w:t>
      </w:r>
      <w:r>
        <w:rPr>
          <w:rFonts w:hint="eastAsia"/>
          <w:sz w:val="21"/>
          <w:szCs w:val="21"/>
          <w:lang w:eastAsia="zh-CN"/>
        </w:rPr>
        <w:t>稀有金属ETF博时</w:t>
      </w:r>
      <w:r>
        <w:rPr>
          <w:rFonts w:hint="eastAsia"/>
          <w:sz w:val="21"/>
          <w:szCs w:val="21"/>
        </w:rPr>
        <w:t xml:space="preserve">  </w:t>
      </w:r>
    </w:p>
    <w:p w14:paraId="6D9F7D40">
      <w:pPr>
        <w:pStyle w:val="9"/>
        <w:spacing w:before="0" w:beforeAutospacing="0" w:after="0" w:afterAutospacing="0" w:line="360" w:lineRule="auto"/>
        <w:ind w:firstLine="420"/>
        <w:jc w:val="both"/>
        <w:rPr>
          <w:rFonts w:hint="eastAsia" w:eastAsia="宋体"/>
          <w:sz w:val="21"/>
          <w:szCs w:val="21"/>
          <w:highlight w:val="none"/>
          <w:lang w:eastAsia="zh-CN"/>
        </w:rPr>
      </w:pPr>
      <w:r>
        <w:rPr>
          <w:rFonts w:hint="eastAsia"/>
          <w:sz w:val="21"/>
          <w:szCs w:val="21"/>
          <w:highlight w:val="none"/>
        </w:rPr>
        <w:t>5、基金二级市场交易代码：</w:t>
      </w:r>
      <w:r>
        <w:rPr>
          <w:rFonts w:hint="eastAsia"/>
          <w:sz w:val="21"/>
          <w:szCs w:val="21"/>
          <w:lang w:eastAsia="zh-CN"/>
        </w:rPr>
        <w:t>561970</w:t>
      </w:r>
      <w:r>
        <w:rPr>
          <w:rFonts w:hint="eastAsia"/>
          <w:sz w:val="21"/>
          <w:szCs w:val="21"/>
        </w:rPr>
        <w:t xml:space="preserve">  </w:t>
      </w:r>
    </w:p>
    <w:p w14:paraId="0E2EF8B8">
      <w:pPr>
        <w:pStyle w:val="9"/>
        <w:spacing w:before="0" w:beforeAutospacing="0" w:after="0" w:afterAutospacing="0" w:line="360" w:lineRule="auto"/>
        <w:ind w:firstLine="420"/>
        <w:rPr>
          <w:sz w:val="21"/>
          <w:szCs w:val="21"/>
          <w:highlight w:val="none"/>
        </w:rPr>
      </w:pPr>
      <w:r>
        <w:rPr>
          <w:rFonts w:hint="eastAsia"/>
          <w:sz w:val="21"/>
          <w:szCs w:val="21"/>
          <w:highlight w:val="none"/>
        </w:rPr>
        <w:t>投资者在上海证券交易所各会员单位证券营业部均可参与基金二级市场交易。</w:t>
      </w:r>
    </w:p>
    <w:p w14:paraId="35103F0A">
      <w:pPr>
        <w:pStyle w:val="9"/>
        <w:spacing w:before="0" w:beforeAutospacing="0" w:after="0" w:afterAutospacing="0" w:line="360" w:lineRule="auto"/>
        <w:ind w:firstLine="420"/>
        <w:rPr>
          <w:sz w:val="21"/>
          <w:szCs w:val="21"/>
          <w:highlight w:val="none"/>
        </w:rPr>
      </w:pPr>
      <w:r>
        <w:rPr>
          <w:sz w:val="21"/>
          <w:szCs w:val="21"/>
          <w:highlight w:val="none"/>
        </w:rPr>
        <w:t>6</w:t>
      </w:r>
      <w:r>
        <w:rPr>
          <w:rFonts w:hint="eastAsia"/>
          <w:sz w:val="21"/>
          <w:szCs w:val="21"/>
          <w:highlight w:val="none"/>
        </w:rPr>
        <w:t>、本基金管理人自</w:t>
      </w:r>
      <w:r>
        <w:rPr>
          <w:rFonts w:hint="eastAsia"/>
          <w:sz w:val="21"/>
          <w:szCs w:val="21"/>
          <w:highlight w:val="none"/>
          <w:lang w:eastAsia="zh-CN"/>
        </w:rPr>
        <w:t>2026年11月11日</w:t>
      </w:r>
      <w:r>
        <w:rPr>
          <w:rFonts w:hint="eastAsia"/>
          <w:sz w:val="21"/>
          <w:szCs w:val="21"/>
          <w:highlight w:val="none"/>
        </w:rPr>
        <w:t>开始办理本基金的申购和赎回业务。投资者应当在本基金指定的申购赎回代理券商办理基金申购、赎回业务的营业场所或按申购赎回代理券商提供的其他方式办理本基金的申购和赎回。</w:t>
      </w:r>
    </w:p>
    <w:p w14:paraId="1AC60250">
      <w:pPr>
        <w:pStyle w:val="9"/>
        <w:spacing w:before="0" w:beforeAutospacing="0" w:after="0" w:afterAutospacing="0" w:line="360" w:lineRule="auto"/>
        <w:ind w:firstLine="420"/>
        <w:rPr>
          <w:highlight w:val="none"/>
        </w:rPr>
      </w:pPr>
      <w:r>
        <w:rPr>
          <w:rFonts w:hint="eastAsia"/>
          <w:sz w:val="21"/>
          <w:szCs w:val="21"/>
          <w:highlight w:val="none"/>
        </w:rPr>
        <w:t>目前本基金的申购赎回代理券商包括：</w:t>
      </w:r>
    </w:p>
    <w:p w14:paraId="4943F974">
      <w:pPr>
        <w:pStyle w:val="9"/>
        <w:spacing w:before="0" w:beforeAutospacing="0" w:after="0" w:afterAutospacing="0" w:line="360" w:lineRule="auto"/>
        <w:ind w:firstLine="420"/>
        <w:jc w:val="both"/>
        <w:rPr>
          <w:rFonts w:hint="eastAsia"/>
          <w:sz w:val="21"/>
          <w:szCs w:val="21"/>
          <w:highlight w:val="none"/>
        </w:rPr>
      </w:pPr>
      <w:r>
        <w:rPr>
          <w:rFonts w:hint="eastAsia"/>
          <w:sz w:val="21"/>
          <w:szCs w:val="21"/>
          <w:highlight w:val="none"/>
        </w:rPr>
        <w:t>长城证券股份有限公司、财达证券股份有限公司、财通证券股份有限公司、德邦证券股份有限公司、东北证券股份有限公司、东方财富证券股份有限公司、东莞证券股份有限公司、东海证券股份有限公司、东吴证券股份有限公司、东兴证券股份有限公司、方正证券股份有限公司、广发证券股份有限公司、国海证券股份有限公司、国金证券股份有限公司、国盛证券股份有限公司、国泰海通证券股份有限公司、国投证券股份有限公司、国新证券股份有限公司、国信证券股份有限公司、华宝证券股份有限公司、华创证券有限责任公司、华福证券股份有限公司、华泰证券股份有限公司、华西证券股份有限公司、华鑫证券有限责任公司、江海证券有限公司、联储证券股份有限公司、瑞银证券有限责任公司、山西证券股份有限公司、申万宏源西部证券有限公司、申万宏源证券有限公司、世纪证券有限责任公司、万和证券股份有限公司、西部证券股份有限公司、西南证券股份有限公司、湘财证券股份有限公司、兴业证券股份有限公司、招商证券股份有限公司、浙商证券股份有限公司、中国国际金融股份有限公司、中国银河证券股份有限公司、中国中金财富证券有限公司、中泰证券股份有限公司、中信建投证券股份有限公司、中信证券（山东）有限责任公司、中信证券股份有限公司、中信证券华南股份有限公司。</w:t>
      </w:r>
    </w:p>
    <w:p w14:paraId="18FDF3BA">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本公司可适时增加或调整申购赎回代理券商，并在基金管理人网站公示。</w:t>
      </w:r>
    </w:p>
    <w:p w14:paraId="17D85D8C">
      <w:pPr>
        <w:pStyle w:val="9"/>
        <w:spacing w:before="0" w:beforeAutospacing="0" w:after="0" w:afterAutospacing="0" w:line="360" w:lineRule="auto"/>
        <w:ind w:firstLine="420"/>
        <w:jc w:val="both"/>
        <w:rPr>
          <w:sz w:val="21"/>
          <w:szCs w:val="21"/>
          <w:highlight w:val="none"/>
        </w:rPr>
      </w:pPr>
      <w:r>
        <w:rPr>
          <w:sz w:val="21"/>
          <w:szCs w:val="21"/>
          <w:highlight w:val="none"/>
        </w:rPr>
        <w:t>7</w:t>
      </w:r>
      <w:r>
        <w:rPr>
          <w:rFonts w:hint="eastAsia"/>
          <w:sz w:val="21"/>
          <w:szCs w:val="21"/>
          <w:highlight w:val="none"/>
        </w:rPr>
        <w:t>、本次上市交易的基金份额总额：</w:t>
      </w:r>
      <w:r>
        <w:rPr>
          <w:rFonts w:hint="eastAsia"/>
          <w:sz w:val="21"/>
          <w:szCs w:val="21"/>
          <w:highlight w:val="none"/>
          <w:lang w:eastAsia="zh-CN"/>
        </w:rPr>
        <w:t>211,610,272.00</w:t>
      </w:r>
      <w:r>
        <w:rPr>
          <w:rFonts w:hint="eastAsia"/>
          <w:sz w:val="21"/>
          <w:szCs w:val="21"/>
          <w:highlight w:val="none"/>
        </w:rPr>
        <w:t>（截至</w:t>
      </w:r>
      <w:r>
        <w:rPr>
          <w:rFonts w:hint="eastAsia"/>
          <w:sz w:val="21"/>
          <w:szCs w:val="21"/>
          <w:highlight w:val="none"/>
          <w:lang w:eastAsia="zh-CN"/>
        </w:rPr>
        <w:t>2026年11月4日</w:t>
      </w:r>
      <w:r>
        <w:rPr>
          <w:rFonts w:hint="eastAsia"/>
          <w:sz w:val="21"/>
          <w:szCs w:val="21"/>
          <w:highlight w:val="none"/>
        </w:rPr>
        <w:t xml:space="preserve">）。 </w:t>
      </w:r>
    </w:p>
    <w:p w14:paraId="5ABA7936">
      <w:pPr>
        <w:pStyle w:val="9"/>
        <w:spacing w:before="0" w:beforeAutospacing="0" w:after="0" w:afterAutospacing="0" w:line="360" w:lineRule="auto"/>
        <w:ind w:firstLine="420"/>
        <w:jc w:val="both"/>
        <w:rPr>
          <w:sz w:val="21"/>
          <w:szCs w:val="21"/>
          <w:highlight w:val="none"/>
        </w:rPr>
      </w:pPr>
      <w:r>
        <w:rPr>
          <w:sz w:val="21"/>
          <w:szCs w:val="21"/>
          <w:highlight w:val="none"/>
        </w:rPr>
        <w:t>8</w:t>
      </w:r>
      <w:r>
        <w:rPr>
          <w:rFonts w:hint="eastAsia"/>
          <w:sz w:val="21"/>
          <w:szCs w:val="21"/>
          <w:highlight w:val="none"/>
        </w:rPr>
        <w:t>、未上市交易份额的流通规定：本基金上市交易后，所有的基金份额均可进行交易，不存在未上市交易的基金份额。</w:t>
      </w:r>
    </w:p>
    <w:p w14:paraId="344ADBD3">
      <w:pPr>
        <w:pStyle w:val="9"/>
        <w:spacing w:before="0" w:beforeAutospacing="0" w:after="0" w:afterAutospacing="0" w:line="360" w:lineRule="auto"/>
        <w:ind w:firstLine="420"/>
        <w:jc w:val="both"/>
        <w:rPr>
          <w:sz w:val="21"/>
          <w:szCs w:val="21"/>
          <w:highlight w:val="none"/>
        </w:rPr>
        <w:sectPr>
          <w:pgSz w:w="11906" w:h="16838"/>
          <w:pgMar w:top="1440" w:right="1803" w:bottom="1440" w:left="1803" w:header="851" w:footer="992" w:gutter="0"/>
          <w:pgNumType w:fmt="decimal"/>
          <w:cols w:space="425" w:num="1"/>
          <w:docGrid w:type="lines" w:linePitch="312" w:charSpace="0"/>
        </w:sectPr>
      </w:pPr>
      <w:r>
        <w:rPr>
          <w:sz w:val="21"/>
          <w:szCs w:val="21"/>
          <w:highlight w:val="none"/>
        </w:rPr>
        <w:t>9</w:t>
      </w:r>
      <w:r>
        <w:rPr>
          <w:rFonts w:hint="eastAsia"/>
          <w:sz w:val="21"/>
          <w:szCs w:val="21"/>
          <w:highlight w:val="none"/>
        </w:rPr>
        <w:t>、基金资产净值的披露：在本基金上市交易并开始办理基金份额申购赎回后，基金管理人应当在每个开放日的次日，通过网站、基金份额发售网点以及其他媒介，披露开放日的</w:t>
      </w:r>
      <w:bookmarkStart w:id="23" w:name="chapter_level1_3_56145_section_1_end"/>
      <w:bookmarkEnd w:id="23"/>
      <w:r>
        <w:rPr>
          <w:rFonts w:hint="eastAsia"/>
          <w:sz w:val="21"/>
          <w:szCs w:val="21"/>
          <w:highlight w:val="none"/>
        </w:rPr>
        <w:t xml:space="preserve">基金份额净值和基金份额累计净值，并在上海证券交易所行情发布系统揭示基金份额净值。 </w:t>
      </w:r>
    </w:p>
    <w:p w14:paraId="5B951949">
      <w:pPr>
        <w:pStyle w:val="2"/>
        <w:jc w:val="center"/>
        <w:rPr>
          <w:rFonts w:ascii="宋体" w:hAnsi="宋体" w:eastAsia="宋体"/>
          <w:sz w:val="30"/>
          <w:highlight w:val="none"/>
        </w:rPr>
      </w:pPr>
      <w:bookmarkStart w:id="24" w:name="_Toc20520"/>
      <w:bookmarkStart w:id="25" w:name="chapter_level1_4_56146"/>
      <w:r>
        <w:rPr>
          <w:rFonts w:hint="eastAsia" w:ascii="宋体" w:hAnsi="宋体" w:eastAsia="宋体"/>
          <w:sz w:val="30"/>
          <w:highlight w:val="none"/>
        </w:rPr>
        <w:t>四、持有人户数、持有人结构及前十名持有人</w:t>
      </w:r>
      <w:bookmarkEnd w:id="24"/>
      <w:bookmarkEnd w:id="25"/>
    </w:p>
    <w:p w14:paraId="1E89DC48">
      <w:pPr>
        <w:pStyle w:val="9"/>
        <w:spacing w:before="0" w:beforeAutospacing="0" w:after="0" w:afterAutospacing="0" w:line="360" w:lineRule="auto"/>
        <w:ind w:firstLine="420"/>
        <w:rPr>
          <w:sz w:val="21"/>
          <w:szCs w:val="21"/>
          <w:highlight w:val="none"/>
        </w:rPr>
      </w:pPr>
      <w:bookmarkStart w:id="26" w:name="chapter_level1_4_56146_section_1"/>
      <w:bookmarkEnd w:id="26"/>
      <w:bookmarkStart w:id="27" w:name="chapter_level1_5_56147"/>
      <w:bookmarkStart w:id="28" w:name="_Toc32626"/>
      <w:r>
        <w:rPr>
          <w:rFonts w:hint="eastAsia"/>
          <w:sz w:val="21"/>
          <w:szCs w:val="21"/>
          <w:highlight w:val="none"/>
        </w:rPr>
        <w:t xml:space="preserve">（一）持有人户数 </w:t>
      </w:r>
    </w:p>
    <w:p w14:paraId="533F7E8D">
      <w:pPr>
        <w:pStyle w:val="9"/>
        <w:spacing w:before="0" w:beforeAutospacing="0" w:after="0" w:afterAutospacing="0" w:line="360" w:lineRule="auto"/>
        <w:ind w:firstLine="420"/>
        <w:rPr>
          <w:sz w:val="21"/>
          <w:szCs w:val="21"/>
          <w:highlight w:val="none"/>
        </w:rPr>
      </w:pPr>
      <w:r>
        <w:rPr>
          <w:rFonts w:hint="eastAsia"/>
          <w:sz w:val="21"/>
          <w:szCs w:val="21"/>
          <w:highlight w:val="none"/>
        </w:rPr>
        <w:t>截至公告日前两个工作日即</w:t>
      </w:r>
      <w:r>
        <w:rPr>
          <w:rFonts w:hint="eastAsia"/>
          <w:sz w:val="21"/>
          <w:szCs w:val="21"/>
          <w:highlight w:val="none"/>
          <w:lang w:eastAsia="zh-CN"/>
        </w:rPr>
        <w:t>2026年11月4日</w:t>
      </w:r>
      <w:r>
        <w:rPr>
          <w:rFonts w:hint="eastAsia"/>
          <w:sz w:val="21"/>
          <w:szCs w:val="21"/>
          <w:highlight w:val="none"/>
        </w:rPr>
        <w:t>，本基金份额持有人户数为1,624户，平均每户持有的基金份额为130,301.89份。</w:t>
      </w:r>
    </w:p>
    <w:p w14:paraId="37B47F32">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（二）持有人结构 </w:t>
      </w:r>
    </w:p>
    <w:p w14:paraId="7C908B21">
      <w:pPr>
        <w:pStyle w:val="9"/>
        <w:spacing w:before="0" w:beforeAutospacing="0" w:after="0" w:afterAutospacing="0" w:line="360" w:lineRule="auto"/>
        <w:ind w:firstLine="420"/>
        <w:rPr>
          <w:sz w:val="21"/>
          <w:szCs w:val="21"/>
          <w:highlight w:val="none"/>
        </w:rPr>
      </w:pPr>
      <w:r>
        <w:rPr>
          <w:rFonts w:hint="eastAsia"/>
          <w:sz w:val="21"/>
          <w:szCs w:val="21"/>
          <w:highlight w:val="none"/>
        </w:rPr>
        <w:t>截至公告日前两个工作日即</w:t>
      </w:r>
      <w:r>
        <w:rPr>
          <w:rFonts w:hint="eastAsia"/>
          <w:sz w:val="21"/>
          <w:szCs w:val="21"/>
          <w:highlight w:val="none"/>
          <w:lang w:eastAsia="zh-CN"/>
        </w:rPr>
        <w:t>2026年11月4日</w:t>
      </w:r>
      <w:r>
        <w:rPr>
          <w:rFonts w:hint="eastAsia"/>
          <w:sz w:val="21"/>
          <w:szCs w:val="21"/>
          <w:highlight w:val="none"/>
        </w:rPr>
        <w:t xml:space="preserve">，本基金份额持有人结构如下： </w:t>
      </w:r>
    </w:p>
    <w:p w14:paraId="1AB966B9">
      <w:pPr>
        <w:pStyle w:val="9"/>
        <w:spacing w:before="0" w:beforeAutospacing="0" w:after="0" w:afterAutospacing="0" w:line="360" w:lineRule="auto"/>
        <w:ind w:firstLine="420"/>
        <w:rPr>
          <w:sz w:val="21"/>
          <w:szCs w:val="21"/>
          <w:highlight w:val="none"/>
        </w:rPr>
      </w:pPr>
      <w:r>
        <w:rPr>
          <w:rFonts w:hint="eastAsia"/>
          <w:sz w:val="21"/>
          <w:szCs w:val="21"/>
          <w:highlight w:val="none"/>
        </w:rPr>
        <w:t>机构投资者持有的基金份额为76,539,357.00份，占基金总份额的36.17%；个人投资者持有的基金份额为135,070,915.00份，占基金总份额的63.83%。</w:t>
      </w:r>
    </w:p>
    <w:p w14:paraId="54DB3EB1">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（三）前十名基金份额持有人的情况： </w:t>
      </w:r>
    </w:p>
    <w:p w14:paraId="6FE38195">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截至公告日前两个工作日即</w:t>
      </w:r>
      <w:r>
        <w:rPr>
          <w:rFonts w:hint="eastAsia"/>
          <w:sz w:val="21"/>
          <w:szCs w:val="21"/>
          <w:highlight w:val="none"/>
          <w:lang w:eastAsia="zh-CN"/>
        </w:rPr>
        <w:t>2026年11月4日</w:t>
      </w:r>
      <w:r>
        <w:rPr>
          <w:rFonts w:hint="eastAsia"/>
          <w:sz w:val="21"/>
          <w:szCs w:val="21"/>
          <w:highlight w:val="none"/>
        </w:rPr>
        <w:t xml:space="preserve">，前十名基金份额持有人的情况如下表。 </w:t>
      </w:r>
    </w:p>
    <w:tbl>
      <w:tblPr>
        <w:tblStyle w:val="11"/>
        <w:tblW w:w="8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61"/>
        <w:gridCol w:w="2805"/>
        <w:gridCol w:w="2115"/>
        <w:gridCol w:w="2507"/>
      </w:tblGrid>
      <w:tr w14:paraId="4CE62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61" w:type="dxa"/>
            <w:vAlign w:val="center"/>
          </w:tcPr>
          <w:p w14:paraId="2348D009">
            <w:pPr>
              <w:pStyle w:val="9"/>
              <w:spacing w:before="0" w:beforeAutospacing="0" w:after="0" w:afterAutospacing="0" w:line="360" w:lineRule="auto"/>
              <w:ind w:firstLine="0"/>
              <w:rPr>
                <w:rFonts w:hint="eastAsia"/>
                <w:sz w:val="21"/>
                <w:szCs w:val="21"/>
                <w:highlight w:val="none"/>
              </w:rPr>
            </w:pPr>
            <w:r>
              <w:rPr>
                <w:rFonts w:hint="eastAsia"/>
                <w:sz w:val="21"/>
                <w:szCs w:val="21"/>
                <w:highlight w:val="none"/>
              </w:rPr>
              <w:t>序号</w:t>
            </w:r>
          </w:p>
        </w:tc>
        <w:tc>
          <w:tcPr>
            <w:tcW w:w="2805" w:type="dxa"/>
            <w:vAlign w:val="center"/>
          </w:tcPr>
          <w:p w14:paraId="1112E13F">
            <w:pPr>
              <w:pStyle w:val="9"/>
              <w:spacing w:before="0" w:beforeAutospacing="0" w:after="0" w:afterAutospacing="0" w:line="360" w:lineRule="auto"/>
              <w:ind w:firstLine="420"/>
              <w:jc w:val="center"/>
              <w:rPr>
                <w:rFonts w:hint="eastAsia"/>
                <w:sz w:val="21"/>
                <w:szCs w:val="21"/>
                <w:highlight w:val="none"/>
              </w:rPr>
            </w:pPr>
            <w:r>
              <w:rPr>
                <w:rFonts w:hint="eastAsia"/>
                <w:sz w:val="21"/>
                <w:szCs w:val="21"/>
                <w:highlight w:val="none"/>
              </w:rPr>
              <w:t>持有人名称（全称）</w:t>
            </w:r>
          </w:p>
        </w:tc>
        <w:tc>
          <w:tcPr>
            <w:tcW w:w="2115" w:type="dxa"/>
            <w:vAlign w:val="center"/>
          </w:tcPr>
          <w:p w14:paraId="6FDCE5BD">
            <w:pPr>
              <w:pStyle w:val="9"/>
              <w:spacing w:before="0" w:beforeAutospacing="0" w:after="0" w:afterAutospacing="0" w:line="360" w:lineRule="auto"/>
              <w:ind w:firstLine="0"/>
              <w:jc w:val="center"/>
              <w:rPr>
                <w:rFonts w:hint="eastAsia"/>
                <w:sz w:val="21"/>
                <w:szCs w:val="21"/>
                <w:highlight w:val="none"/>
              </w:rPr>
            </w:pPr>
            <w:r>
              <w:rPr>
                <w:rFonts w:hint="eastAsia"/>
                <w:sz w:val="21"/>
                <w:szCs w:val="21"/>
                <w:highlight w:val="none"/>
              </w:rPr>
              <w:t>持有基金份额（份）</w:t>
            </w:r>
          </w:p>
        </w:tc>
        <w:tc>
          <w:tcPr>
            <w:tcW w:w="2507" w:type="dxa"/>
            <w:vAlign w:val="center"/>
          </w:tcPr>
          <w:p w14:paraId="03D60480">
            <w:pPr>
              <w:pStyle w:val="9"/>
              <w:spacing w:before="0" w:beforeAutospacing="0" w:after="0" w:afterAutospacing="0" w:line="360" w:lineRule="auto"/>
              <w:ind w:firstLine="0"/>
              <w:jc w:val="center"/>
              <w:rPr>
                <w:rFonts w:hint="eastAsia"/>
                <w:sz w:val="21"/>
                <w:szCs w:val="21"/>
                <w:highlight w:val="none"/>
              </w:rPr>
            </w:pPr>
            <w:r>
              <w:rPr>
                <w:rFonts w:hint="eastAsia"/>
                <w:sz w:val="21"/>
                <w:szCs w:val="21"/>
                <w:highlight w:val="none"/>
              </w:rPr>
              <w:t>占场内总份额比例（%）</w:t>
            </w:r>
          </w:p>
        </w:tc>
      </w:tr>
      <w:tr w14:paraId="04B47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4799A3B5">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1</w:t>
            </w:r>
          </w:p>
        </w:tc>
        <w:tc>
          <w:tcPr>
            <w:tcW w:w="2805" w:type="dxa"/>
            <w:vAlign w:val="center"/>
          </w:tcPr>
          <w:p w14:paraId="7CD9B3B5">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深圳中安汇富私募证券基金管理有限公司－中安汇富－莲花山宏观5号私募投资基金</w:t>
            </w:r>
          </w:p>
        </w:tc>
        <w:tc>
          <w:tcPr>
            <w:tcW w:w="2115" w:type="dxa"/>
            <w:vAlign w:val="bottom"/>
          </w:tcPr>
          <w:p w14:paraId="0E6E0A53">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10,001,200.00</w:t>
            </w:r>
          </w:p>
        </w:tc>
        <w:tc>
          <w:tcPr>
            <w:tcW w:w="2507" w:type="dxa"/>
            <w:vAlign w:val="bottom"/>
          </w:tcPr>
          <w:p w14:paraId="395D57E0">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4.73</w:t>
            </w:r>
          </w:p>
        </w:tc>
      </w:tr>
      <w:tr w14:paraId="684EF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3F10E821">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2</w:t>
            </w:r>
          </w:p>
        </w:tc>
        <w:tc>
          <w:tcPr>
            <w:tcW w:w="2805" w:type="dxa"/>
            <w:vAlign w:val="center"/>
          </w:tcPr>
          <w:p w14:paraId="2CD447ED">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上海证券－国君资管3189FOF单一资产管理计划－上海证券护航FOF单一资产管理计划</w:t>
            </w:r>
          </w:p>
        </w:tc>
        <w:tc>
          <w:tcPr>
            <w:tcW w:w="2115" w:type="dxa"/>
            <w:vAlign w:val="bottom"/>
          </w:tcPr>
          <w:p w14:paraId="21D0A92B">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8,000,311.00</w:t>
            </w:r>
          </w:p>
        </w:tc>
        <w:tc>
          <w:tcPr>
            <w:tcW w:w="2507" w:type="dxa"/>
            <w:vAlign w:val="bottom"/>
          </w:tcPr>
          <w:p w14:paraId="08BCCB4C">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3.78</w:t>
            </w:r>
          </w:p>
        </w:tc>
      </w:tr>
      <w:tr w14:paraId="34EFC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530EC43B">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3</w:t>
            </w:r>
          </w:p>
        </w:tc>
        <w:tc>
          <w:tcPr>
            <w:tcW w:w="2805" w:type="dxa"/>
            <w:vAlign w:val="center"/>
          </w:tcPr>
          <w:p w14:paraId="5FE41FFB">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招商证券股份有限公司</w:t>
            </w:r>
          </w:p>
        </w:tc>
        <w:tc>
          <w:tcPr>
            <w:tcW w:w="2115" w:type="dxa"/>
            <w:vAlign w:val="bottom"/>
          </w:tcPr>
          <w:p w14:paraId="2105B777">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7,000,340.00</w:t>
            </w:r>
          </w:p>
        </w:tc>
        <w:tc>
          <w:tcPr>
            <w:tcW w:w="2507" w:type="dxa"/>
            <w:vAlign w:val="bottom"/>
          </w:tcPr>
          <w:p w14:paraId="0AD0636A">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3.31</w:t>
            </w:r>
          </w:p>
        </w:tc>
      </w:tr>
      <w:tr w14:paraId="04111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09F17507">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4</w:t>
            </w:r>
          </w:p>
        </w:tc>
        <w:tc>
          <w:tcPr>
            <w:tcW w:w="2805" w:type="dxa"/>
            <w:vAlign w:val="center"/>
          </w:tcPr>
          <w:p w14:paraId="6246D228">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申万宏源证券有限公司</w:t>
            </w:r>
          </w:p>
        </w:tc>
        <w:tc>
          <w:tcPr>
            <w:tcW w:w="2115" w:type="dxa"/>
            <w:vAlign w:val="bottom"/>
          </w:tcPr>
          <w:p w14:paraId="0A86D1C7">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6,000,233.00</w:t>
            </w:r>
          </w:p>
        </w:tc>
        <w:tc>
          <w:tcPr>
            <w:tcW w:w="2507" w:type="dxa"/>
            <w:vAlign w:val="bottom"/>
          </w:tcPr>
          <w:p w14:paraId="3A679D4A">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2.84</w:t>
            </w:r>
          </w:p>
        </w:tc>
      </w:tr>
      <w:tr w14:paraId="2C40B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31CF88B7">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5</w:t>
            </w:r>
          </w:p>
        </w:tc>
        <w:tc>
          <w:tcPr>
            <w:tcW w:w="2805" w:type="dxa"/>
            <w:vAlign w:val="center"/>
          </w:tcPr>
          <w:p w14:paraId="4B6FA0BD">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唐浩钧</w:t>
            </w:r>
          </w:p>
        </w:tc>
        <w:tc>
          <w:tcPr>
            <w:tcW w:w="2115" w:type="dxa"/>
            <w:vAlign w:val="bottom"/>
          </w:tcPr>
          <w:p w14:paraId="68FF1978">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5,870,567.00</w:t>
            </w:r>
          </w:p>
        </w:tc>
        <w:tc>
          <w:tcPr>
            <w:tcW w:w="2507" w:type="dxa"/>
            <w:vAlign w:val="bottom"/>
          </w:tcPr>
          <w:p w14:paraId="1EAF3E4E">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2.77</w:t>
            </w:r>
          </w:p>
        </w:tc>
      </w:tr>
      <w:tr w14:paraId="614E9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53EBF33B">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6</w:t>
            </w:r>
          </w:p>
        </w:tc>
        <w:tc>
          <w:tcPr>
            <w:tcW w:w="2805" w:type="dxa"/>
            <w:vAlign w:val="center"/>
          </w:tcPr>
          <w:p w14:paraId="4707CE27">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财通证券资管－国泰海通证券－财通证券资管财赢长富FOF1号集合资产管理计划</w:t>
            </w:r>
          </w:p>
        </w:tc>
        <w:tc>
          <w:tcPr>
            <w:tcW w:w="2115" w:type="dxa"/>
            <w:vAlign w:val="bottom"/>
          </w:tcPr>
          <w:p w14:paraId="2CDB0267">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5,000,194.00</w:t>
            </w:r>
          </w:p>
        </w:tc>
        <w:tc>
          <w:tcPr>
            <w:tcW w:w="2507" w:type="dxa"/>
            <w:vAlign w:val="bottom"/>
          </w:tcPr>
          <w:p w14:paraId="3026BDA3">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2.36</w:t>
            </w:r>
          </w:p>
        </w:tc>
      </w:tr>
      <w:tr w14:paraId="5D69E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55912D88">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7</w:t>
            </w:r>
          </w:p>
        </w:tc>
        <w:tc>
          <w:tcPr>
            <w:tcW w:w="2805" w:type="dxa"/>
            <w:vAlign w:val="center"/>
          </w:tcPr>
          <w:p w14:paraId="7F856B88">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东吴证券股份有限公司</w:t>
            </w:r>
          </w:p>
        </w:tc>
        <w:tc>
          <w:tcPr>
            <w:tcW w:w="2115" w:type="dxa"/>
            <w:vAlign w:val="bottom"/>
          </w:tcPr>
          <w:p w14:paraId="19D430B2">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5,000,194.00</w:t>
            </w:r>
          </w:p>
        </w:tc>
        <w:tc>
          <w:tcPr>
            <w:tcW w:w="2507" w:type="dxa"/>
            <w:vAlign w:val="bottom"/>
          </w:tcPr>
          <w:p w14:paraId="2F120917">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2.36</w:t>
            </w:r>
          </w:p>
        </w:tc>
      </w:tr>
      <w:tr w14:paraId="5D113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7D84C3A2">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8</w:t>
            </w:r>
          </w:p>
        </w:tc>
        <w:tc>
          <w:tcPr>
            <w:tcW w:w="2805" w:type="dxa"/>
            <w:vAlign w:val="center"/>
          </w:tcPr>
          <w:p w14:paraId="599DCF74">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国信证券股份有限公司</w:t>
            </w:r>
          </w:p>
        </w:tc>
        <w:tc>
          <w:tcPr>
            <w:tcW w:w="2115" w:type="dxa"/>
            <w:vAlign w:val="bottom"/>
          </w:tcPr>
          <w:p w14:paraId="76FD1E24">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4,000,155.00</w:t>
            </w:r>
          </w:p>
        </w:tc>
        <w:tc>
          <w:tcPr>
            <w:tcW w:w="2507" w:type="dxa"/>
            <w:vAlign w:val="bottom"/>
          </w:tcPr>
          <w:p w14:paraId="24EBBD33">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1.89</w:t>
            </w:r>
          </w:p>
        </w:tc>
      </w:tr>
      <w:tr w14:paraId="0D969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4F9C16E0">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9</w:t>
            </w:r>
          </w:p>
        </w:tc>
        <w:tc>
          <w:tcPr>
            <w:tcW w:w="2805" w:type="dxa"/>
            <w:vAlign w:val="center"/>
          </w:tcPr>
          <w:p w14:paraId="62F74E85">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深圳市华安合鑫私募证券基金管理有限公司－华安合鑫稳健一期私募证券投资基金</w:t>
            </w:r>
          </w:p>
        </w:tc>
        <w:tc>
          <w:tcPr>
            <w:tcW w:w="2115" w:type="dxa"/>
            <w:vAlign w:val="bottom"/>
          </w:tcPr>
          <w:p w14:paraId="0676CAD0">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3,600,139.00</w:t>
            </w:r>
          </w:p>
        </w:tc>
        <w:tc>
          <w:tcPr>
            <w:tcW w:w="2507" w:type="dxa"/>
            <w:vAlign w:val="bottom"/>
          </w:tcPr>
          <w:p w14:paraId="04926261">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1.70</w:t>
            </w:r>
          </w:p>
        </w:tc>
      </w:tr>
      <w:tr w14:paraId="51FB0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69CBE091">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10</w:t>
            </w:r>
          </w:p>
        </w:tc>
        <w:tc>
          <w:tcPr>
            <w:tcW w:w="2805" w:type="dxa"/>
            <w:vAlign w:val="center"/>
          </w:tcPr>
          <w:p w14:paraId="59F574A5">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深圳市恒泰融安投资管理有限公司－恒泰融安泰山9号私募证券投资基金</w:t>
            </w:r>
          </w:p>
        </w:tc>
        <w:tc>
          <w:tcPr>
            <w:tcW w:w="2115" w:type="dxa"/>
            <w:vAlign w:val="bottom"/>
          </w:tcPr>
          <w:p w14:paraId="340658F3">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3,000,116.00</w:t>
            </w:r>
          </w:p>
        </w:tc>
        <w:tc>
          <w:tcPr>
            <w:tcW w:w="2507" w:type="dxa"/>
            <w:vAlign w:val="bottom"/>
          </w:tcPr>
          <w:p w14:paraId="6BB96E6B">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1.42</w:t>
            </w:r>
          </w:p>
        </w:tc>
      </w:tr>
      <w:tr w14:paraId="4323E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19B3CB54">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11</w:t>
            </w:r>
          </w:p>
        </w:tc>
        <w:tc>
          <w:tcPr>
            <w:tcW w:w="2805" w:type="dxa"/>
            <w:vAlign w:val="center"/>
          </w:tcPr>
          <w:p w14:paraId="44683F78">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深圳市华安合鑫私募证券基金管理有限公司－华安合鑫剑邑一号私募证券投资基金</w:t>
            </w:r>
          </w:p>
        </w:tc>
        <w:tc>
          <w:tcPr>
            <w:tcW w:w="2115" w:type="dxa"/>
            <w:vAlign w:val="bottom"/>
          </w:tcPr>
          <w:p w14:paraId="6E8B5363">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3,000,116.00</w:t>
            </w:r>
          </w:p>
        </w:tc>
        <w:tc>
          <w:tcPr>
            <w:tcW w:w="2507" w:type="dxa"/>
            <w:vAlign w:val="bottom"/>
          </w:tcPr>
          <w:p w14:paraId="659259A0">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1.42</w:t>
            </w:r>
          </w:p>
        </w:tc>
      </w:tr>
    </w:tbl>
    <w:p w14:paraId="3FDD9293">
      <w:pPr>
        <w:pStyle w:val="9"/>
        <w:spacing w:before="0" w:beforeAutospacing="0" w:after="0" w:afterAutospacing="0" w:line="360" w:lineRule="auto"/>
        <w:ind w:firstLine="420" w:firstLineChars="200"/>
        <w:rPr>
          <w:rFonts w:hint="eastAsia"/>
          <w:sz w:val="21"/>
          <w:szCs w:val="21"/>
          <w:highlight w:val="none"/>
        </w:rPr>
      </w:pPr>
      <w:bookmarkStart w:id="29" w:name="chapter_level1_4_56146_section_1_end"/>
      <w:bookmarkEnd w:id="29"/>
      <w:r>
        <w:rPr>
          <w:rFonts w:hint="eastAsia"/>
          <w:sz w:val="21"/>
          <w:szCs w:val="21"/>
          <w:highlight w:val="none"/>
        </w:rPr>
        <w:t>注：以上信息依据中国证券登记结算有限责任公司提供的持有人信息编制。</w:t>
      </w:r>
    </w:p>
    <w:p w14:paraId="67F72CF5">
      <w:pPr>
        <w:pStyle w:val="9"/>
        <w:spacing w:before="0" w:beforeAutospacing="0" w:after="0" w:afterAutospacing="0" w:line="360" w:lineRule="auto"/>
        <w:ind w:firstLine="420" w:firstLineChars="200"/>
        <w:rPr>
          <w:sz w:val="21"/>
          <w:szCs w:val="21"/>
          <w:highlight w:val="none"/>
        </w:rPr>
      </w:pPr>
      <w:r>
        <w:rPr>
          <w:rFonts w:hint="eastAsia"/>
          <w:sz w:val="21"/>
          <w:szCs w:val="21"/>
          <w:highlight w:val="none"/>
        </w:rPr>
        <w:t xml:space="preserve"> </w:t>
      </w:r>
    </w:p>
    <w:p w14:paraId="03DE5C45">
      <w:pPr>
        <w:pStyle w:val="2"/>
        <w:jc w:val="center"/>
        <w:rPr>
          <w:rFonts w:ascii="宋体" w:hAnsi="宋体" w:eastAsia="宋体"/>
          <w:sz w:val="30"/>
          <w:highlight w:val="none"/>
        </w:rPr>
      </w:pPr>
      <w:r>
        <w:rPr>
          <w:rFonts w:hint="eastAsia" w:ascii="宋体" w:hAnsi="宋体" w:eastAsia="宋体"/>
          <w:sz w:val="30"/>
          <w:highlight w:val="none"/>
        </w:rPr>
        <w:t>五、基金主要当事人简介</w:t>
      </w:r>
      <w:bookmarkEnd w:id="27"/>
      <w:bookmarkEnd w:id="28"/>
    </w:p>
    <w:p w14:paraId="7AD57EEA">
      <w:pPr>
        <w:pStyle w:val="9"/>
        <w:spacing w:before="0" w:beforeAutospacing="0" w:after="0" w:afterAutospacing="0" w:line="360" w:lineRule="auto"/>
        <w:ind w:firstLine="420"/>
        <w:rPr>
          <w:rFonts w:hint="eastAsia"/>
          <w:b w:val="0"/>
          <w:bCs w:val="0"/>
          <w:sz w:val="21"/>
          <w:szCs w:val="21"/>
          <w:highlight w:val="none"/>
          <w:lang w:eastAsia="zh-CN"/>
        </w:rPr>
      </w:pPr>
      <w:bookmarkStart w:id="30" w:name="chapter_level1_5_56147_section_1"/>
      <w:bookmarkEnd w:id="30"/>
      <w:r>
        <w:rPr>
          <w:rFonts w:hint="eastAsia"/>
          <w:b w:val="0"/>
          <w:bCs w:val="0"/>
          <w:sz w:val="21"/>
          <w:szCs w:val="21"/>
          <w:highlight w:val="none"/>
          <w:lang w:eastAsia="zh-CN"/>
        </w:rPr>
        <w:t>（</w:t>
      </w:r>
      <w:r>
        <w:rPr>
          <w:rFonts w:hint="eastAsia"/>
          <w:b w:val="0"/>
          <w:bCs w:val="0"/>
          <w:sz w:val="21"/>
          <w:szCs w:val="21"/>
          <w:highlight w:val="none"/>
          <w:lang w:val="en-US" w:eastAsia="zh-CN"/>
        </w:rPr>
        <w:t>一</w:t>
      </w:r>
      <w:r>
        <w:rPr>
          <w:rFonts w:hint="eastAsia"/>
          <w:b w:val="0"/>
          <w:bCs w:val="0"/>
          <w:sz w:val="21"/>
          <w:szCs w:val="21"/>
          <w:highlight w:val="none"/>
          <w:lang w:eastAsia="zh-CN"/>
        </w:rPr>
        <w:t>）基金管理人概况</w:t>
      </w:r>
    </w:p>
    <w:p w14:paraId="1AFBB0A1">
      <w:pPr>
        <w:pStyle w:val="9"/>
        <w:spacing w:before="0" w:beforeAutospacing="0" w:after="0" w:afterAutospacing="0" w:line="360" w:lineRule="auto"/>
        <w:ind w:firstLine="420"/>
        <w:rPr>
          <w:rFonts w:hint="eastAsia"/>
          <w:b w:val="0"/>
          <w:bCs w:val="0"/>
          <w:sz w:val="21"/>
          <w:szCs w:val="21"/>
          <w:highlight w:val="none"/>
          <w:lang w:val="en-US" w:eastAsia="zh-CN"/>
        </w:rPr>
      </w:pPr>
      <w:r>
        <w:rPr>
          <w:rFonts w:hint="eastAsia"/>
          <w:b w:val="0"/>
          <w:bCs w:val="0"/>
          <w:sz w:val="21"/>
          <w:szCs w:val="21"/>
          <w:highlight w:val="none"/>
          <w:lang w:val="en-US" w:eastAsia="zh-CN"/>
        </w:rPr>
        <w:t>1、基本情况</w:t>
      </w:r>
    </w:p>
    <w:p w14:paraId="28A51BB4">
      <w:pPr>
        <w:pStyle w:val="9"/>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3800B397">
      <w:pPr>
        <w:pStyle w:val="9"/>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58B62A13">
      <w:pPr>
        <w:pStyle w:val="9"/>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508AB788">
      <w:pPr>
        <w:pStyle w:val="9"/>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478D5E14">
      <w:pPr>
        <w:pStyle w:val="9"/>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67E40505">
      <w:pPr>
        <w:pStyle w:val="9"/>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3AE82A0C">
      <w:pPr>
        <w:pStyle w:val="9"/>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4290A96E">
      <w:pPr>
        <w:pStyle w:val="9"/>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2435C05E">
      <w:pPr>
        <w:pStyle w:val="9"/>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3825AFB7">
      <w:pPr>
        <w:pStyle w:val="9"/>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45078798">
      <w:pPr>
        <w:pStyle w:val="9"/>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0E38870E">
      <w:pPr>
        <w:pStyle w:val="9"/>
        <w:spacing w:before="0" w:beforeAutospacing="0" w:after="0" w:afterAutospacing="0" w:line="360" w:lineRule="auto"/>
        <w:ind w:firstLine="420"/>
        <w:rPr>
          <w:rFonts w:hint="eastAsia"/>
          <w:b w:val="0"/>
          <w:bCs w:val="0"/>
          <w:sz w:val="21"/>
          <w:szCs w:val="21"/>
          <w:highlight w:val="none"/>
          <w:lang w:val="en-US" w:eastAsia="zh-CN"/>
        </w:rPr>
      </w:pPr>
      <w:r>
        <w:rPr>
          <w:rFonts w:hint="eastAsia"/>
          <w:sz w:val="21"/>
          <w:szCs w:val="21"/>
          <w:highlight w:val="none"/>
        </w:rPr>
        <w:t>公司已经建立健全投资管理制度、风险控制制度、内部监察制度、财务管理制度、人事管理制度、信息披露制度和员工行为准则等公司管理制度体系。 </w:t>
      </w:r>
    </w:p>
    <w:p w14:paraId="332543D5">
      <w:pPr>
        <w:pStyle w:val="9"/>
        <w:spacing w:before="0" w:beforeAutospacing="0" w:after="0" w:afterAutospacing="0" w:line="360" w:lineRule="auto"/>
        <w:ind w:firstLine="420"/>
        <w:rPr>
          <w:rFonts w:hint="eastAsia"/>
          <w:b w:val="0"/>
          <w:bCs w:val="0"/>
          <w:sz w:val="21"/>
          <w:szCs w:val="21"/>
          <w:highlight w:val="none"/>
          <w:lang w:eastAsia="zh-CN"/>
        </w:rPr>
      </w:pPr>
      <w:r>
        <w:rPr>
          <w:rFonts w:hint="eastAsia"/>
          <w:b w:val="0"/>
          <w:bCs w:val="0"/>
          <w:sz w:val="21"/>
          <w:szCs w:val="21"/>
          <w:highlight w:val="none"/>
          <w:lang w:val="en-US" w:eastAsia="zh-CN"/>
        </w:rPr>
        <w:t>2</w:t>
      </w:r>
      <w:r>
        <w:rPr>
          <w:rFonts w:hint="eastAsia"/>
          <w:b w:val="0"/>
          <w:bCs w:val="0"/>
          <w:sz w:val="21"/>
          <w:szCs w:val="21"/>
          <w:highlight w:val="none"/>
          <w:lang w:eastAsia="zh-CN"/>
        </w:rPr>
        <w:t>、主要成员情况</w:t>
      </w:r>
    </w:p>
    <w:p w14:paraId="04BD060B">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1</w:t>
      </w:r>
      <w:r>
        <w:rPr>
          <w:rFonts w:hint="eastAsia"/>
          <w:sz w:val="21"/>
          <w:szCs w:val="21"/>
          <w:highlight w:val="none"/>
          <w:lang w:eastAsia="zh-CN"/>
        </w:rPr>
        <w:t>）基金管理人董事会成员</w:t>
      </w:r>
    </w:p>
    <w:p w14:paraId="09A31BAB">
      <w:pPr>
        <w:pStyle w:val="9"/>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0BBFC82E">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541770AE">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0D966E5F">
      <w:pPr>
        <w:pStyle w:val="9"/>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736BC77E">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2E4C280F">
      <w:pPr>
        <w:pStyle w:val="9"/>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74943F30">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00F251DF">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224EF887">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3F9FBD3B">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42CECE15">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A339827">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2</w:t>
      </w:r>
      <w:r>
        <w:rPr>
          <w:rFonts w:hint="eastAsia"/>
          <w:sz w:val="21"/>
          <w:szCs w:val="21"/>
          <w:highlight w:val="none"/>
          <w:lang w:eastAsia="zh-CN"/>
        </w:rPr>
        <w:t>）高级管理人员</w:t>
      </w:r>
    </w:p>
    <w:p w14:paraId="76BEA1C1">
      <w:pPr>
        <w:pStyle w:val="9"/>
        <w:spacing w:before="0" w:beforeAutospacing="0" w:after="0" w:afterAutospacing="0" w:line="360" w:lineRule="auto"/>
        <w:ind w:firstLine="420"/>
        <w:rPr>
          <w:rFonts w:hint="eastAsia"/>
          <w:sz w:val="21"/>
          <w:szCs w:val="21"/>
          <w:highlight w:val="none"/>
        </w:rPr>
      </w:pPr>
      <w:bookmarkStart w:id="31" w:name="OLE_LINK3"/>
      <w:r>
        <w:rPr>
          <w:rFonts w:hint="eastAsia"/>
          <w:sz w:val="21"/>
          <w:szCs w:val="21"/>
          <w:highlight w:val="none"/>
          <w:lang w:eastAsia="zh-CN"/>
        </w:rPr>
        <w:t>张东先生，</w:t>
      </w:r>
      <w:r>
        <w:rPr>
          <w:rFonts w:hint="eastAsia"/>
          <w:sz w:val="21"/>
          <w:szCs w:val="21"/>
          <w:highlight w:val="none"/>
        </w:rPr>
        <w:t>简历同上。</w:t>
      </w:r>
    </w:p>
    <w:p w14:paraId="31942505">
      <w:pPr>
        <w:pStyle w:val="9"/>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1"/>
    <w:p w14:paraId="16ABD12E">
      <w:pPr>
        <w:pStyle w:val="9"/>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236EAE40">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w:t>
      </w:r>
    </w:p>
    <w:p w14:paraId="7438E06D">
      <w:pPr>
        <w:pStyle w:val="9"/>
        <w:spacing w:before="0" w:beforeAutospacing="0" w:after="0" w:afterAutospacing="0" w:line="360" w:lineRule="auto"/>
        <w:ind w:firstLine="420"/>
        <w:rPr>
          <w:rFonts w:hint="eastAsia" w:eastAsia="宋体"/>
          <w:sz w:val="21"/>
          <w:szCs w:val="21"/>
          <w:highlight w:val="none"/>
          <w:lang w:val="en-US" w:eastAsia="zh-CN"/>
        </w:rPr>
      </w:pPr>
      <w:r>
        <w:rPr>
          <w:rFonts w:hint="eastAsia"/>
          <w:sz w:val="21"/>
          <w:szCs w:val="21"/>
          <w:highlight w:val="none"/>
          <w:lang w:eastAsia="zh-CN"/>
        </w:rPr>
        <w:t>于善辉先生，硕士，副总经理。</w:t>
      </w:r>
      <w:r>
        <w:rPr>
          <w:rFonts w:hint="eastAsia"/>
          <w:sz w:val="21"/>
          <w:szCs w:val="21"/>
          <w:highlight w:val="none"/>
        </w:rPr>
        <w:t xml:space="preserve"> </w:t>
      </w:r>
      <w:r>
        <w:rPr>
          <w:rFonts w:hint="eastAsia"/>
          <w:sz w:val="21"/>
          <w:szCs w:val="21"/>
          <w:highlight w:val="none"/>
          <w:lang w:val="en-US" w:eastAsia="zh-CN"/>
        </w:rPr>
        <w:t>2001年至2023年先后在天相投资顾问有限公司、民生加银基金管理有限公司工作。</w:t>
      </w:r>
      <w:r>
        <w:rPr>
          <w:rFonts w:hint="eastAsia"/>
          <w:sz w:val="21"/>
          <w:szCs w:val="21"/>
          <w:highlight w:val="none"/>
        </w:rPr>
        <w:t>2023年加入博时基金管理有限公司，现任公司副总经理兼公司投资决策委员会专职委员、年金投资部总经理</w:t>
      </w:r>
      <w:r>
        <w:rPr>
          <w:rFonts w:hint="eastAsia"/>
          <w:sz w:val="21"/>
          <w:szCs w:val="21"/>
          <w:highlight w:val="none"/>
          <w:lang w:eastAsia="zh-CN"/>
        </w:rPr>
        <w:t>。</w:t>
      </w:r>
    </w:p>
    <w:p w14:paraId="34FFCDC7">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3</w:t>
      </w:r>
      <w:r>
        <w:rPr>
          <w:rFonts w:hint="eastAsia"/>
          <w:sz w:val="21"/>
          <w:szCs w:val="21"/>
          <w:highlight w:val="none"/>
          <w:lang w:eastAsia="zh-CN"/>
        </w:rPr>
        <w:t xml:space="preserve">）本基金基金经理 </w:t>
      </w:r>
    </w:p>
    <w:p w14:paraId="6ED1CE1B">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王萌先生，博士。2016年毕业后加入博时基金管理有限公司。现任博时恒生港股通红利交易型开放式指数证券投资基金(2025年4月16日—至今)、博时中证全指自由现金流交易型开放式指数证券投资基金(2025年6月30日—至今)、博时恒生港股通创新药精选交易型开放式指数证券投资基金(2025年7月23日—至今)、博时中证全指自由现金流交易型开放式指数证券投资基金联接基金(2025年9月1日—至今)、博时国证工业软件主题交易型开放式指数证券投资基金(2025年11月12日—至今)、博时中证光伏产业交易型开放式指数证券投资基金(2026年2月11日—至今)、博时中证全指红利质量交易型开放式指数证券投资基金(2026年6月17日—至今)、博时国证储能电池指数型证券投资基金(2026年6月26日—至今)、博时中证工程机械主题交易型开放式指数证券投资基金(2026年8月14日—至今)、博时中证稀有金属主题交易型开放式指数证券投资基金(2026年11月2日—至今)的基金经理。</w:t>
      </w:r>
    </w:p>
    <w:p w14:paraId="28144F85">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4</w:t>
      </w:r>
      <w:r>
        <w:rPr>
          <w:rFonts w:hint="eastAsia"/>
          <w:sz w:val="21"/>
          <w:szCs w:val="21"/>
          <w:highlight w:val="none"/>
          <w:lang w:eastAsia="zh-CN"/>
        </w:rPr>
        <w:t xml:space="preserve">）投资决策委员会成员 </w:t>
      </w:r>
    </w:p>
    <w:p w14:paraId="309ABCED">
      <w:pPr>
        <w:pStyle w:val="9"/>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044B529D">
      <w:pPr>
        <w:pStyle w:val="9"/>
        <w:spacing w:before="0" w:beforeAutospacing="0" w:after="0" w:afterAutospacing="0" w:line="360" w:lineRule="auto"/>
        <w:ind w:firstLine="420"/>
        <w:rPr>
          <w:rFonts w:hint="eastAsia"/>
          <w:sz w:val="21"/>
          <w:szCs w:val="21"/>
        </w:rPr>
      </w:pPr>
      <w:r>
        <w:rPr>
          <w:rFonts w:hint="eastAsia"/>
          <w:sz w:val="21"/>
          <w:szCs w:val="21"/>
        </w:rPr>
        <w:t>公司副总经理兼公司投资决策委员会专职委员、年金投资部总经理于善辉先生。</w:t>
      </w:r>
    </w:p>
    <w:p w14:paraId="6F5F2ECD">
      <w:pPr>
        <w:pStyle w:val="9"/>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0D2572BD">
      <w:pPr>
        <w:pStyle w:val="9"/>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2A4CBDCE">
      <w:pPr>
        <w:pStyle w:val="9"/>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58DD9142">
      <w:pPr>
        <w:pStyle w:val="9"/>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47769A03">
      <w:pPr>
        <w:pStyle w:val="9"/>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0CA2FDD0">
      <w:pPr>
        <w:pStyle w:val="9"/>
        <w:numPr>
          <w:ilvl w:val="-1"/>
          <w:numId w:val="0"/>
        </w:numPr>
        <w:spacing w:before="0" w:beforeAutospacing="0" w:after="0" w:afterAutospacing="0" w:line="360" w:lineRule="auto"/>
        <w:ind w:firstLine="420" w:firstLineChars="200"/>
        <w:rPr>
          <w:rFonts w:hint="eastAsia"/>
          <w:sz w:val="21"/>
          <w:szCs w:val="21"/>
          <w:highlight w:val="none"/>
          <w:lang w:eastAsia="zh-CN"/>
        </w:rPr>
      </w:pPr>
      <w:r>
        <w:rPr>
          <w:rFonts w:hint="eastAsia"/>
          <w:sz w:val="21"/>
          <w:szCs w:val="21"/>
        </w:rPr>
        <w:t>宏观策略部总经理助理（主持工作）兼首席策略分析师陈显顺先生。 </w:t>
      </w:r>
    </w:p>
    <w:p w14:paraId="09F55586">
      <w:pPr>
        <w:pStyle w:val="9"/>
        <w:numPr>
          <w:ilvl w:val="-1"/>
          <w:numId w:val="0"/>
        </w:numPr>
        <w:spacing w:before="0" w:beforeAutospacing="0" w:after="0" w:afterAutospacing="0" w:line="360" w:lineRule="auto"/>
        <w:ind w:firstLine="420" w:firstLineChars="20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5</w:t>
      </w:r>
      <w:r>
        <w:rPr>
          <w:rFonts w:hint="eastAsia"/>
          <w:sz w:val="21"/>
          <w:szCs w:val="21"/>
          <w:highlight w:val="none"/>
          <w:lang w:eastAsia="zh-CN"/>
        </w:rPr>
        <w:t>）上述人员之间均不存在近亲属关系。 </w:t>
      </w:r>
    </w:p>
    <w:p w14:paraId="502CD733">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lang w:eastAsia="zh-CN"/>
        </w:rPr>
        <w:t xml:space="preserve"> </w:t>
      </w:r>
      <w:r>
        <w:rPr>
          <w:rFonts w:hint="eastAsia"/>
          <w:sz w:val="21"/>
          <w:szCs w:val="21"/>
          <w:highlight w:val="none"/>
        </w:rPr>
        <w:t>（</w:t>
      </w:r>
      <w:r>
        <w:rPr>
          <w:rFonts w:hint="eastAsia"/>
          <w:sz w:val="21"/>
          <w:szCs w:val="21"/>
          <w:highlight w:val="none"/>
          <w:lang w:eastAsia="zh-CN"/>
        </w:rPr>
        <w:t>二</w:t>
      </w:r>
      <w:r>
        <w:rPr>
          <w:rFonts w:hint="eastAsia"/>
          <w:sz w:val="21"/>
          <w:szCs w:val="21"/>
          <w:highlight w:val="none"/>
        </w:rPr>
        <w:t>）基金托管人情况</w:t>
      </w:r>
    </w:p>
    <w:p w14:paraId="3E44A51E">
      <w:pPr>
        <w:pStyle w:val="33"/>
        <w:spacing w:before="50" w:after="50"/>
        <w:ind w:firstLine="422" w:firstLineChars="200"/>
        <w:rPr>
          <w:rFonts w:hint="eastAsia" w:ascii="宋体" w:hAnsi="宋体" w:cs="宋体"/>
          <w:b/>
          <w:kern w:val="0"/>
          <w:sz w:val="21"/>
          <w:szCs w:val="21"/>
        </w:rPr>
      </w:pPr>
      <w:r>
        <w:rPr>
          <w:rFonts w:hint="eastAsia"/>
          <w:b/>
          <w:sz w:val="21"/>
          <w:szCs w:val="21"/>
          <w:lang w:val="en-US" w:eastAsia="zh-CN"/>
        </w:rPr>
        <w:t>1、</w:t>
      </w:r>
      <w:r>
        <w:rPr>
          <w:rFonts w:hint="eastAsia"/>
          <w:b/>
          <w:sz w:val="21"/>
          <w:szCs w:val="21"/>
        </w:rPr>
        <w:t>基金托管人概况</w:t>
      </w:r>
    </w:p>
    <w:p w14:paraId="42CE0FCE">
      <w:pPr>
        <w:pStyle w:val="33"/>
        <w:spacing w:before="50" w:after="50"/>
        <w:ind w:firstLine="420" w:firstLineChars="200"/>
        <w:rPr>
          <w:rFonts w:hint="eastAsia" w:hAnsi="宋体"/>
          <w:b w:val="0"/>
          <w:bCs w:val="0"/>
          <w:kern w:val="0"/>
          <w:sz w:val="21"/>
          <w:szCs w:val="21"/>
        </w:rPr>
      </w:pPr>
      <w:r>
        <w:rPr>
          <w:rFonts w:hint="eastAsia" w:hAnsi="宋体"/>
          <w:b w:val="0"/>
          <w:bCs w:val="0"/>
          <w:kern w:val="0"/>
          <w:sz w:val="21"/>
          <w:szCs w:val="21"/>
          <w:lang w:eastAsia="zh-CN"/>
        </w:rPr>
        <w:t>（</w:t>
      </w:r>
      <w:r>
        <w:rPr>
          <w:rFonts w:hint="eastAsia" w:hAnsi="宋体"/>
          <w:b w:val="0"/>
          <w:bCs w:val="0"/>
          <w:kern w:val="0"/>
          <w:sz w:val="21"/>
          <w:szCs w:val="21"/>
          <w:lang w:val="en-US" w:eastAsia="zh-CN"/>
        </w:rPr>
        <w:t>1</w:t>
      </w:r>
      <w:r>
        <w:rPr>
          <w:rFonts w:hint="eastAsia" w:hAnsi="宋体"/>
          <w:b w:val="0"/>
          <w:bCs w:val="0"/>
          <w:kern w:val="0"/>
          <w:sz w:val="21"/>
          <w:szCs w:val="21"/>
          <w:lang w:eastAsia="zh-CN"/>
        </w:rPr>
        <w:t>）</w:t>
      </w:r>
      <w:r>
        <w:rPr>
          <w:rFonts w:hint="eastAsia" w:hAnsi="宋体"/>
          <w:b w:val="0"/>
          <w:bCs w:val="0"/>
          <w:kern w:val="0"/>
          <w:sz w:val="21"/>
          <w:szCs w:val="21"/>
        </w:rPr>
        <w:t xml:space="preserve">基本情况 </w:t>
      </w:r>
    </w:p>
    <w:p w14:paraId="138E79AF">
      <w:pPr>
        <w:pStyle w:val="33"/>
        <w:spacing w:before="50" w:after="50"/>
        <w:ind w:firstLine="420" w:firstLineChars="200"/>
        <w:rPr>
          <w:rFonts w:hint="eastAsia" w:hAnsi="宋体"/>
          <w:b w:val="0"/>
          <w:bCs w:val="0"/>
          <w:kern w:val="0"/>
          <w:sz w:val="21"/>
          <w:szCs w:val="21"/>
        </w:rPr>
      </w:pPr>
      <w:r>
        <w:rPr>
          <w:rFonts w:hint="eastAsia" w:hAnsi="宋体"/>
          <w:b w:val="0"/>
          <w:bCs w:val="0"/>
          <w:kern w:val="0"/>
          <w:sz w:val="21"/>
          <w:szCs w:val="21"/>
        </w:rPr>
        <w:t xml:space="preserve">名称：财通证券股份有限公司 </w:t>
      </w:r>
    </w:p>
    <w:p w14:paraId="6223FC5A">
      <w:pPr>
        <w:pStyle w:val="33"/>
        <w:spacing w:before="50" w:after="50"/>
        <w:ind w:firstLine="420" w:firstLineChars="200"/>
        <w:rPr>
          <w:rFonts w:hint="eastAsia" w:hAnsi="宋体"/>
          <w:b w:val="0"/>
          <w:bCs w:val="0"/>
          <w:kern w:val="0"/>
          <w:sz w:val="21"/>
          <w:szCs w:val="21"/>
        </w:rPr>
      </w:pPr>
      <w:r>
        <w:rPr>
          <w:rFonts w:hint="eastAsia" w:hAnsi="宋体"/>
          <w:b w:val="0"/>
          <w:bCs w:val="0"/>
          <w:kern w:val="0"/>
          <w:sz w:val="21"/>
          <w:szCs w:val="21"/>
        </w:rPr>
        <w:t xml:space="preserve">住所：浙江省杭州市西湖区天目山路198号财通双冠大厦西楼 </w:t>
      </w:r>
    </w:p>
    <w:p w14:paraId="247E9784">
      <w:pPr>
        <w:pStyle w:val="33"/>
        <w:spacing w:before="50" w:after="50"/>
        <w:ind w:firstLine="420" w:firstLineChars="200"/>
        <w:rPr>
          <w:rFonts w:hint="eastAsia" w:hAnsi="宋体"/>
          <w:b w:val="0"/>
          <w:bCs w:val="0"/>
          <w:kern w:val="0"/>
          <w:sz w:val="21"/>
          <w:szCs w:val="21"/>
        </w:rPr>
      </w:pPr>
      <w:r>
        <w:rPr>
          <w:rFonts w:hint="eastAsia" w:hAnsi="宋体"/>
          <w:b w:val="0"/>
          <w:bCs w:val="0"/>
          <w:kern w:val="0"/>
          <w:sz w:val="21"/>
          <w:szCs w:val="21"/>
        </w:rPr>
        <w:t>法定代表人：章启诚</w:t>
      </w:r>
    </w:p>
    <w:p w14:paraId="67537BF5">
      <w:pPr>
        <w:pStyle w:val="33"/>
        <w:spacing w:before="50" w:after="50"/>
        <w:ind w:firstLine="420" w:firstLineChars="200"/>
        <w:rPr>
          <w:rFonts w:hint="eastAsia" w:hAnsi="宋体"/>
          <w:b w:val="0"/>
          <w:bCs w:val="0"/>
          <w:kern w:val="0"/>
          <w:sz w:val="21"/>
          <w:szCs w:val="21"/>
        </w:rPr>
      </w:pPr>
      <w:r>
        <w:rPr>
          <w:rFonts w:hint="eastAsia" w:hAnsi="宋体"/>
          <w:b w:val="0"/>
          <w:bCs w:val="0"/>
          <w:kern w:val="0"/>
          <w:sz w:val="21"/>
          <w:szCs w:val="21"/>
        </w:rPr>
        <w:t xml:space="preserve">电话：0571-86966937 </w:t>
      </w:r>
    </w:p>
    <w:p w14:paraId="64E6EA9B">
      <w:pPr>
        <w:pStyle w:val="33"/>
        <w:spacing w:before="50" w:after="50"/>
        <w:ind w:firstLine="420" w:firstLineChars="200"/>
        <w:rPr>
          <w:rFonts w:hint="eastAsia" w:hAnsi="宋体"/>
          <w:b w:val="0"/>
          <w:bCs w:val="0"/>
          <w:kern w:val="0"/>
          <w:sz w:val="21"/>
          <w:szCs w:val="21"/>
        </w:rPr>
      </w:pPr>
      <w:r>
        <w:rPr>
          <w:rFonts w:hint="eastAsia" w:hAnsi="宋体"/>
          <w:b w:val="0"/>
          <w:bCs w:val="0"/>
          <w:kern w:val="0"/>
          <w:sz w:val="21"/>
          <w:szCs w:val="21"/>
        </w:rPr>
        <w:t xml:space="preserve">传真：0571-87830199 </w:t>
      </w:r>
    </w:p>
    <w:p w14:paraId="70ACBD54">
      <w:pPr>
        <w:pStyle w:val="33"/>
        <w:spacing w:before="50" w:after="50"/>
        <w:ind w:firstLine="420" w:firstLineChars="200"/>
        <w:rPr>
          <w:rFonts w:hint="eastAsia" w:hAnsi="宋体"/>
          <w:b w:val="0"/>
          <w:bCs w:val="0"/>
          <w:kern w:val="0"/>
          <w:sz w:val="21"/>
          <w:szCs w:val="21"/>
        </w:rPr>
      </w:pPr>
      <w:r>
        <w:rPr>
          <w:rFonts w:hint="eastAsia" w:hAnsi="宋体"/>
          <w:b w:val="0"/>
          <w:bCs w:val="0"/>
          <w:kern w:val="0"/>
          <w:sz w:val="21"/>
          <w:szCs w:val="21"/>
        </w:rPr>
        <w:t xml:space="preserve">成立时间：2003年06月11日 </w:t>
      </w:r>
    </w:p>
    <w:p w14:paraId="5D22415D">
      <w:pPr>
        <w:pStyle w:val="33"/>
        <w:spacing w:before="50" w:after="50"/>
        <w:ind w:firstLine="420" w:firstLineChars="200"/>
        <w:rPr>
          <w:rFonts w:hint="eastAsia" w:hAnsi="宋体"/>
          <w:b w:val="0"/>
          <w:bCs w:val="0"/>
          <w:kern w:val="0"/>
          <w:sz w:val="21"/>
          <w:szCs w:val="21"/>
        </w:rPr>
      </w:pPr>
      <w:r>
        <w:rPr>
          <w:rFonts w:hint="eastAsia" w:hAnsi="宋体"/>
          <w:b w:val="0"/>
          <w:bCs w:val="0"/>
          <w:kern w:val="0"/>
          <w:sz w:val="21"/>
          <w:szCs w:val="21"/>
        </w:rPr>
        <w:t xml:space="preserve">组织形式：其他股份有限公司(上市) </w:t>
      </w:r>
    </w:p>
    <w:p w14:paraId="11490DB9">
      <w:pPr>
        <w:pStyle w:val="33"/>
        <w:spacing w:before="50" w:after="50"/>
        <w:ind w:firstLine="420" w:firstLineChars="200"/>
        <w:rPr>
          <w:rFonts w:hint="eastAsia" w:hAnsi="宋体"/>
          <w:b w:val="0"/>
          <w:bCs w:val="0"/>
          <w:kern w:val="0"/>
          <w:sz w:val="21"/>
          <w:szCs w:val="21"/>
        </w:rPr>
      </w:pPr>
      <w:r>
        <w:rPr>
          <w:rFonts w:hint="eastAsia" w:hAnsi="宋体"/>
          <w:b w:val="0"/>
          <w:bCs w:val="0"/>
          <w:kern w:val="0"/>
          <w:sz w:val="21"/>
          <w:szCs w:val="21"/>
        </w:rPr>
        <w:t xml:space="preserve">注册资本：人民币46.44亿元 </w:t>
      </w:r>
    </w:p>
    <w:p w14:paraId="01A3FB56">
      <w:pPr>
        <w:pStyle w:val="33"/>
        <w:spacing w:before="50" w:after="50"/>
        <w:ind w:firstLine="420" w:firstLineChars="200"/>
        <w:rPr>
          <w:rFonts w:hint="eastAsia" w:hAnsi="宋体"/>
          <w:b w:val="0"/>
          <w:bCs w:val="0"/>
          <w:kern w:val="0"/>
          <w:sz w:val="21"/>
          <w:szCs w:val="21"/>
        </w:rPr>
      </w:pPr>
      <w:r>
        <w:rPr>
          <w:rFonts w:hint="eastAsia" w:hAnsi="宋体"/>
          <w:b w:val="0"/>
          <w:bCs w:val="0"/>
          <w:kern w:val="0"/>
          <w:sz w:val="21"/>
          <w:szCs w:val="21"/>
        </w:rPr>
        <w:t xml:space="preserve">存续期间：长期 </w:t>
      </w:r>
    </w:p>
    <w:p w14:paraId="52797919">
      <w:pPr>
        <w:pStyle w:val="33"/>
        <w:spacing w:before="50" w:after="50"/>
        <w:ind w:firstLine="420" w:firstLineChars="200"/>
        <w:rPr>
          <w:rFonts w:hint="eastAsia" w:hAnsi="宋体"/>
          <w:b w:val="0"/>
          <w:bCs w:val="0"/>
          <w:kern w:val="0"/>
          <w:sz w:val="21"/>
          <w:szCs w:val="21"/>
        </w:rPr>
      </w:pPr>
      <w:r>
        <w:rPr>
          <w:rFonts w:hint="eastAsia" w:hAnsi="宋体"/>
          <w:b w:val="0"/>
          <w:bCs w:val="0"/>
          <w:kern w:val="0"/>
          <w:sz w:val="21"/>
          <w:szCs w:val="21"/>
        </w:rPr>
        <w:t>批准设立机关和批准设立文号：中国证券监督管理委员会证监许可〔2013〕968号《关于核准财通证券有限责任公司变更为股份有限公司的批复》</w:t>
      </w:r>
    </w:p>
    <w:p w14:paraId="434E388E">
      <w:pPr>
        <w:pStyle w:val="33"/>
        <w:spacing w:before="50" w:after="50"/>
        <w:ind w:firstLine="420" w:firstLineChars="200"/>
        <w:rPr>
          <w:rFonts w:hint="eastAsia" w:hAnsi="宋体"/>
          <w:b w:val="0"/>
          <w:bCs w:val="0"/>
          <w:kern w:val="0"/>
          <w:sz w:val="21"/>
          <w:szCs w:val="21"/>
        </w:rPr>
      </w:pPr>
      <w:r>
        <w:rPr>
          <w:rFonts w:hint="eastAsia" w:hAnsi="宋体"/>
          <w:b w:val="0"/>
          <w:bCs w:val="0"/>
          <w:kern w:val="0"/>
          <w:sz w:val="21"/>
          <w:szCs w:val="21"/>
        </w:rPr>
        <w:t xml:space="preserve">基金托管资格批文及文号：《关于核准财通证券股份有限公司证券投资基金托管资格的批复》（证监许可〔2020〕2829号） </w:t>
      </w:r>
    </w:p>
    <w:p w14:paraId="2DC90B5D">
      <w:pPr>
        <w:pStyle w:val="33"/>
        <w:spacing w:before="50" w:after="50"/>
        <w:ind w:firstLine="420" w:firstLineChars="200"/>
        <w:rPr>
          <w:rFonts w:hint="eastAsia" w:hAnsi="宋体"/>
          <w:b w:val="0"/>
          <w:bCs w:val="0"/>
          <w:kern w:val="0"/>
          <w:sz w:val="21"/>
          <w:szCs w:val="21"/>
        </w:rPr>
      </w:pPr>
      <w:r>
        <w:rPr>
          <w:rFonts w:hint="eastAsia" w:hAnsi="宋体"/>
          <w:b w:val="0"/>
          <w:bCs w:val="0"/>
          <w:kern w:val="0"/>
          <w:sz w:val="21"/>
          <w:szCs w:val="21"/>
        </w:rPr>
        <w:t xml:space="preserve">经营范围：许可项目：证券业务；公募证券投资基金销售；证券投资基金托管。（依法须经批准的项目，经相关部门批准后方可开展经营活动，具体经营项目以相关部门批准文件或许可证件为准） </w:t>
      </w:r>
    </w:p>
    <w:p w14:paraId="2256D975">
      <w:pPr>
        <w:pStyle w:val="33"/>
        <w:spacing w:before="50" w:after="50"/>
        <w:ind w:firstLine="420" w:firstLineChars="200"/>
        <w:rPr>
          <w:rFonts w:hint="eastAsia" w:hAnsi="宋体"/>
          <w:b w:val="0"/>
          <w:bCs w:val="0"/>
          <w:kern w:val="0"/>
          <w:sz w:val="21"/>
          <w:szCs w:val="21"/>
        </w:rPr>
      </w:pPr>
      <w:r>
        <w:rPr>
          <w:rFonts w:hint="eastAsia" w:hAnsi="宋体"/>
          <w:b w:val="0"/>
          <w:bCs w:val="0"/>
          <w:kern w:val="0"/>
          <w:sz w:val="21"/>
          <w:szCs w:val="21"/>
          <w:lang w:eastAsia="zh-CN"/>
        </w:rPr>
        <w:t>（</w:t>
      </w:r>
      <w:r>
        <w:rPr>
          <w:rFonts w:hint="eastAsia" w:hAnsi="宋体"/>
          <w:b w:val="0"/>
          <w:bCs w:val="0"/>
          <w:kern w:val="0"/>
          <w:sz w:val="21"/>
          <w:szCs w:val="21"/>
          <w:lang w:val="en-US" w:eastAsia="zh-CN"/>
        </w:rPr>
        <w:t>2</w:t>
      </w:r>
      <w:r>
        <w:rPr>
          <w:rFonts w:hint="eastAsia" w:hAnsi="宋体"/>
          <w:b w:val="0"/>
          <w:bCs w:val="0"/>
          <w:kern w:val="0"/>
          <w:sz w:val="21"/>
          <w:szCs w:val="21"/>
          <w:lang w:eastAsia="zh-CN"/>
        </w:rPr>
        <w:t>）</w:t>
      </w:r>
      <w:r>
        <w:rPr>
          <w:rFonts w:hint="eastAsia" w:hAnsi="宋体"/>
          <w:b w:val="0"/>
          <w:bCs w:val="0"/>
          <w:kern w:val="0"/>
          <w:sz w:val="21"/>
          <w:szCs w:val="21"/>
        </w:rPr>
        <w:t xml:space="preserve">主要人员情况 </w:t>
      </w:r>
    </w:p>
    <w:p w14:paraId="66743860">
      <w:pPr>
        <w:pStyle w:val="33"/>
        <w:spacing w:before="50" w:after="50"/>
        <w:ind w:firstLine="420" w:firstLineChars="200"/>
        <w:rPr>
          <w:rFonts w:hint="eastAsia" w:hAnsi="宋体"/>
          <w:b w:val="0"/>
          <w:bCs w:val="0"/>
          <w:kern w:val="0"/>
          <w:sz w:val="21"/>
          <w:szCs w:val="21"/>
        </w:rPr>
      </w:pPr>
      <w:r>
        <w:rPr>
          <w:rFonts w:hint="eastAsia" w:hAnsi="宋体"/>
          <w:b w:val="0"/>
          <w:bCs w:val="0"/>
          <w:kern w:val="0"/>
          <w:sz w:val="21"/>
          <w:szCs w:val="21"/>
        </w:rPr>
        <w:t xml:space="preserve">财通证券资产托管部主要人员均具备多年证券、基金、银行等金融机构从业经验，从业经验丰富，具备基金从业资格，熟悉基金托管工作。资产托管部员工学历均在本科以上，专业背景涵盖了金融、会计、统计、计算机等领域，是一支诚实勤勉、积极进取的专业团队。 </w:t>
      </w:r>
    </w:p>
    <w:p w14:paraId="1938D62C">
      <w:pPr>
        <w:pStyle w:val="33"/>
        <w:spacing w:before="50" w:after="50"/>
        <w:ind w:firstLine="422" w:firstLineChars="200"/>
        <w:rPr>
          <w:rFonts w:hint="eastAsia" w:hAnsi="宋体"/>
          <w:b/>
          <w:bCs/>
          <w:kern w:val="0"/>
          <w:sz w:val="21"/>
          <w:szCs w:val="21"/>
        </w:rPr>
      </w:pPr>
      <w:r>
        <w:rPr>
          <w:rFonts w:hint="eastAsia" w:hAnsi="宋体"/>
          <w:b/>
          <w:bCs/>
          <w:kern w:val="0"/>
          <w:sz w:val="21"/>
          <w:szCs w:val="21"/>
          <w:lang w:val="en-US" w:eastAsia="zh-CN"/>
        </w:rPr>
        <w:t>2、</w:t>
      </w:r>
      <w:r>
        <w:rPr>
          <w:rFonts w:hint="eastAsia" w:hAnsi="宋体"/>
          <w:b/>
          <w:bCs/>
          <w:kern w:val="0"/>
          <w:sz w:val="21"/>
          <w:szCs w:val="21"/>
        </w:rPr>
        <w:t>发展概况及财务状况</w:t>
      </w:r>
    </w:p>
    <w:p w14:paraId="4A4F6E30">
      <w:pPr>
        <w:pStyle w:val="33"/>
        <w:spacing w:before="50" w:after="50"/>
        <w:ind w:firstLine="420" w:firstLineChars="200"/>
        <w:rPr>
          <w:rFonts w:hint="eastAsia"/>
          <w:b w:val="0"/>
          <w:bCs/>
          <w:sz w:val="21"/>
          <w:szCs w:val="21"/>
        </w:rPr>
      </w:pPr>
      <w:r>
        <w:rPr>
          <w:rFonts w:hint="eastAsia"/>
          <w:b w:val="0"/>
          <w:bCs/>
          <w:sz w:val="21"/>
          <w:szCs w:val="21"/>
        </w:rPr>
        <w:t>财通证券股份有限公司（以下简称“公司”）是一家总部在杭州的特色型综合型证券控股集团。公司前身为创立于1993年的浙江财政证券公司，2017年10月在上交所挂牌上市（股票代码：601108），为浙江唯一省直属券商。</w:t>
      </w:r>
    </w:p>
    <w:p w14:paraId="34EFAE6C">
      <w:pPr>
        <w:pStyle w:val="33"/>
        <w:spacing w:before="50" w:after="50"/>
        <w:ind w:firstLine="420" w:firstLineChars="200"/>
        <w:rPr>
          <w:rFonts w:hint="eastAsia"/>
          <w:b w:val="0"/>
          <w:bCs/>
          <w:sz w:val="21"/>
          <w:szCs w:val="21"/>
        </w:rPr>
      </w:pPr>
      <w:r>
        <w:rPr>
          <w:rFonts w:hint="eastAsia"/>
          <w:b w:val="0"/>
          <w:bCs/>
          <w:sz w:val="21"/>
          <w:szCs w:val="21"/>
        </w:rPr>
        <w:t>30余年创业发展，公司始终坚持合规稳健、守正创新，抓住管理体制调整和行业创新发展的机遇，从一家区域性的经纪类券商发展成为全牌照、特色化、集团化、国际化发展的上市券商，构建了跨证券、期货、基金、资管、股权投资以及境外金融等业务的全链条、综合化的服务体系，市场竞争力和综合实力快速提升，连续8年获在浙金融机构支持浙江经济社会发展相关奖项。</w:t>
      </w:r>
    </w:p>
    <w:p w14:paraId="2475410B">
      <w:pPr>
        <w:pStyle w:val="33"/>
        <w:spacing w:before="50" w:after="50"/>
        <w:ind w:firstLine="420" w:firstLineChars="200"/>
        <w:rPr>
          <w:rFonts w:hint="eastAsia"/>
          <w:b w:val="0"/>
          <w:bCs/>
          <w:sz w:val="21"/>
          <w:szCs w:val="21"/>
        </w:rPr>
      </w:pPr>
      <w:r>
        <w:rPr>
          <w:rFonts w:hint="eastAsia"/>
          <w:b w:val="0"/>
          <w:bCs/>
          <w:sz w:val="21"/>
          <w:szCs w:val="21"/>
        </w:rPr>
        <w:t>目前，集团有在岗员工6000余人，分支机构210余家，实现业务全国布局，浙江100%全域覆盖。设立北京、上海、重庆、深圳、海南五大业务总部，境外服务延伸至香港、新加坡、伦敦。旗下设财通证券资产管理有限公司、浙江财通资本投资有限公司、财通创新投资有限公司、财通证券（香港）有限公司、永安期货股份有限公司和财通基金管理有限公司6家控（参）股子公司，在各自领域均形成了相应特色和细分优势。截至2026年3月末，公司合并报表总资产1774.24亿元，归属母公司净资产386.23亿元。</w:t>
      </w:r>
    </w:p>
    <w:p w14:paraId="08A01798">
      <w:pPr>
        <w:pStyle w:val="33"/>
        <w:spacing w:before="50" w:after="50"/>
        <w:ind w:firstLine="420" w:firstLineChars="200"/>
        <w:rPr>
          <w:rFonts w:hint="eastAsia"/>
          <w:b w:val="0"/>
          <w:bCs/>
          <w:sz w:val="21"/>
          <w:szCs w:val="21"/>
        </w:rPr>
      </w:pPr>
      <w:r>
        <w:rPr>
          <w:rFonts w:hint="eastAsia"/>
          <w:b w:val="0"/>
          <w:bCs/>
          <w:sz w:val="21"/>
          <w:szCs w:val="21"/>
        </w:rPr>
        <w:t>公司践行以投资者为本的理念，牢记金融服务实体经济的根本宗旨，坚决扛起省属国企的责任担当，紧紧围绕新时期创新发展战略体系，强力推动“投资+投行+财富”三驾马车并驾齐驱，聚力建设“四型财通”，做“浙商浙企自己家的券商”，强力助推“以客户为中心”重塑客户运营体系重大改革，打造一流现代投资银行，为企业高质量发展、产业转型升级、投资者财富保值增值贡献更大的金融力量。</w:t>
      </w:r>
    </w:p>
    <w:p w14:paraId="2C77AC06">
      <w:pPr>
        <w:pStyle w:val="33"/>
        <w:spacing w:before="50" w:after="50"/>
        <w:ind w:firstLine="422" w:firstLineChars="200"/>
        <w:rPr>
          <w:rFonts w:hint="eastAsia"/>
          <w:b/>
          <w:sz w:val="21"/>
          <w:szCs w:val="21"/>
        </w:rPr>
      </w:pPr>
      <w:r>
        <w:rPr>
          <w:rFonts w:hint="eastAsia"/>
          <w:b/>
          <w:sz w:val="21"/>
          <w:szCs w:val="21"/>
          <w:lang w:val="en-US" w:eastAsia="zh-CN"/>
        </w:rPr>
        <w:t>3</w:t>
      </w:r>
      <w:r>
        <w:rPr>
          <w:rFonts w:hint="eastAsia"/>
          <w:b/>
          <w:sz w:val="21"/>
          <w:szCs w:val="21"/>
        </w:rPr>
        <w:t xml:space="preserve">、托管业务部的部门设置及员工情况 </w:t>
      </w:r>
    </w:p>
    <w:p w14:paraId="4E283E2C">
      <w:pPr>
        <w:pStyle w:val="33"/>
        <w:spacing w:before="50" w:after="50"/>
        <w:ind w:firstLine="420" w:firstLineChars="200"/>
        <w:rPr>
          <w:rFonts w:hint="eastAsia"/>
          <w:b w:val="0"/>
          <w:bCs/>
          <w:sz w:val="21"/>
          <w:szCs w:val="21"/>
        </w:rPr>
      </w:pPr>
      <w:r>
        <w:rPr>
          <w:rFonts w:hint="eastAsia"/>
          <w:b w:val="0"/>
          <w:bCs/>
          <w:sz w:val="21"/>
          <w:szCs w:val="21"/>
        </w:rPr>
        <w:t>财通证券下设资产托管部，负责公司资产托管业务的统一管理和运营，内设拓业服务团队、托管业务团队、技术服务团队和业务支持团队，所有员工拥有大学本科以上学历并具有基金从业资格；各团队负责人和业务骨干均具有多年从业经验，专业涵盖金融、财务、IT、审计等多个领域。</w:t>
      </w:r>
    </w:p>
    <w:p w14:paraId="2F43D32F">
      <w:pPr>
        <w:pStyle w:val="33"/>
        <w:widowControl/>
        <w:spacing w:before="50" w:after="50" w:line="360" w:lineRule="auto"/>
        <w:ind w:firstLine="422" w:firstLineChars="200"/>
        <w:jc w:val="left"/>
        <w:rPr>
          <w:rFonts w:hint="eastAsia" w:asciiTheme="minorHAnsi" w:hAnsiTheme="minorHAnsi" w:eastAsiaTheme="minorEastAsia" w:cstheme="minorBidi"/>
          <w:b/>
          <w:kern w:val="2"/>
          <w:sz w:val="21"/>
          <w:szCs w:val="21"/>
        </w:rPr>
      </w:pPr>
      <w:r>
        <w:rPr>
          <w:rFonts w:hint="eastAsia" w:cstheme="minorBidi"/>
          <w:b/>
          <w:color w:val="000000"/>
          <w:kern w:val="2"/>
          <w:sz w:val="21"/>
          <w:szCs w:val="21"/>
          <w:lang w:val="en-US" w:eastAsia="zh-CN"/>
        </w:rPr>
        <w:t>4</w:t>
      </w:r>
      <w:r>
        <w:rPr>
          <w:rFonts w:hint="eastAsia" w:asciiTheme="minorHAnsi" w:hAnsiTheme="minorHAnsi" w:eastAsiaTheme="minorEastAsia" w:cstheme="minorBidi"/>
          <w:b/>
          <w:color w:val="000000"/>
          <w:kern w:val="2"/>
          <w:sz w:val="21"/>
          <w:szCs w:val="21"/>
        </w:rPr>
        <w:t xml:space="preserve">、证券投资基金托管业务经营情况 </w:t>
      </w:r>
    </w:p>
    <w:p w14:paraId="07F45416">
      <w:pPr>
        <w:pStyle w:val="33"/>
        <w:widowControl/>
        <w:spacing w:before="50" w:after="50" w:line="360" w:lineRule="auto"/>
        <w:ind w:firstLine="420" w:firstLineChars="200"/>
        <w:jc w:val="left"/>
        <w:rPr>
          <w:rFonts w:hint="eastAsia" w:asciiTheme="minorHAnsi" w:hAnsiTheme="minorHAnsi" w:eastAsiaTheme="minorEastAsia" w:cstheme="minorBidi"/>
          <w:b w:val="0"/>
          <w:bCs/>
          <w:color w:val="000000"/>
          <w:kern w:val="2"/>
          <w:sz w:val="21"/>
          <w:szCs w:val="21"/>
        </w:rPr>
      </w:pPr>
      <w:r>
        <w:rPr>
          <w:rFonts w:hint="eastAsia" w:asciiTheme="minorHAnsi" w:hAnsiTheme="minorHAnsi" w:eastAsiaTheme="minorEastAsia" w:cstheme="minorBidi"/>
          <w:b w:val="0"/>
          <w:bCs/>
          <w:color w:val="000000"/>
          <w:kern w:val="2"/>
          <w:sz w:val="21"/>
          <w:szCs w:val="21"/>
        </w:rPr>
        <w:t>财通证券于2020年10月30日取得中国证监会核准证券投资基金托管资格。财通证券全面贯彻“合规、诚信、专业、稳健”的行业文化，秉持“稳健经营、协同创新、唯实惟先、善作善成”的经营宗旨，严格履行基金托管人的各项职责，不断加强风险管理和内部控制，确保基金资产的完整性和独立性，切实维护基金份额持有人的合法权益，提供高质量的基金托管服务。</w:t>
      </w:r>
    </w:p>
    <w:p w14:paraId="5520992B">
      <w:pPr>
        <w:pStyle w:val="33"/>
        <w:widowControl/>
        <w:spacing w:before="50" w:after="50" w:line="360" w:lineRule="auto"/>
        <w:ind w:firstLine="420" w:firstLineChars="200"/>
        <w:jc w:val="left"/>
        <w:rPr>
          <w:rFonts w:hint="eastAsia" w:asciiTheme="minorHAnsi" w:hAnsiTheme="minorHAnsi" w:eastAsiaTheme="minorEastAsia" w:cstheme="minorBidi"/>
          <w:b/>
          <w:color w:val="000000"/>
          <w:kern w:val="2"/>
          <w:sz w:val="21"/>
          <w:szCs w:val="21"/>
        </w:rPr>
      </w:pPr>
      <w:r>
        <w:rPr>
          <w:rFonts w:hint="eastAsia" w:asciiTheme="minorHAnsi" w:hAnsiTheme="minorHAnsi" w:eastAsiaTheme="minorEastAsia" w:cstheme="minorBidi"/>
          <w:b w:val="0"/>
          <w:bCs/>
          <w:color w:val="000000"/>
          <w:kern w:val="2"/>
          <w:sz w:val="21"/>
          <w:szCs w:val="21"/>
        </w:rPr>
        <w:t>财通证券与各大金融机构广泛合作，托管产品包括公募基金、资管计划、私募证券投资基金等各类金融产品。</w:t>
      </w:r>
    </w:p>
    <w:p w14:paraId="468443C3">
      <w:pPr>
        <w:pStyle w:val="33"/>
        <w:widowControl/>
        <w:spacing w:before="50" w:after="50" w:line="360" w:lineRule="auto"/>
        <w:ind w:firstLine="422" w:firstLineChars="200"/>
        <w:jc w:val="left"/>
        <w:rPr>
          <w:rFonts w:hint="eastAsia" w:asciiTheme="minorHAnsi" w:hAnsiTheme="minorHAnsi" w:eastAsiaTheme="minorEastAsia" w:cstheme="minorBidi"/>
          <w:b/>
          <w:kern w:val="2"/>
          <w:sz w:val="21"/>
          <w:szCs w:val="21"/>
        </w:rPr>
      </w:pPr>
      <w:r>
        <w:rPr>
          <w:rFonts w:hint="eastAsia" w:cstheme="minorBidi"/>
          <w:b/>
          <w:color w:val="000000"/>
          <w:kern w:val="2"/>
          <w:sz w:val="21"/>
          <w:szCs w:val="21"/>
          <w:lang w:val="en-US" w:eastAsia="zh-CN"/>
        </w:rPr>
        <w:t>5</w:t>
      </w:r>
      <w:r>
        <w:rPr>
          <w:rFonts w:hint="eastAsia" w:asciiTheme="minorHAnsi" w:hAnsiTheme="minorHAnsi" w:eastAsiaTheme="minorEastAsia" w:cstheme="minorBidi"/>
          <w:b/>
          <w:color w:val="000000"/>
          <w:kern w:val="2"/>
          <w:sz w:val="21"/>
          <w:szCs w:val="21"/>
        </w:rPr>
        <w:t xml:space="preserve">、基金托管人内部风险控制制度说明 </w:t>
      </w:r>
    </w:p>
    <w:p w14:paraId="3E780134">
      <w:pPr>
        <w:pStyle w:val="33"/>
        <w:widowControl/>
        <w:spacing w:before="50" w:after="50" w:line="360" w:lineRule="auto"/>
        <w:ind w:firstLine="420" w:firstLineChars="200"/>
        <w:jc w:val="left"/>
        <w:rPr>
          <w:rFonts w:hint="eastAsia" w:asciiTheme="minorHAnsi" w:hAnsiTheme="minorHAnsi" w:eastAsiaTheme="minorEastAsia" w:cstheme="minorBidi"/>
          <w:b/>
          <w:color w:val="000000"/>
          <w:kern w:val="2"/>
          <w:sz w:val="21"/>
          <w:szCs w:val="21"/>
        </w:rPr>
      </w:pPr>
      <w:r>
        <w:rPr>
          <w:rFonts w:hint="eastAsia" w:asciiTheme="minorHAnsi" w:hAnsiTheme="minorHAnsi" w:eastAsiaTheme="minorEastAsia" w:cstheme="minorBidi"/>
          <w:b w:val="0"/>
          <w:bCs/>
          <w:color w:val="000000"/>
          <w:kern w:val="2"/>
          <w:sz w:val="21"/>
          <w:szCs w:val="21"/>
        </w:rPr>
        <w:t>财通证券秉持“敬畏规则，守正持度，专业规范”的合规文化理念，根据有关法律法规和监管部门的规定，制定了完善的基金托管业务内部控制制度，具体包括《资产托管业务管理办法》、《资产托管业务管理实施细则》、《资产托管业务资产保管操作规程》、《资产托管业务清算交收操作规程》、《资产托管业务估值与会计核算操作规程》、《资产托管业务投资监督操作规程》、《资产托管业务信息披露与报告操作规程》、《资产托管业务基金份额持有人大会操作规程》、《资产托管业务系统数据备份操作规程》、《资产托管业务信息系统管理细则》、《资产托管业务内部控制管理细则》、《资产托管业务风险管理细则》、《资产托管业务稽核检查操作规程》、《资产托管业务保密管理细则》、《资产托管业务档案管理细则》、《资产托管业务应急管理细则》、《资产托管业务从业人员管理细则》、《资产托管业务印章管理细则》、《资产托管业务风险准备金管理细则》、</w:t>
      </w:r>
      <w:r>
        <w:rPr>
          <w:rFonts w:hint="eastAsia" w:asciiTheme="minorHAnsi" w:hAnsiTheme="minorHAnsi" w:eastAsiaTheme="minorEastAsia" w:cstheme="minorBidi"/>
          <w:b w:val="0"/>
          <w:bCs/>
          <w:color w:val="000000"/>
          <w:kern w:val="2"/>
          <w:sz w:val="21"/>
          <w:szCs w:val="21"/>
          <w:lang w:eastAsia="zh-CN"/>
        </w:rPr>
        <w:t>《资产托管业务债券质押式回购交易结算业务管理细则》</w:t>
      </w:r>
      <w:r>
        <w:rPr>
          <w:rFonts w:hint="eastAsia" w:asciiTheme="minorHAnsi" w:hAnsiTheme="minorHAnsi" w:eastAsiaTheme="minorEastAsia" w:cstheme="minorBidi"/>
          <w:b w:val="0"/>
          <w:bCs/>
          <w:color w:val="000000"/>
          <w:kern w:val="2"/>
          <w:sz w:val="21"/>
          <w:szCs w:val="21"/>
        </w:rPr>
        <w:t>等，涵盖了基金托管业务的管理规范、资产保管、清算</w:t>
      </w:r>
      <w:r>
        <w:rPr>
          <w:rFonts w:hint="eastAsia" w:asciiTheme="minorHAnsi" w:hAnsiTheme="minorHAnsi" w:eastAsiaTheme="minorEastAsia" w:cstheme="minorBidi"/>
          <w:b w:val="0"/>
          <w:bCs/>
          <w:color w:val="000000"/>
          <w:kern w:val="2"/>
          <w:sz w:val="21"/>
          <w:szCs w:val="21"/>
          <w:lang w:eastAsia="zh-CN"/>
        </w:rPr>
        <w:t>交割</w:t>
      </w:r>
      <w:r>
        <w:rPr>
          <w:rFonts w:hint="eastAsia" w:asciiTheme="minorHAnsi" w:hAnsiTheme="minorHAnsi" w:eastAsiaTheme="minorEastAsia" w:cstheme="minorBidi"/>
          <w:b w:val="0"/>
          <w:bCs/>
          <w:color w:val="000000"/>
          <w:kern w:val="2"/>
          <w:sz w:val="21"/>
          <w:szCs w:val="21"/>
        </w:rPr>
        <w:t>、估值核算、投资监督、信息披露、业务系统管理、内部控制、风险管理、稽核监控、保密和档案管理、应急处理、从业人员管理、风险准备金管理等全部业务环节。</w:t>
      </w:r>
    </w:p>
    <w:p w14:paraId="3FCFF9BB">
      <w:pPr>
        <w:pStyle w:val="33"/>
        <w:widowControl/>
        <w:spacing w:before="50" w:after="50" w:line="360" w:lineRule="auto"/>
        <w:ind w:firstLine="422" w:firstLineChars="200"/>
        <w:jc w:val="left"/>
        <w:rPr>
          <w:rFonts w:hint="eastAsia" w:asciiTheme="minorHAnsi" w:hAnsiTheme="minorHAnsi" w:eastAsiaTheme="minorEastAsia" w:cstheme="minorBidi"/>
          <w:b/>
          <w:color w:val="000000"/>
          <w:kern w:val="2"/>
          <w:sz w:val="21"/>
          <w:szCs w:val="21"/>
        </w:rPr>
      </w:pPr>
      <w:r>
        <w:rPr>
          <w:rFonts w:hint="eastAsia" w:cstheme="minorBidi"/>
          <w:b/>
          <w:color w:val="000000"/>
          <w:kern w:val="2"/>
          <w:sz w:val="21"/>
          <w:szCs w:val="21"/>
          <w:lang w:val="en-US" w:eastAsia="zh-CN"/>
        </w:rPr>
        <w:t>6</w:t>
      </w:r>
      <w:r>
        <w:rPr>
          <w:rFonts w:hint="eastAsia" w:asciiTheme="minorHAnsi" w:hAnsiTheme="minorHAnsi" w:eastAsiaTheme="minorEastAsia" w:cstheme="minorBidi"/>
          <w:b/>
          <w:color w:val="000000"/>
          <w:kern w:val="2"/>
          <w:sz w:val="21"/>
          <w:szCs w:val="21"/>
        </w:rPr>
        <w:t>、基金托管人对基金管理人运作基金进行监督的方法和程序</w:t>
      </w:r>
    </w:p>
    <w:p w14:paraId="0F1E9CD2">
      <w:pPr>
        <w:pStyle w:val="33"/>
        <w:widowControl/>
        <w:spacing w:before="50" w:after="50" w:line="360" w:lineRule="auto"/>
        <w:ind w:firstLine="420" w:firstLineChars="200"/>
        <w:jc w:val="left"/>
        <w:rPr>
          <w:rFonts w:hint="eastAsia" w:asciiTheme="minorHAnsi" w:hAnsiTheme="minorHAnsi" w:eastAsiaTheme="minorEastAsia" w:cstheme="minorBidi"/>
          <w:b w:val="0"/>
          <w:bCs/>
          <w:color w:val="000000"/>
          <w:kern w:val="2"/>
          <w:sz w:val="21"/>
          <w:szCs w:val="21"/>
        </w:rPr>
      </w:pPr>
      <w:r>
        <w:rPr>
          <w:rFonts w:hint="eastAsia" w:asciiTheme="minorHAnsi" w:hAnsiTheme="minorHAnsi" w:eastAsiaTheme="minorEastAsia" w:cstheme="minorBidi"/>
          <w:b w:val="0"/>
          <w:bCs/>
          <w:color w:val="000000"/>
          <w:kern w:val="2"/>
          <w:sz w:val="21"/>
          <w:szCs w:val="21"/>
        </w:rPr>
        <w:t>基金托管人根据《中华人民共和国证券投资基金法》《公开募集证券投资基金运作管理办法》等有关法律法规的规定及基金合同、托管协议的约定，对基金投资范围、投资对象、投资比例、投资禁止行为、基金资产净值计算、各类基金份额净值计算、应收资金到账、基金费用开支及收入确定、基金收益分配、相关信息披露、基金宣传推介材料中登载基金业绩表现数据及管理人参与银行间市场交易、基金投资银行存款和流通受限证券等进行监督和核查。</w:t>
      </w:r>
    </w:p>
    <w:p w14:paraId="205FEE4B">
      <w:pPr>
        <w:pStyle w:val="33"/>
        <w:widowControl/>
        <w:spacing w:before="50" w:after="50" w:line="360" w:lineRule="auto"/>
        <w:ind w:firstLine="420" w:firstLineChars="200"/>
        <w:jc w:val="left"/>
        <w:rPr>
          <w:rFonts w:hint="eastAsia" w:asciiTheme="minorHAnsi" w:hAnsiTheme="minorHAnsi" w:eastAsiaTheme="minorEastAsia" w:cstheme="minorBidi"/>
          <w:b w:val="0"/>
          <w:bCs/>
          <w:color w:val="000000"/>
          <w:kern w:val="2"/>
          <w:sz w:val="21"/>
          <w:szCs w:val="21"/>
        </w:rPr>
      </w:pPr>
      <w:r>
        <w:rPr>
          <w:rFonts w:hint="eastAsia" w:asciiTheme="minorHAnsi" w:hAnsiTheme="minorHAnsi" w:eastAsiaTheme="minorEastAsia" w:cstheme="minorBidi"/>
          <w:b w:val="0"/>
          <w:bCs/>
          <w:color w:val="000000"/>
          <w:kern w:val="2"/>
          <w:sz w:val="21"/>
          <w:szCs w:val="21"/>
        </w:rPr>
        <w:t>如基金托管人发现基金管理人的投资运作违反法律法规、基金合同和托管协议的规定，及时以电话提醒、邮件提醒或书面提示等方式通知基金管理人限期纠正。在限期内，基金托管人有权随时对通知事项进行复查，督促基金管理人改正。基金管理人对基金托管人通知的违规事项未能在限期内纠正的，基金托管人将报告中国证监会。</w:t>
      </w:r>
    </w:p>
    <w:p w14:paraId="783DD291">
      <w:pPr>
        <w:pStyle w:val="33"/>
        <w:widowControl/>
        <w:spacing w:before="50" w:after="50" w:line="360" w:lineRule="auto"/>
        <w:ind w:firstLine="420" w:firstLineChars="200"/>
        <w:jc w:val="left"/>
        <w:rPr>
          <w:rFonts w:hint="eastAsia" w:asciiTheme="minorHAnsi" w:hAnsiTheme="minorHAnsi" w:eastAsiaTheme="minorEastAsia" w:cstheme="minorBidi"/>
          <w:b w:val="0"/>
          <w:bCs/>
          <w:color w:val="000000"/>
          <w:kern w:val="2"/>
          <w:sz w:val="21"/>
          <w:szCs w:val="21"/>
        </w:rPr>
      </w:pPr>
      <w:r>
        <w:rPr>
          <w:rFonts w:hint="eastAsia" w:asciiTheme="minorHAnsi" w:hAnsiTheme="minorHAnsi" w:eastAsiaTheme="minorEastAsia" w:cstheme="minorBidi"/>
          <w:b w:val="0"/>
          <w:bCs/>
          <w:color w:val="000000"/>
          <w:kern w:val="2"/>
          <w:sz w:val="21"/>
          <w:szCs w:val="21"/>
        </w:rPr>
        <w:t>如基金托管人发现基金管理人依据交易程序已经生效的指令违反法律、行政法规和其他有关规定，或者违反基金合同约定的，及时以书面或以双方认可的其他方式通知基金管理人，并及时向中国证监会报告。</w:t>
      </w:r>
    </w:p>
    <w:p w14:paraId="1D0D81B1">
      <w:pPr>
        <w:pStyle w:val="33"/>
        <w:widowControl/>
        <w:spacing w:before="50" w:after="50" w:line="360" w:lineRule="auto"/>
        <w:ind w:firstLine="420" w:firstLineChars="200"/>
        <w:jc w:val="left"/>
        <w:rPr>
          <w:rFonts w:hint="eastAsia" w:asciiTheme="minorHAnsi" w:hAnsiTheme="minorHAnsi" w:eastAsiaTheme="minorEastAsia" w:cstheme="minorBidi"/>
          <w:b w:val="0"/>
          <w:bCs/>
          <w:color w:val="000000"/>
          <w:kern w:val="2"/>
          <w:sz w:val="21"/>
          <w:szCs w:val="21"/>
        </w:rPr>
      </w:pPr>
      <w:r>
        <w:rPr>
          <w:rFonts w:hint="eastAsia" w:asciiTheme="minorHAnsi" w:hAnsiTheme="minorHAnsi" w:eastAsiaTheme="minorEastAsia" w:cstheme="minorBidi"/>
          <w:b w:val="0"/>
          <w:bCs/>
          <w:color w:val="000000"/>
          <w:kern w:val="2"/>
          <w:sz w:val="21"/>
          <w:szCs w:val="21"/>
        </w:rPr>
        <w:t>如基金托管人发现基金管理人有重大违规行为或违规事项，及时报告中国证监会，同时通知基金管理人限期纠正，并将纠正结果报告中国证监会。基金管理人无正当理由，拒绝、阻挠基金托管人按规定行使监督权，或采取拖延、欺诈等手段妨碍对方进行有效监督，情节严重或经基金托管人提出警告仍不改正的，基金托管人将报告中国证监会。</w:t>
      </w:r>
    </w:p>
    <w:p w14:paraId="7E346B7B">
      <w:pPr>
        <w:pStyle w:val="33"/>
        <w:spacing w:before="50" w:beforeAutospacing="0" w:after="50" w:afterAutospacing="0"/>
        <w:ind w:firstLine="420" w:firstLineChars="200"/>
        <w:rPr>
          <w:sz w:val="21"/>
          <w:szCs w:val="21"/>
          <w:highlight w:val="none"/>
        </w:rPr>
      </w:pPr>
      <w:r>
        <w:rPr>
          <w:rFonts w:hint="eastAsia"/>
          <w:sz w:val="21"/>
          <w:szCs w:val="21"/>
          <w:highlight w:val="none"/>
        </w:rPr>
        <w:t xml:space="preserve">（三）上市推荐人 </w:t>
      </w:r>
    </w:p>
    <w:p w14:paraId="66587084">
      <w:pPr>
        <w:pStyle w:val="9"/>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lang w:val="en-US" w:eastAsia="zh-CN"/>
        </w:rPr>
        <w:t>华泰证券股份有限公司</w:t>
      </w:r>
    </w:p>
    <w:p w14:paraId="63251E9C">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（四）一级交易商 </w:t>
      </w:r>
    </w:p>
    <w:p w14:paraId="1140D552">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目前，本基金一级交易商名单如下：</w:t>
      </w:r>
    </w:p>
    <w:p w14:paraId="23291968">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长城证券股份有限公司、财达证券股份有限公司、财通证券股份有限公司、德邦证券股份有限公司、东北证券股份有限公司、东方财富证券股份有限公司、东莞证券股份有限公司、东海证券股份有限公司、东吴证券股份有限公司、东兴证券股份有限公司、方正证券股份有限公司、广发证券股份有限公司、国海证券股份有限公司、国金证券股份有限公司、国盛证券股份有限公司、国泰海通证券股份有限公司、国投证券股份有限公司、国新证券股份有限公司、国信证券股份有限公司、华宝证券股份有限公司、华创证券有限责任公司、华福证券股份有限公司、华泰证券股份有限公司、华西证券股份有限公司、华鑫证券有限责任公司、江海证券有限公司、联储证券股份有限公司、瑞银证券有限责任公司、山西证券股份有限公司、申万宏源西部证券有限公司、申万宏源证券有限公司、世纪证券有限责任公司、万和证券股份有限公司、西部证券股份有限公司、西南证券股份有限公司、湘财证券股份有限公司、兴业证券股份有限公司、招商证券股份有限公司、浙商证券股份有限公司、中国国际金融股份有限公司、中国银河证券股份有限公司、中国中金财富证券有限公司、中泰证券股份有限公司、中信建投证券股份有限公司、中信证券（山东）有限责任公司、中信证券股份有限公司、中信证券华南股份有限公司。</w:t>
      </w:r>
    </w:p>
    <w:p w14:paraId="35E2F43A">
      <w:pPr>
        <w:pStyle w:val="9"/>
        <w:spacing w:before="0" w:beforeAutospacing="0" w:after="0" w:afterAutospacing="0" w:line="360" w:lineRule="auto"/>
        <w:ind w:firstLine="420"/>
        <w:rPr>
          <w:sz w:val="21"/>
          <w:szCs w:val="21"/>
          <w:highlight w:val="none"/>
        </w:rPr>
      </w:pPr>
      <w:r>
        <w:rPr>
          <w:rFonts w:hint="eastAsia"/>
          <w:sz w:val="21"/>
          <w:szCs w:val="21"/>
          <w:highlight w:val="none"/>
        </w:rPr>
        <w:t>（五）基金验资机构</w:t>
      </w:r>
    </w:p>
    <w:p w14:paraId="72D59679">
      <w:pPr>
        <w:snapToGrid w:val="0"/>
        <w:spacing w:line="360" w:lineRule="auto"/>
        <w:ind w:firstLine="420" w:firstLineChars="200"/>
        <w:rPr>
          <w:rFonts w:hint="eastAsia" w:ascii="宋体" w:hAnsi="宋体" w:cs="Arial"/>
          <w:kern w:val="0"/>
        </w:rPr>
      </w:pPr>
      <w:bookmarkStart w:id="32" w:name="field_0_accountingcompanyinfo_1_start"/>
      <w:bookmarkEnd w:id="32"/>
      <w:bookmarkStart w:id="33" w:name="chapter_level1_6_56148"/>
      <w:r>
        <w:rPr>
          <w:rFonts w:hint="eastAsia" w:ascii="宋体" w:hAnsi="宋体" w:cs="Arial"/>
          <w:kern w:val="0"/>
        </w:rPr>
        <w:t>名称：安永华明会计师事务所（特殊普通合伙）</w:t>
      </w:r>
    </w:p>
    <w:p w14:paraId="7349737F">
      <w:pPr>
        <w:snapToGrid w:val="0"/>
        <w:spacing w:line="360" w:lineRule="auto"/>
        <w:ind w:firstLine="420" w:firstLineChars="200"/>
        <w:rPr>
          <w:rFonts w:hint="eastAsia" w:ascii="宋体" w:hAnsi="宋体" w:cs="Arial"/>
          <w:kern w:val="0"/>
        </w:rPr>
      </w:pPr>
      <w:r>
        <w:rPr>
          <w:rFonts w:hint="eastAsia" w:ascii="宋体" w:hAnsi="宋体" w:cs="Arial"/>
          <w:kern w:val="0"/>
        </w:rPr>
        <w:t>住所：北京市东城区东长安街1号东方广场安永大楼17层01-12室</w:t>
      </w:r>
    </w:p>
    <w:p w14:paraId="5AD6E884">
      <w:pPr>
        <w:snapToGrid w:val="0"/>
        <w:spacing w:line="360" w:lineRule="auto"/>
        <w:ind w:firstLine="420" w:firstLineChars="200"/>
        <w:rPr>
          <w:rFonts w:hint="eastAsia" w:ascii="宋体" w:hAnsi="宋体" w:cs="Arial"/>
          <w:kern w:val="0"/>
        </w:rPr>
      </w:pPr>
      <w:r>
        <w:rPr>
          <w:rFonts w:hint="eastAsia" w:ascii="宋体" w:hAnsi="宋体" w:cs="Arial"/>
          <w:kern w:val="0"/>
        </w:rPr>
        <w:t>办公地址：北京市东城区东长安街1号东方广场安永大楼17层01-12室</w:t>
      </w:r>
    </w:p>
    <w:p w14:paraId="3D69D3C9">
      <w:pPr>
        <w:snapToGrid w:val="0"/>
        <w:spacing w:line="360" w:lineRule="auto"/>
        <w:ind w:firstLine="420" w:firstLineChars="200"/>
        <w:rPr>
          <w:rFonts w:hint="eastAsia" w:ascii="宋体" w:hAnsi="宋体" w:cs="Arial"/>
          <w:kern w:val="0"/>
        </w:rPr>
      </w:pPr>
      <w:r>
        <w:rPr>
          <w:rFonts w:hint="eastAsia" w:ascii="宋体" w:hAnsi="宋体" w:cs="Arial"/>
          <w:kern w:val="0"/>
        </w:rPr>
        <w:t>执行事务合伙人：毛鞍宁</w:t>
      </w:r>
    </w:p>
    <w:p w14:paraId="570A2082">
      <w:pPr>
        <w:snapToGrid w:val="0"/>
        <w:spacing w:line="360" w:lineRule="auto"/>
        <w:ind w:firstLine="420" w:firstLineChars="200"/>
        <w:rPr>
          <w:rFonts w:hint="eastAsia" w:ascii="宋体" w:hAnsi="宋体" w:cs="Arial"/>
          <w:kern w:val="0"/>
        </w:rPr>
      </w:pPr>
      <w:r>
        <w:rPr>
          <w:rFonts w:hint="eastAsia" w:ascii="宋体" w:hAnsi="宋体" w:cs="Arial"/>
          <w:kern w:val="0"/>
        </w:rPr>
        <w:t>联系电话：（010）58153000</w:t>
      </w:r>
    </w:p>
    <w:p w14:paraId="488CAE3A">
      <w:pPr>
        <w:snapToGrid w:val="0"/>
        <w:spacing w:line="360" w:lineRule="auto"/>
        <w:ind w:firstLine="420" w:firstLineChars="200"/>
        <w:rPr>
          <w:rFonts w:hint="eastAsia" w:ascii="宋体" w:hAnsi="宋体" w:cs="Arial"/>
          <w:kern w:val="0"/>
        </w:rPr>
      </w:pPr>
      <w:r>
        <w:rPr>
          <w:rFonts w:hint="eastAsia" w:ascii="宋体" w:hAnsi="宋体" w:cs="Arial"/>
          <w:kern w:val="0"/>
        </w:rPr>
        <w:t>传真电话：（010）85188298</w:t>
      </w:r>
    </w:p>
    <w:p w14:paraId="454E1ECD">
      <w:pPr>
        <w:snapToGrid w:val="0"/>
        <w:spacing w:line="360" w:lineRule="auto"/>
        <w:ind w:firstLine="420" w:firstLineChars="200"/>
        <w:rPr>
          <w:rFonts w:hint="eastAsia" w:ascii="宋体" w:hAnsi="宋体" w:cs="Arial"/>
          <w:kern w:val="0"/>
        </w:rPr>
      </w:pPr>
      <w:r>
        <w:rPr>
          <w:rFonts w:hint="eastAsia" w:ascii="宋体" w:hAnsi="宋体" w:cs="Arial"/>
          <w:kern w:val="0"/>
        </w:rPr>
        <w:t>经办注册会计师：高鹤、楼坚、王海彦</w:t>
      </w:r>
    </w:p>
    <w:p w14:paraId="60227059">
      <w:pPr>
        <w:snapToGrid w:val="0"/>
        <w:spacing w:line="360" w:lineRule="auto"/>
        <w:ind w:firstLine="420" w:firstLineChars="200"/>
        <w:rPr>
          <w:rFonts w:hint="eastAsia" w:ascii="宋体" w:hAnsi="宋体" w:cs="Arial"/>
          <w:kern w:val="0"/>
        </w:rPr>
      </w:pPr>
      <w:r>
        <w:rPr>
          <w:rFonts w:hint="eastAsia" w:ascii="宋体" w:hAnsi="宋体" w:cs="Arial"/>
          <w:kern w:val="0"/>
        </w:rPr>
        <w:t>联系人：王海彦</w:t>
      </w:r>
    </w:p>
    <w:p w14:paraId="3670CA33">
      <w:pPr>
        <w:snapToGrid w:val="0"/>
        <w:spacing w:line="360" w:lineRule="auto"/>
        <w:ind w:firstLine="420" w:firstLineChars="200"/>
        <w:rPr>
          <w:rFonts w:hint="eastAsia" w:ascii="宋体" w:hAnsi="宋体" w:cs="Arial"/>
          <w:kern w:val="0"/>
        </w:rPr>
        <w:sectPr>
          <w:pgSz w:w="11906" w:h="16838"/>
          <w:pgMar w:top="1440" w:right="1803" w:bottom="1440" w:left="1803" w:header="851" w:footer="992" w:gutter="0"/>
          <w:pgNumType w:fmt="decimal"/>
          <w:cols w:space="425" w:num="1"/>
          <w:docGrid w:type="lines" w:linePitch="312" w:charSpace="0"/>
        </w:sectPr>
      </w:pPr>
    </w:p>
    <w:p w14:paraId="31726ABC">
      <w:pPr>
        <w:pStyle w:val="2"/>
        <w:jc w:val="center"/>
        <w:rPr>
          <w:rFonts w:ascii="宋体" w:hAnsi="宋体" w:eastAsia="宋体"/>
          <w:sz w:val="30"/>
          <w:highlight w:val="none"/>
        </w:rPr>
      </w:pPr>
      <w:bookmarkStart w:id="34" w:name="_Toc20861"/>
      <w:r>
        <w:rPr>
          <w:rFonts w:hint="eastAsia" w:ascii="宋体" w:hAnsi="宋体" w:eastAsia="宋体"/>
          <w:sz w:val="30"/>
          <w:highlight w:val="none"/>
        </w:rPr>
        <w:t>六、基金合同摘要</w:t>
      </w:r>
      <w:bookmarkEnd w:id="33"/>
      <w:bookmarkEnd w:id="34"/>
    </w:p>
    <w:p w14:paraId="5439FCF2">
      <w:pPr>
        <w:ind w:firstLine="420" w:firstLineChars="0"/>
        <w:rPr>
          <w:rFonts w:ascii="宋体" w:hAnsi="宋体" w:eastAsia="宋体"/>
          <w:highlight w:val="none"/>
        </w:rPr>
      </w:pPr>
      <w:bookmarkStart w:id="35" w:name="chapter_level1_6_56148_section_1"/>
      <w:bookmarkEnd w:id="35"/>
      <w:bookmarkStart w:id="36" w:name="chapter_level1_6_56148_section_1_end"/>
      <w:bookmarkEnd w:id="36"/>
      <w:r>
        <w:rPr>
          <w:rFonts w:ascii="宋体" w:hAnsi="宋体" w:eastAsia="宋体"/>
          <w:highlight w:val="none"/>
        </w:rPr>
        <w:t>基金合同的内容摘要见附件：基金合同摘要。</w:t>
      </w:r>
    </w:p>
    <w:p w14:paraId="1615335E">
      <w:pPr>
        <w:rPr>
          <w:rFonts w:ascii="宋体" w:hAnsi="宋体" w:eastAsia="宋体"/>
          <w:highlight w:val="none"/>
        </w:rPr>
        <w:sectPr>
          <w:pgSz w:w="11906" w:h="16838"/>
          <w:pgMar w:top="1440" w:right="1803" w:bottom="1440" w:left="1803" w:header="851" w:footer="992" w:gutter="0"/>
          <w:pgNumType w:fmt="decimal"/>
          <w:cols w:space="425" w:num="1"/>
          <w:docGrid w:type="lines" w:linePitch="312" w:charSpace="0"/>
        </w:sectPr>
      </w:pPr>
    </w:p>
    <w:p w14:paraId="09F688BD">
      <w:pPr>
        <w:pStyle w:val="2"/>
        <w:jc w:val="center"/>
        <w:rPr>
          <w:rFonts w:ascii="宋体" w:hAnsi="宋体" w:eastAsia="宋体"/>
          <w:sz w:val="30"/>
          <w:highlight w:val="none"/>
        </w:rPr>
      </w:pPr>
      <w:bookmarkStart w:id="37" w:name="chapter_level1_7_56149"/>
      <w:bookmarkStart w:id="38" w:name="_Toc25489"/>
      <w:r>
        <w:rPr>
          <w:rFonts w:hint="eastAsia" w:ascii="宋体" w:hAnsi="宋体" w:eastAsia="宋体"/>
          <w:sz w:val="30"/>
          <w:highlight w:val="none"/>
        </w:rPr>
        <w:t>七、基金财务状况</w:t>
      </w:r>
      <w:bookmarkEnd w:id="37"/>
      <w:bookmarkEnd w:id="38"/>
    </w:p>
    <w:p w14:paraId="26DD2CC0">
      <w:pPr>
        <w:pStyle w:val="9"/>
        <w:spacing w:before="0" w:beforeAutospacing="0" w:after="0" w:afterAutospacing="0" w:line="360" w:lineRule="auto"/>
        <w:ind w:firstLine="420"/>
        <w:rPr>
          <w:rFonts w:ascii="Times New Roman" w:hAnsi="Times New Roman" w:cs="Times New Roman"/>
          <w:sz w:val="21"/>
          <w:szCs w:val="21"/>
          <w:highlight w:val="none"/>
        </w:rPr>
      </w:pPr>
      <w:bookmarkStart w:id="39" w:name="chapter_level1_7_56149_section_1"/>
      <w:bookmarkEnd w:id="39"/>
      <w:bookmarkStart w:id="40" w:name="chapter_level1_8_56150"/>
      <w:bookmarkStart w:id="41" w:name="_Toc23786"/>
      <w:r>
        <w:rPr>
          <w:rFonts w:ascii="Times New Roman" w:hAnsi="Times New Roman" w:cs="Times New Roman"/>
          <w:sz w:val="21"/>
          <w:szCs w:val="21"/>
          <w:highlight w:val="none"/>
        </w:rPr>
        <w:t xml:space="preserve">（一）基金募集期间费用 </w:t>
      </w:r>
    </w:p>
    <w:p w14:paraId="7A023E62">
      <w:pPr>
        <w:pStyle w:val="9"/>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基金合同生效前所发生的信息披露费、律师费和会计师费以及其他费用不从基金财产中支付。 </w:t>
      </w:r>
    </w:p>
    <w:p w14:paraId="0F3D98BB">
      <w:pPr>
        <w:pStyle w:val="9"/>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（二）基金上市前重要财务事项 </w:t>
      </w:r>
    </w:p>
    <w:p w14:paraId="0BF982A6">
      <w:pPr>
        <w:pStyle w:val="9"/>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本基金发售后至上市交易公告书公告前无重要财务事项发生。 </w:t>
      </w:r>
    </w:p>
    <w:p w14:paraId="0CEB81AA">
      <w:pPr>
        <w:pStyle w:val="9"/>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（三）基金资产负债表 </w:t>
      </w:r>
    </w:p>
    <w:p w14:paraId="6145898C">
      <w:pPr>
        <w:pStyle w:val="9"/>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截至公告前两个工</w:t>
      </w:r>
      <w:r>
        <w:rPr>
          <w:rFonts w:hint="eastAsia" w:ascii="宋体" w:hAnsi="宋体" w:eastAsia="宋体" w:cs="宋体"/>
          <w:sz w:val="21"/>
          <w:szCs w:val="21"/>
          <w:highlight w:val="none"/>
        </w:rPr>
        <w:t>作日即</w:t>
      </w:r>
      <w:r>
        <w:rPr>
          <w:rFonts w:hint="eastAsia" w:cs="宋体"/>
          <w:sz w:val="21"/>
          <w:szCs w:val="21"/>
          <w:highlight w:val="none"/>
          <w:lang w:eastAsia="zh-CN"/>
        </w:rPr>
        <w:t>2026年11月4日</w:t>
      </w:r>
      <w:r>
        <w:rPr>
          <w:rFonts w:hint="eastAsia" w:ascii="宋体" w:hAnsi="宋体" w:eastAsia="宋体" w:cs="宋体"/>
          <w:sz w:val="21"/>
          <w:szCs w:val="21"/>
          <w:highlight w:val="none"/>
        </w:rPr>
        <w:t>，本</w:t>
      </w:r>
      <w:r>
        <w:rPr>
          <w:rFonts w:ascii="Times New Roman" w:hAnsi="Times New Roman" w:cs="Times New Roman"/>
          <w:sz w:val="21"/>
          <w:szCs w:val="21"/>
          <w:highlight w:val="none"/>
        </w:rPr>
        <w:t>基金的资产</w:t>
      </w:r>
      <w:bookmarkStart w:id="42" w:name="chapter_level1_7_56149_section_1_end"/>
      <w:bookmarkEnd w:id="42"/>
      <w:r>
        <w:rPr>
          <w:rFonts w:ascii="Times New Roman" w:hAnsi="Times New Roman" w:cs="Times New Roman"/>
          <w:sz w:val="21"/>
          <w:szCs w:val="21"/>
          <w:highlight w:val="none"/>
        </w:rPr>
        <w:t>负债表如下（未经审计）：</w:t>
      </w:r>
    </w:p>
    <w:p w14:paraId="6D104992">
      <w:pPr>
        <w:adjustRightInd w:val="0"/>
        <w:snapToGrid w:val="0"/>
        <w:spacing w:line="360" w:lineRule="auto"/>
        <w:ind w:firstLine="371" w:firstLineChars="177"/>
        <w:jc w:val="right"/>
        <w:rPr>
          <w:rFonts w:ascii="Times New Roman" w:hAnsi="Times New Roman" w:cs="Times New Roman"/>
          <w:kern w:val="0"/>
          <w:szCs w:val="21"/>
          <w:highlight w:val="none"/>
        </w:rPr>
      </w:pPr>
      <w:r>
        <w:rPr>
          <w:rFonts w:ascii="Times New Roman" w:hAnsi="Times New Roman" w:cs="Times New Roman"/>
          <w:kern w:val="0"/>
          <w:szCs w:val="21"/>
          <w:highlight w:val="none"/>
        </w:rPr>
        <w:t>单位：人民币元</w:t>
      </w:r>
    </w:p>
    <w:tbl>
      <w:tblPr>
        <w:tblStyle w:val="11"/>
        <w:tblW w:w="5000" w:type="pct"/>
        <w:tblInd w:w="0" w:type="dxa"/>
        <w:tblLayout w:type="autofit"/>
        <w:tblCellMar>
          <w:top w:w="0" w:type="dxa"/>
          <w:left w:w="108" w:type="dxa"/>
          <w:bottom w:w="0" w:type="dxa"/>
          <w:right w:w="108" w:type="dxa"/>
        </w:tblCellMar>
      </w:tblPr>
      <w:tblGrid>
        <w:gridCol w:w="3957"/>
        <w:gridCol w:w="4559"/>
      </w:tblGrid>
      <w:tr w14:paraId="7C18F288">
        <w:tblPrEx>
          <w:tblCellMar>
            <w:top w:w="0" w:type="dxa"/>
            <w:left w:w="108" w:type="dxa"/>
            <w:bottom w:w="0" w:type="dxa"/>
            <w:right w:w="108" w:type="dxa"/>
          </w:tblCellMar>
        </w:tblPrEx>
        <w:trPr>
          <w:trHeight w:val="300" w:hRule="atLeast"/>
        </w:trPr>
        <w:tc>
          <w:tcPr>
            <w:tcW w:w="2323" w:type="pct"/>
            <w:vMerge w:val="restart"/>
            <w:tcBorders>
              <w:top w:val="single" w:color="auto" w:sz="8" w:space="0"/>
              <w:left w:val="single" w:color="auto" w:sz="8" w:space="0"/>
              <w:bottom w:val="single" w:color="auto" w:sz="8" w:space="0"/>
              <w:right w:val="single" w:color="auto" w:sz="8" w:space="0"/>
            </w:tcBorders>
            <w:shd w:val="clear" w:color="auto" w:fill="auto"/>
            <w:vAlign w:val="center"/>
          </w:tcPr>
          <w:p w14:paraId="3E59899B">
            <w:pPr>
              <w:widowControl/>
              <w:snapToGrid w:val="0"/>
              <w:spacing w:line="360" w:lineRule="auto"/>
              <w:ind w:firstLine="371" w:firstLineChars="177"/>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资 产</w:t>
            </w:r>
          </w:p>
        </w:tc>
        <w:tc>
          <w:tcPr>
            <w:tcW w:w="2676" w:type="pct"/>
            <w:tcBorders>
              <w:top w:val="single" w:color="auto" w:sz="8" w:space="0"/>
              <w:left w:val="nil"/>
              <w:bottom w:val="single" w:color="auto" w:sz="8" w:space="0"/>
              <w:right w:val="single" w:color="auto" w:sz="8" w:space="0"/>
            </w:tcBorders>
            <w:shd w:val="clear" w:color="auto" w:fill="auto"/>
            <w:vAlign w:val="center"/>
          </w:tcPr>
          <w:p w14:paraId="3C99C299">
            <w:pPr>
              <w:widowControl/>
              <w:snapToGrid w:val="0"/>
              <w:spacing w:line="360" w:lineRule="auto"/>
              <w:ind w:firstLine="371" w:firstLineChars="177"/>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本报告期末</w:t>
            </w:r>
          </w:p>
        </w:tc>
      </w:tr>
      <w:tr w14:paraId="671ED785">
        <w:tblPrEx>
          <w:tblCellMar>
            <w:top w:w="0" w:type="dxa"/>
            <w:left w:w="108" w:type="dxa"/>
            <w:bottom w:w="0" w:type="dxa"/>
            <w:right w:w="108" w:type="dxa"/>
          </w:tblCellMar>
        </w:tblPrEx>
        <w:trPr>
          <w:trHeight w:val="300" w:hRule="atLeast"/>
        </w:trPr>
        <w:tc>
          <w:tcPr>
            <w:tcW w:w="2323" w:type="pct"/>
            <w:vMerge w:val="continue"/>
            <w:tcBorders>
              <w:top w:val="single" w:color="auto" w:sz="8" w:space="0"/>
              <w:left w:val="single" w:color="auto" w:sz="8" w:space="0"/>
              <w:bottom w:val="single" w:color="auto" w:sz="8" w:space="0"/>
              <w:right w:val="single" w:color="auto" w:sz="8" w:space="0"/>
            </w:tcBorders>
            <w:vAlign w:val="center"/>
          </w:tcPr>
          <w:p w14:paraId="041B9397">
            <w:pPr>
              <w:widowControl/>
              <w:snapToGrid w:val="0"/>
              <w:spacing w:line="360" w:lineRule="auto"/>
              <w:ind w:firstLine="371" w:firstLineChars="177"/>
              <w:jc w:val="center"/>
              <w:rPr>
                <w:rFonts w:ascii="Times New Roman" w:hAnsi="Times New Roman" w:cs="Times New Roman"/>
                <w:color w:val="000000"/>
                <w:kern w:val="0"/>
                <w:szCs w:val="21"/>
                <w:highlight w:val="none"/>
              </w:rPr>
            </w:pPr>
          </w:p>
        </w:tc>
        <w:tc>
          <w:tcPr>
            <w:tcW w:w="2676" w:type="pct"/>
            <w:tcBorders>
              <w:top w:val="nil"/>
              <w:left w:val="nil"/>
              <w:bottom w:val="single" w:color="auto" w:sz="8" w:space="0"/>
              <w:right w:val="single" w:color="auto" w:sz="8" w:space="0"/>
            </w:tcBorders>
            <w:shd w:val="clear" w:color="auto" w:fill="auto"/>
            <w:vAlign w:val="center"/>
          </w:tcPr>
          <w:p w14:paraId="3017215C">
            <w:pPr>
              <w:widowControl/>
              <w:snapToGrid w:val="0"/>
              <w:spacing w:line="360" w:lineRule="auto"/>
              <w:ind w:firstLine="371" w:firstLineChars="177"/>
              <w:jc w:val="center"/>
              <w:rPr>
                <w:rFonts w:hint="eastAsia" w:ascii="Times New Roman" w:hAnsi="Times New Roman" w:cs="Times New Roman" w:eastAsiaTheme="minorEastAsia"/>
                <w:color w:val="000000"/>
                <w:kern w:val="0"/>
                <w:szCs w:val="21"/>
                <w:highlight w:val="none"/>
                <w:lang w:eastAsia="zh-CN"/>
              </w:rPr>
            </w:pPr>
            <w:r>
              <w:rPr>
                <w:rFonts w:hint="eastAsia" w:ascii="Times New Roman" w:hAnsi="Times New Roman" w:cs="Times New Roman"/>
                <w:szCs w:val="21"/>
                <w:highlight w:val="none"/>
                <w:lang w:eastAsia="zh-CN"/>
              </w:rPr>
              <w:t>2026年11月4日</w:t>
            </w:r>
          </w:p>
        </w:tc>
      </w:tr>
      <w:tr w14:paraId="489BA6D9">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7E9AAA9B">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资 产：</w:t>
            </w:r>
          </w:p>
        </w:tc>
        <w:tc>
          <w:tcPr>
            <w:tcW w:w="2676" w:type="pct"/>
            <w:tcBorders>
              <w:top w:val="nil"/>
              <w:left w:val="nil"/>
              <w:bottom w:val="single" w:color="auto" w:sz="8" w:space="0"/>
              <w:right w:val="single" w:color="auto" w:sz="8" w:space="0"/>
            </w:tcBorders>
            <w:shd w:val="clear" w:color="auto" w:fill="auto"/>
            <w:vAlign w:val="center"/>
          </w:tcPr>
          <w:p w14:paraId="1B3AE561">
            <w:pPr>
              <w:widowControl/>
              <w:snapToGrid w:val="0"/>
              <w:spacing w:line="360" w:lineRule="auto"/>
              <w:ind w:firstLine="371" w:firstLineChars="177"/>
              <w:jc w:val="right"/>
              <w:rPr>
                <w:rFonts w:ascii="Times New Roman" w:hAnsi="Times New Roman" w:cs="Times New Roman"/>
                <w:color w:val="000000"/>
                <w:kern w:val="0"/>
                <w:szCs w:val="21"/>
                <w:highlight w:val="none"/>
              </w:rPr>
            </w:pPr>
          </w:p>
        </w:tc>
      </w:tr>
      <w:tr w14:paraId="3A6E43CF">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06779C75">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银行存款</w:t>
            </w:r>
          </w:p>
        </w:tc>
        <w:tc>
          <w:tcPr>
            <w:tcW w:w="2676" w:type="pct"/>
            <w:tcBorders>
              <w:top w:val="nil"/>
              <w:left w:val="nil"/>
              <w:bottom w:val="single" w:color="auto" w:sz="8" w:space="0"/>
              <w:right w:val="single" w:color="auto" w:sz="8" w:space="0"/>
            </w:tcBorders>
            <w:shd w:val="clear" w:color="auto" w:fill="auto"/>
            <w:vAlign w:val="top"/>
          </w:tcPr>
          <w:p w14:paraId="6817310F">
            <w:pPr>
              <w:jc w:val="right"/>
              <w:rPr>
                <w:rFonts w:hint="eastAsia" w:ascii="宋体" w:hAnsi="宋体" w:eastAsia="宋体" w:cs="宋体"/>
                <w:highlight w:val="none"/>
              </w:rPr>
            </w:pPr>
            <w:r>
              <w:rPr>
                <w:rFonts w:hint="eastAsia" w:ascii="宋体" w:hAnsi="宋体" w:eastAsia="宋体" w:cs="宋体"/>
                <w:highlight w:val="none"/>
                <w:lang w:val="en-US" w:eastAsia="zh-CN"/>
              </w:rPr>
              <w:t>11,617,235.68</w:t>
            </w:r>
          </w:p>
        </w:tc>
      </w:tr>
      <w:tr w14:paraId="7E5B7F39">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008A453F">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结算备付金</w:t>
            </w:r>
          </w:p>
        </w:tc>
        <w:tc>
          <w:tcPr>
            <w:tcW w:w="2676" w:type="pct"/>
            <w:tcBorders>
              <w:top w:val="nil"/>
              <w:left w:val="nil"/>
              <w:bottom w:val="single" w:color="auto" w:sz="8" w:space="0"/>
              <w:right w:val="single" w:color="auto" w:sz="8" w:space="0"/>
            </w:tcBorders>
            <w:shd w:val="clear" w:color="auto" w:fill="auto"/>
            <w:vAlign w:val="top"/>
          </w:tcPr>
          <w:p w14:paraId="6B022958">
            <w:pPr>
              <w:jc w:val="right"/>
              <w:rPr>
                <w:rFonts w:hint="eastAsia" w:ascii="宋体" w:hAnsi="宋体" w:eastAsia="宋体" w:cs="宋体"/>
                <w:highlight w:val="none"/>
              </w:rPr>
            </w:pPr>
            <w:r>
              <w:rPr>
                <w:rFonts w:hint="eastAsia" w:ascii="宋体" w:hAnsi="宋体" w:eastAsia="宋体" w:cs="宋体"/>
                <w:highlight w:val="none"/>
                <w:lang w:val="en-US" w:eastAsia="zh-CN"/>
              </w:rPr>
              <w:t>121,058,332.16</w:t>
            </w:r>
          </w:p>
        </w:tc>
      </w:tr>
      <w:tr w14:paraId="53EA6A68">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15C7B95B">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存出保证金</w:t>
            </w:r>
          </w:p>
        </w:tc>
        <w:tc>
          <w:tcPr>
            <w:tcW w:w="2676" w:type="pct"/>
            <w:tcBorders>
              <w:top w:val="nil"/>
              <w:left w:val="nil"/>
              <w:bottom w:val="single" w:color="auto" w:sz="8" w:space="0"/>
              <w:right w:val="single" w:color="auto" w:sz="8" w:space="0"/>
            </w:tcBorders>
            <w:shd w:val="clear" w:color="auto" w:fill="auto"/>
            <w:vAlign w:val="top"/>
          </w:tcPr>
          <w:p w14:paraId="5923D66F">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40914916">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19C511D">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交易性金融资产</w:t>
            </w:r>
          </w:p>
        </w:tc>
        <w:tc>
          <w:tcPr>
            <w:tcW w:w="2676" w:type="pct"/>
            <w:tcBorders>
              <w:top w:val="nil"/>
              <w:left w:val="nil"/>
              <w:bottom w:val="single" w:color="auto" w:sz="8" w:space="0"/>
              <w:right w:val="single" w:color="auto" w:sz="8" w:space="0"/>
            </w:tcBorders>
            <w:shd w:val="clear" w:color="auto" w:fill="auto"/>
            <w:vAlign w:val="top"/>
          </w:tcPr>
          <w:p w14:paraId="35501455">
            <w:pPr>
              <w:jc w:val="right"/>
              <w:rPr>
                <w:rFonts w:hint="eastAsia" w:ascii="宋体" w:hAnsi="宋体" w:eastAsia="宋体" w:cs="宋体"/>
                <w:kern w:val="2"/>
                <w:sz w:val="21"/>
                <w:szCs w:val="22"/>
                <w:highlight w:val="none"/>
                <w:lang w:val="en-US" w:eastAsia="zh-CN" w:bidi="ar-SA"/>
              </w:rPr>
            </w:pPr>
            <w:r>
              <w:rPr>
                <w:rFonts w:hint="eastAsia" w:ascii="宋体" w:hAnsi="宋体" w:eastAsia="宋体" w:cs="宋体"/>
                <w:highlight w:val="none"/>
                <w:lang w:val="en-US" w:eastAsia="zh-CN"/>
              </w:rPr>
              <w:t>81,688,775.41</w:t>
            </w:r>
          </w:p>
        </w:tc>
      </w:tr>
      <w:tr w14:paraId="722ADEEC">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7C31DE06">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其中：股票投资</w:t>
            </w:r>
          </w:p>
        </w:tc>
        <w:tc>
          <w:tcPr>
            <w:tcW w:w="2676" w:type="pct"/>
            <w:tcBorders>
              <w:top w:val="nil"/>
              <w:left w:val="nil"/>
              <w:bottom w:val="single" w:color="auto" w:sz="8" w:space="0"/>
              <w:right w:val="single" w:color="auto" w:sz="8" w:space="0"/>
            </w:tcBorders>
            <w:shd w:val="clear" w:color="auto" w:fill="auto"/>
            <w:vAlign w:val="top"/>
          </w:tcPr>
          <w:p w14:paraId="746F0E99">
            <w:pPr>
              <w:jc w:val="right"/>
              <w:rPr>
                <w:rFonts w:hint="eastAsia" w:ascii="宋体" w:hAnsi="宋体" w:eastAsia="宋体" w:cs="宋体"/>
                <w:kern w:val="2"/>
                <w:sz w:val="21"/>
                <w:szCs w:val="22"/>
                <w:highlight w:val="none"/>
                <w:lang w:val="en-US" w:eastAsia="zh-CN" w:bidi="ar-SA"/>
              </w:rPr>
            </w:pPr>
            <w:r>
              <w:rPr>
                <w:rFonts w:hint="eastAsia" w:ascii="宋体" w:hAnsi="宋体" w:eastAsia="宋体" w:cs="宋体"/>
                <w:highlight w:val="none"/>
                <w:lang w:val="en-US" w:eastAsia="zh-CN"/>
              </w:rPr>
              <w:t>81,688,775.41</w:t>
            </w:r>
          </w:p>
        </w:tc>
      </w:tr>
      <w:tr w14:paraId="354974A3">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529CCE68">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债券投资</w:t>
            </w:r>
          </w:p>
        </w:tc>
        <w:tc>
          <w:tcPr>
            <w:tcW w:w="2676" w:type="pct"/>
            <w:tcBorders>
              <w:top w:val="nil"/>
              <w:left w:val="nil"/>
              <w:bottom w:val="single" w:color="auto" w:sz="8" w:space="0"/>
              <w:right w:val="single" w:color="auto" w:sz="8" w:space="0"/>
            </w:tcBorders>
            <w:shd w:val="clear" w:color="auto" w:fill="auto"/>
            <w:vAlign w:val="top"/>
          </w:tcPr>
          <w:p w14:paraId="6C4FE729">
            <w:pPr>
              <w:jc w:val="right"/>
              <w:rPr>
                <w:rFonts w:hint="eastAsia" w:ascii="宋体" w:hAnsi="宋体" w:eastAsia="宋体" w:cs="宋体"/>
                <w:kern w:val="2"/>
                <w:sz w:val="21"/>
                <w:szCs w:val="22"/>
                <w:highlight w:val="none"/>
                <w:lang w:val="en-US" w:eastAsia="zh-CN" w:bidi="ar-SA"/>
              </w:rPr>
            </w:pPr>
            <w:r>
              <w:rPr>
                <w:rFonts w:hint="eastAsia" w:ascii="宋体" w:hAnsi="宋体" w:eastAsia="宋体" w:cs="宋体"/>
                <w:highlight w:val="none"/>
                <w:lang w:val="en-US" w:eastAsia="zh-CN"/>
              </w:rPr>
              <w:t>-</w:t>
            </w:r>
          </w:p>
        </w:tc>
      </w:tr>
      <w:tr w14:paraId="5DA65FA6">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1C8AC697">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资产支持证券投资</w:t>
            </w:r>
          </w:p>
        </w:tc>
        <w:tc>
          <w:tcPr>
            <w:tcW w:w="2676" w:type="pct"/>
            <w:tcBorders>
              <w:top w:val="nil"/>
              <w:left w:val="nil"/>
              <w:bottom w:val="single" w:color="auto" w:sz="8" w:space="0"/>
              <w:right w:val="single" w:color="auto" w:sz="8" w:space="0"/>
            </w:tcBorders>
            <w:shd w:val="clear" w:color="auto" w:fill="auto"/>
            <w:vAlign w:val="top"/>
          </w:tcPr>
          <w:p w14:paraId="1CBADEC7">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4E81247B">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48940790">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衍生金融资产</w:t>
            </w:r>
          </w:p>
        </w:tc>
        <w:tc>
          <w:tcPr>
            <w:tcW w:w="2676" w:type="pct"/>
            <w:tcBorders>
              <w:top w:val="nil"/>
              <w:left w:val="nil"/>
              <w:bottom w:val="single" w:color="auto" w:sz="8" w:space="0"/>
              <w:right w:val="single" w:color="auto" w:sz="8" w:space="0"/>
            </w:tcBorders>
            <w:shd w:val="clear" w:color="auto" w:fill="auto"/>
            <w:vAlign w:val="top"/>
          </w:tcPr>
          <w:p w14:paraId="6E31F106">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1AC3C532">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4106102D">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买入返售金融资产</w:t>
            </w:r>
          </w:p>
        </w:tc>
        <w:tc>
          <w:tcPr>
            <w:tcW w:w="2676" w:type="pct"/>
            <w:tcBorders>
              <w:top w:val="nil"/>
              <w:left w:val="nil"/>
              <w:bottom w:val="single" w:color="auto" w:sz="8" w:space="0"/>
              <w:right w:val="single" w:color="auto" w:sz="8" w:space="0"/>
            </w:tcBorders>
            <w:shd w:val="clear" w:color="auto" w:fill="auto"/>
            <w:vAlign w:val="top"/>
          </w:tcPr>
          <w:p w14:paraId="4F0B1D4E">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18D12EF2">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05193906">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应收证券清算款</w:t>
            </w:r>
          </w:p>
        </w:tc>
        <w:tc>
          <w:tcPr>
            <w:tcW w:w="2676" w:type="pct"/>
            <w:tcBorders>
              <w:top w:val="nil"/>
              <w:left w:val="nil"/>
              <w:bottom w:val="single" w:color="auto" w:sz="8" w:space="0"/>
              <w:right w:val="single" w:color="auto" w:sz="8" w:space="0"/>
            </w:tcBorders>
            <w:shd w:val="clear" w:color="auto" w:fill="auto"/>
            <w:vAlign w:val="top"/>
          </w:tcPr>
          <w:p w14:paraId="5811E833">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081018F0">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01AD7418">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应收股利</w:t>
            </w:r>
          </w:p>
        </w:tc>
        <w:tc>
          <w:tcPr>
            <w:tcW w:w="2676" w:type="pct"/>
            <w:tcBorders>
              <w:top w:val="nil"/>
              <w:left w:val="nil"/>
              <w:bottom w:val="single" w:color="auto" w:sz="8" w:space="0"/>
              <w:right w:val="single" w:color="auto" w:sz="8" w:space="0"/>
            </w:tcBorders>
            <w:shd w:val="clear" w:color="auto" w:fill="auto"/>
            <w:vAlign w:val="top"/>
          </w:tcPr>
          <w:p w14:paraId="76AF2D73">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41EAF3ED">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26597671">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应收申购款</w:t>
            </w:r>
          </w:p>
        </w:tc>
        <w:tc>
          <w:tcPr>
            <w:tcW w:w="2676" w:type="pct"/>
            <w:tcBorders>
              <w:top w:val="nil"/>
              <w:left w:val="nil"/>
              <w:bottom w:val="single" w:color="auto" w:sz="8" w:space="0"/>
              <w:right w:val="single" w:color="auto" w:sz="8" w:space="0"/>
            </w:tcBorders>
            <w:shd w:val="clear" w:color="auto" w:fill="auto"/>
            <w:vAlign w:val="top"/>
          </w:tcPr>
          <w:p w14:paraId="6829D6D6">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2B7DC25C">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1C35A89B">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其他资产</w:t>
            </w:r>
          </w:p>
        </w:tc>
        <w:tc>
          <w:tcPr>
            <w:tcW w:w="2676" w:type="pct"/>
            <w:tcBorders>
              <w:top w:val="nil"/>
              <w:left w:val="nil"/>
              <w:bottom w:val="single" w:color="auto" w:sz="8" w:space="0"/>
              <w:right w:val="single" w:color="auto" w:sz="8" w:space="0"/>
            </w:tcBorders>
            <w:shd w:val="clear" w:color="auto" w:fill="auto"/>
            <w:vAlign w:val="top"/>
          </w:tcPr>
          <w:p w14:paraId="67DE35BF">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54DAEDF8">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307C2FD4">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资产总计</w:t>
            </w:r>
          </w:p>
        </w:tc>
        <w:tc>
          <w:tcPr>
            <w:tcW w:w="2676" w:type="pct"/>
            <w:tcBorders>
              <w:top w:val="nil"/>
              <w:left w:val="nil"/>
              <w:bottom w:val="single" w:color="auto" w:sz="8" w:space="0"/>
              <w:right w:val="single" w:color="auto" w:sz="8" w:space="0"/>
            </w:tcBorders>
            <w:shd w:val="clear" w:color="auto" w:fill="auto"/>
            <w:vAlign w:val="top"/>
          </w:tcPr>
          <w:p w14:paraId="7C80E346">
            <w:pPr>
              <w:jc w:val="right"/>
              <w:rPr>
                <w:rFonts w:hint="eastAsia" w:ascii="宋体" w:hAnsi="宋体" w:eastAsia="宋体" w:cs="宋体"/>
                <w:highlight w:val="none"/>
                <w:lang w:eastAsia="zh-CN"/>
              </w:rPr>
            </w:pPr>
            <w:r>
              <w:rPr>
                <w:rFonts w:hint="eastAsia" w:ascii="宋体" w:hAnsi="宋体" w:eastAsia="宋体" w:cs="宋体"/>
                <w:highlight w:val="none"/>
                <w:lang w:val="en-US" w:eastAsia="zh-CN"/>
              </w:rPr>
              <w:t>214,364,343.25</w:t>
            </w:r>
          </w:p>
        </w:tc>
      </w:tr>
      <w:tr w14:paraId="49D9BF0C">
        <w:tblPrEx>
          <w:tblCellMar>
            <w:top w:w="0" w:type="dxa"/>
            <w:left w:w="108" w:type="dxa"/>
            <w:bottom w:w="0" w:type="dxa"/>
            <w:right w:w="108" w:type="dxa"/>
          </w:tblCellMar>
        </w:tblPrEx>
        <w:trPr>
          <w:trHeight w:val="300" w:hRule="atLeast"/>
        </w:trPr>
        <w:tc>
          <w:tcPr>
            <w:tcW w:w="2323" w:type="pct"/>
            <w:vMerge w:val="restart"/>
            <w:tcBorders>
              <w:top w:val="nil"/>
              <w:left w:val="single" w:color="auto" w:sz="8" w:space="0"/>
              <w:bottom w:val="single" w:color="auto" w:sz="8" w:space="0"/>
              <w:right w:val="single" w:color="auto" w:sz="8" w:space="0"/>
            </w:tcBorders>
            <w:shd w:val="clear" w:color="auto" w:fill="auto"/>
            <w:vAlign w:val="center"/>
          </w:tcPr>
          <w:p w14:paraId="7198E6E6">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负债和所有者权益</w:t>
            </w:r>
          </w:p>
        </w:tc>
        <w:tc>
          <w:tcPr>
            <w:tcW w:w="2676" w:type="pct"/>
            <w:tcBorders>
              <w:top w:val="nil"/>
              <w:left w:val="nil"/>
              <w:bottom w:val="single" w:color="auto" w:sz="8" w:space="0"/>
              <w:right w:val="single" w:color="auto" w:sz="8" w:space="0"/>
            </w:tcBorders>
            <w:shd w:val="clear" w:color="auto" w:fill="auto"/>
            <w:vAlign w:val="center"/>
          </w:tcPr>
          <w:p w14:paraId="4E60386B">
            <w:pPr>
              <w:widowControl/>
              <w:snapToGrid w:val="0"/>
              <w:spacing w:line="360" w:lineRule="auto"/>
              <w:ind w:firstLine="371" w:firstLineChars="177"/>
              <w:jc w:val="right"/>
              <w:rPr>
                <w:rFonts w:hint="eastAsia" w:ascii="宋体" w:hAnsi="宋体" w:eastAsia="宋体" w:cs="宋体"/>
                <w:color w:val="000000"/>
                <w:kern w:val="0"/>
                <w:szCs w:val="21"/>
                <w:highlight w:val="none"/>
              </w:rPr>
            </w:pPr>
          </w:p>
        </w:tc>
      </w:tr>
      <w:tr w14:paraId="6BA89DC5">
        <w:tblPrEx>
          <w:tblCellMar>
            <w:top w:w="0" w:type="dxa"/>
            <w:left w:w="108" w:type="dxa"/>
            <w:bottom w:w="0" w:type="dxa"/>
            <w:right w:w="108" w:type="dxa"/>
          </w:tblCellMar>
        </w:tblPrEx>
        <w:trPr>
          <w:trHeight w:val="300" w:hRule="atLeast"/>
        </w:trPr>
        <w:tc>
          <w:tcPr>
            <w:tcW w:w="2323" w:type="pct"/>
            <w:vMerge w:val="continue"/>
            <w:tcBorders>
              <w:top w:val="nil"/>
              <w:left w:val="single" w:color="auto" w:sz="8" w:space="0"/>
              <w:bottom w:val="single" w:color="auto" w:sz="8" w:space="0"/>
              <w:right w:val="single" w:color="auto" w:sz="8" w:space="0"/>
            </w:tcBorders>
            <w:vAlign w:val="center"/>
          </w:tcPr>
          <w:p w14:paraId="3416437A">
            <w:pPr>
              <w:widowControl/>
              <w:snapToGrid w:val="0"/>
              <w:spacing w:line="360" w:lineRule="auto"/>
              <w:ind w:firstLine="371" w:firstLineChars="177"/>
              <w:jc w:val="left"/>
              <w:rPr>
                <w:rFonts w:ascii="Times New Roman" w:hAnsi="Times New Roman" w:cs="Times New Roman"/>
                <w:color w:val="000000"/>
                <w:kern w:val="0"/>
                <w:szCs w:val="21"/>
                <w:highlight w:val="none"/>
              </w:rPr>
            </w:pPr>
          </w:p>
        </w:tc>
        <w:tc>
          <w:tcPr>
            <w:tcW w:w="2676" w:type="pct"/>
            <w:tcBorders>
              <w:top w:val="nil"/>
              <w:left w:val="nil"/>
              <w:bottom w:val="single" w:color="auto" w:sz="8" w:space="0"/>
              <w:right w:val="single" w:color="auto" w:sz="8" w:space="0"/>
            </w:tcBorders>
            <w:shd w:val="clear" w:color="auto" w:fill="auto"/>
            <w:vAlign w:val="center"/>
          </w:tcPr>
          <w:p w14:paraId="36A30B25">
            <w:pPr>
              <w:widowControl/>
              <w:snapToGrid w:val="0"/>
              <w:spacing w:line="360" w:lineRule="auto"/>
              <w:ind w:firstLine="371" w:firstLineChars="177"/>
              <w:jc w:val="right"/>
              <w:rPr>
                <w:rFonts w:hint="eastAsia" w:ascii="宋体" w:hAnsi="宋体" w:eastAsia="宋体" w:cs="宋体"/>
                <w:color w:val="000000"/>
                <w:kern w:val="0"/>
                <w:szCs w:val="21"/>
                <w:highlight w:val="none"/>
              </w:rPr>
            </w:pPr>
          </w:p>
        </w:tc>
      </w:tr>
      <w:tr w14:paraId="27F3F357">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CFC330A">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负 债：</w:t>
            </w:r>
          </w:p>
        </w:tc>
        <w:tc>
          <w:tcPr>
            <w:tcW w:w="2676" w:type="pct"/>
            <w:tcBorders>
              <w:top w:val="nil"/>
              <w:left w:val="nil"/>
              <w:bottom w:val="single" w:color="auto" w:sz="8" w:space="0"/>
              <w:right w:val="single" w:color="auto" w:sz="8" w:space="0"/>
            </w:tcBorders>
            <w:shd w:val="clear" w:color="auto" w:fill="auto"/>
            <w:vAlign w:val="center"/>
          </w:tcPr>
          <w:p w14:paraId="4A9C468F">
            <w:pPr>
              <w:widowControl/>
              <w:snapToGrid w:val="0"/>
              <w:spacing w:line="360" w:lineRule="auto"/>
              <w:ind w:firstLine="371" w:firstLineChars="177"/>
              <w:jc w:val="right"/>
              <w:rPr>
                <w:rFonts w:hint="eastAsia" w:ascii="宋体" w:hAnsi="宋体" w:eastAsia="宋体" w:cs="宋体"/>
                <w:color w:val="000000"/>
                <w:kern w:val="0"/>
                <w:szCs w:val="21"/>
                <w:highlight w:val="none"/>
              </w:rPr>
            </w:pPr>
          </w:p>
        </w:tc>
      </w:tr>
      <w:tr w14:paraId="179B620B">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47CD084A">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短期借款</w:t>
            </w:r>
          </w:p>
        </w:tc>
        <w:tc>
          <w:tcPr>
            <w:tcW w:w="2676" w:type="pct"/>
            <w:tcBorders>
              <w:top w:val="nil"/>
              <w:left w:val="nil"/>
              <w:bottom w:val="single" w:color="auto" w:sz="8" w:space="0"/>
              <w:right w:val="single" w:color="auto" w:sz="8" w:space="0"/>
            </w:tcBorders>
            <w:shd w:val="clear" w:color="auto" w:fill="auto"/>
            <w:vAlign w:val="center"/>
          </w:tcPr>
          <w:p w14:paraId="4B127FD5">
            <w:pPr>
              <w:widowControl/>
              <w:snapToGrid w:val="0"/>
              <w:spacing w:line="360" w:lineRule="auto"/>
              <w:ind w:firstLine="371" w:firstLineChars="177"/>
              <w:jc w:val="right"/>
              <w:rPr>
                <w:rFonts w:hint="eastAsia" w:ascii="宋体" w:hAnsi="宋体" w:eastAsia="宋体" w:cs="宋体"/>
                <w:kern w:val="0"/>
                <w:szCs w:val="21"/>
                <w:highlight w:val="none"/>
              </w:rPr>
            </w:pPr>
            <w:r>
              <w:rPr>
                <w:rFonts w:hint="eastAsia" w:ascii="宋体" w:hAnsi="宋体" w:eastAsia="宋体" w:cs="宋体"/>
                <w:highlight w:val="none"/>
                <w:lang w:val="en-US" w:eastAsia="zh-CN"/>
              </w:rPr>
              <w:t>-</w:t>
            </w:r>
          </w:p>
        </w:tc>
      </w:tr>
      <w:tr w14:paraId="2C5A16FB">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2EAE267">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交易性金融负债</w:t>
            </w:r>
          </w:p>
        </w:tc>
        <w:tc>
          <w:tcPr>
            <w:tcW w:w="2676" w:type="pct"/>
            <w:tcBorders>
              <w:top w:val="nil"/>
              <w:left w:val="nil"/>
              <w:bottom w:val="single" w:color="auto" w:sz="8" w:space="0"/>
              <w:right w:val="single" w:color="auto" w:sz="8" w:space="0"/>
            </w:tcBorders>
            <w:shd w:val="clear" w:color="auto" w:fill="auto"/>
            <w:vAlign w:val="top"/>
          </w:tcPr>
          <w:p w14:paraId="537C63B7">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63AD3FBC">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59371FD7">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衍生金融负债</w:t>
            </w:r>
          </w:p>
        </w:tc>
        <w:tc>
          <w:tcPr>
            <w:tcW w:w="2676" w:type="pct"/>
            <w:tcBorders>
              <w:top w:val="nil"/>
              <w:left w:val="nil"/>
              <w:bottom w:val="single" w:color="auto" w:sz="8" w:space="0"/>
              <w:right w:val="single" w:color="auto" w:sz="8" w:space="0"/>
            </w:tcBorders>
            <w:shd w:val="clear" w:color="auto" w:fill="auto"/>
            <w:vAlign w:val="top"/>
          </w:tcPr>
          <w:p w14:paraId="447887AA">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1D6BFDDB">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7A572980">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卖出回购金融资产款</w:t>
            </w:r>
          </w:p>
        </w:tc>
        <w:tc>
          <w:tcPr>
            <w:tcW w:w="2676" w:type="pct"/>
            <w:tcBorders>
              <w:top w:val="nil"/>
              <w:left w:val="nil"/>
              <w:bottom w:val="single" w:color="auto" w:sz="8" w:space="0"/>
              <w:right w:val="single" w:color="auto" w:sz="8" w:space="0"/>
            </w:tcBorders>
            <w:shd w:val="clear" w:color="auto" w:fill="auto"/>
            <w:vAlign w:val="top"/>
          </w:tcPr>
          <w:p w14:paraId="7DC538A9">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18A6963E">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60F0AD2">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应付证券清算款</w:t>
            </w:r>
          </w:p>
        </w:tc>
        <w:tc>
          <w:tcPr>
            <w:tcW w:w="2676" w:type="pct"/>
            <w:tcBorders>
              <w:top w:val="nil"/>
              <w:left w:val="nil"/>
              <w:bottom w:val="single" w:color="auto" w:sz="8" w:space="0"/>
              <w:right w:val="single" w:color="auto" w:sz="8" w:space="0"/>
            </w:tcBorders>
            <w:shd w:val="clear" w:color="auto" w:fill="auto"/>
            <w:vAlign w:val="top"/>
          </w:tcPr>
          <w:p w14:paraId="1DCA26B4">
            <w:pPr>
              <w:jc w:val="right"/>
              <w:rPr>
                <w:rFonts w:hint="eastAsia" w:ascii="宋体" w:hAnsi="宋体" w:eastAsia="宋体" w:cs="宋体"/>
                <w:highlight w:val="none"/>
                <w:lang w:eastAsia="zh-CN"/>
              </w:rPr>
            </w:pPr>
            <w:r>
              <w:rPr>
                <w:rFonts w:hint="eastAsia" w:ascii="宋体" w:hAnsi="宋体" w:eastAsia="宋体" w:cs="宋体"/>
                <w:highlight w:val="none"/>
                <w:lang w:val="en-US" w:eastAsia="zh-CN"/>
              </w:rPr>
              <w:t>-</w:t>
            </w:r>
          </w:p>
        </w:tc>
      </w:tr>
      <w:tr w14:paraId="046F1AEF">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FBBB8D5">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应付赎回款</w:t>
            </w:r>
          </w:p>
        </w:tc>
        <w:tc>
          <w:tcPr>
            <w:tcW w:w="2676" w:type="pct"/>
            <w:tcBorders>
              <w:top w:val="nil"/>
              <w:left w:val="nil"/>
              <w:bottom w:val="single" w:color="auto" w:sz="8" w:space="0"/>
              <w:right w:val="single" w:color="auto" w:sz="8" w:space="0"/>
            </w:tcBorders>
            <w:shd w:val="clear" w:color="auto" w:fill="auto"/>
            <w:vAlign w:val="top"/>
          </w:tcPr>
          <w:p w14:paraId="78DC0DCA">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228A0D0D">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2F7986CB">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应付管理人报酬</w:t>
            </w:r>
          </w:p>
        </w:tc>
        <w:tc>
          <w:tcPr>
            <w:tcW w:w="2676" w:type="pct"/>
            <w:tcBorders>
              <w:top w:val="nil"/>
              <w:left w:val="nil"/>
              <w:bottom w:val="single" w:color="auto" w:sz="8" w:space="0"/>
              <w:right w:val="single" w:color="auto" w:sz="8" w:space="0"/>
            </w:tcBorders>
            <w:shd w:val="clear" w:color="auto" w:fill="auto"/>
            <w:vAlign w:val="top"/>
          </w:tcPr>
          <w:p w14:paraId="3687A063">
            <w:pPr>
              <w:jc w:val="right"/>
              <w:rPr>
                <w:rFonts w:hint="eastAsia" w:ascii="宋体" w:hAnsi="宋体" w:eastAsia="宋体" w:cs="宋体"/>
                <w:highlight w:val="none"/>
                <w:lang w:eastAsia="zh-CN"/>
              </w:rPr>
            </w:pPr>
            <w:r>
              <w:rPr>
                <w:rFonts w:hint="eastAsia" w:ascii="宋体" w:hAnsi="宋体" w:eastAsia="宋体" w:cs="宋体"/>
                <w:highlight w:val="none"/>
                <w:lang w:val="en-US" w:eastAsia="zh-CN"/>
              </w:rPr>
              <w:t>5,794.66</w:t>
            </w:r>
          </w:p>
        </w:tc>
      </w:tr>
      <w:tr w14:paraId="67A16225">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1C44FF0D">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应付托管费</w:t>
            </w:r>
          </w:p>
        </w:tc>
        <w:tc>
          <w:tcPr>
            <w:tcW w:w="2676" w:type="pct"/>
            <w:tcBorders>
              <w:top w:val="nil"/>
              <w:left w:val="nil"/>
              <w:bottom w:val="single" w:color="auto" w:sz="8" w:space="0"/>
              <w:right w:val="single" w:color="auto" w:sz="8" w:space="0"/>
            </w:tcBorders>
            <w:shd w:val="clear" w:color="auto" w:fill="auto"/>
            <w:vAlign w:val="top"/>
          </w:tcPr>
          <w:p w14:paraId="74358934">
            <w:pPr>
              <w:jc w:val="right"/>
              <w:rPr>
                <w:rFonts w:hint="eastAsia" w:ascii="宋体" w:hAnsi="宋体" w:eastAsia="宋体" w:cs="宋体"/>
                <w:highlight w:val="none"/>
                <w:lang w:eastAsia="zh-CN"/>
              </w:rPr>
            </w:pPr>
            <w:r>
              <w:rPr>
                <w:rFonts w:hint="eastAsia" w:ascii="宋体" w:hAnsi="宋体" w:eastAsia="宋体" w:cs="宋体"/>
                <w:highlight w:val="none"/>
                <w:lang w:val="en-US" w:eastAsia="zh-CN"/>
              </w:rPr>
              <w:t>1,158.93</w:t>
            </w:r>
          </w:p>
        </w:tc>
      </w:tr>
      <w:tr w14:paraId="3C31A798">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38AED5F2">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应付销售服务费</w:t>
            </w:r>
          </w:p>
        </w:tc>
        <w:tc>
          <w:tcPr>
            <w:tcW w:w="2676" w:type="pct"/>
            <w:tcBorders>
              <w:top w:val="nil"/>
              <w:left w:val="nil"/>
              <w:bottom w:val="single" w:color="auto" w:sz="8" w:space="0"/>
              <w:right w:val="single" w:color="auto" w:sz="8" w:space="0"/>
            </w:tcBorders>
            <w:shd w:val="clear" w:color="auto" w:fill="auto"/>
            <w:vAlign w:val="top"/>
          </w:tcPr>
          <w:p w14:paraId="6DCABFF9">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6006319D">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486EEFD5">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应付交易费用</w:t>
            </w:r>
          </w:p>
        </w:tc>
        <w:tc>
          <w:tcPr>
            <w:tcW w:w="2676" w:type="pct"/>
            <w:tcBorders>
              <w:top w:val="nil"/>
              <w:left w:val="nil"/>
              <w:bottom w:val="single" w:color="auto" w:sz="8" w:space="0"/>
              <w:right w:val="single" w:color="auto" w:sz="8" w:space="0"/>
            </w:tcBorders>
            <w:shd w:val="clear" w:color="auto" w:fill="auto"/>
            <w:vAlign w:val="top"/>
          </w:tcPr>
          <w:p w14:paraId="2F5F2537">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74C13DA2">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28E7E536">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应交税费</w:t>
            </w:r>
          </w:p>
        </w:tc>
        <w:tc>
          <w:tcPr>
            <w:tcW w:w="2676" w:type="pct"/>
            <w:tcBorders>
              <w:top w:val="nil"/>
              <w:left w:val="nil"/>
              <w:bottom w:val="single" w:color="auto" w:sz="8" w:space="0"/>
              <w:right w:val="single" w:color="auto" w:sz="8" w:space="0"/>
            </w:tcBorders>
            <w:shd w:val="clear" w:color="auto" w:fill="auto"/>
            <w:vAlign w:val="top"/>
          </w:tcPr>
          <w:p w14:paraId="5943A359">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2EA0059C">
        <w:tblPrEx>
          <w:tblCellMar>
            <w:top w:w="0" w:type="dxa"/>
            <w:left w:w="108" w:type="dxa"/>
            <w:bottom w:w="0" w:type="dxa"/>
            <w:right w:w="108" w:type="dxa"/>
          </w:tblCellMar>
        </w:tblPrEx>
        <w:trPr>
          <w:trHeight w:val="9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0C858FF2">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应付利润</w:t>
            </w:r>
          </w:p>
        </w:tc>
        <w:tc>
          <w:tcPr>
            <w:tcW w:w="2676" w:type="pct"/>
            <w:tcBorders>
              <w:top w:val="nil"/>
              <w:left w:val="nil"/>
              <w:bottom w:val="single" w:color="auto" w:sz="8" w:space="0"/>
              <w:right w:val="single" w:color="auto" w:sz="8" w:space="0"/>
            </w:tcBorders>
            <w:shd w:val="clear" w:color="auto" w:fill="auto"/>
            <w:vAlign w:val="top"/>
          </w:tcPr>
          <w:p w14:paraId="6A3DD200">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782CBF80">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13DBF946">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其他负债</w:t>
            </w:r>
          </w:p>
        </w:tc>
        <w:tc>
          <w:tcPr>
            <w:tcW w:w="2676" w:type="pct"/>
            <w:tcBorders>
              <w:top w:val="nil"/>
              <w:left w:val="nil"/>
              <w:bottom w:val="single" w:color="auto" w:sz="8" w:space="0"/>
              <w:right w:val="single" w:color="auto" w:sz="8" w:space="0"/>
            </w:tcBorders>
            <w:shd w:val="clear" w:color="auto" w:fill="auto"/>
            <w:vAlign w:val="top"/>
          </w:tcPr>
          <w:p w14:paraId="2912EBFB">
            <w:pPr>
              <w:jc w:val="right"/>
              <w:rPr>
                <w:rFonts w:hint="eastAsia" w:ascii="宋体" w:hAnsi="宋体" w:eastAsia="宋体" w:cs="宋体"/>
                <w:highlight w:val="none"/>
                <w:lang w:eastAsia="zh-CN"/>
              </w:rPr>
            </w:pPr>
            <w:r>
              <w:rPr>
                <w:rFonts w:hint="eastAsia" w:ascii="宋体" w:hAnsi="宋体" w:eastAsia="宋体" w:cs="宋体"/>
                <w:highlight w:val="none"/>
                <w:lang w:val="en-US" w:eastAsia="zh-CN"/>
              </w:rPr>
              <w:t>999.99</w:t>
            </w:r>
          </w:p>
        </w:tc>
      </w:tr>
      <w:tr w14:paraId="61B0281A">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5DF9809E">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负债合计</w:t>
            </w:r>
          </w:p>
        </w:tc>
        <w:tc>
          <w:tcPr>
            <w:tcW w:w="2676" w:type="pct"/>
            <w:tcBorders>
              <w:top w:val="nil"/>
              <w:left w:val="nil"/>
              <w:bottom w:val="single" w:color="auto" w:sz="8" w:space="0"/>
              <w:right w:val="single" w:color="auto" w:sz="8" w:space="0"/>
            </w:tcBorders>
            <w:shd w:val="clear" w:color="auto" w:fill="auto"/>
            <w:vAlign w:val="top"/>
          </w:tcPr>
          <w:p w14:paraId="5C4D8835">
            <w:pPr>
              <w:jc w:val="right"/>
              <w:rPr>
                <w:rFonts w:hint="eastAsia" w:ascii="宋体" w:hAnsi="宋体" w:eastAsia="宋体" w:cs="宋体"/>
                <w:highlight w:val="none"/>
                <w:lang w:eastAsia="zh-CN"/>
              </w:rPr>
            </w:pPr>
            <w:r>
              <w:rPr>
                <w:rFonts w:hint="eastAsia" w:ascii="宋体" w:hAnsi="宋体" w:eastAsia="宋体" w:cs="宋体"/>
                <w:highlight w:val="none"/>
                <w:lang w:val="en-US" w:eastAsia="zh-CN"/>
              </w:rPr>
              <w:t>7,953.58</w:t>
            </w:r>
          </w:p>
        </w:tc>
      </w:tr>
      <w:tr w14:paraId="190E8A96">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4AC6DD49">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所有者权益：</w:t>
            </w:r>
          </w:p>
        </w:tc>
        <w:tc>
          <w:tcPr>
            <w:tcW w:w="2676" w:type="pct"/>
            <w:tcBorders>
              <w:top w:val="nil"/>
              <w:left w:val="nil"/>
              <w:bottom w:val="single" w:color="auto" w:sz="8" w:space="0"/>
              <w:right w:val="single" w:color="auto" w:sz="8" w:space="0"/>
            </w:tcBorders>
            <w:shd w:val="clear" w:color="auto" w:fill="auto"/>
            <w:vAlign w:val="top"/>
          </w:tcPr>
          <w:p w14:paraId="13A87B22">
            <w:pPr>
              <w:jc w:val="right"/>
              <w:rPr>
                <w:rFonts w:hint="eastAsia" w:ascii="宋体" w:hAnsi="宋体" w:eastAsia="宋体" w:cs="宋体"/>
                <w:highlight w:val="none"/>
              </w:rPr>
            </w:pPr>
          </w:p>
        </w:tc>
      </w:tr>
      <w:tr w14:paraId="37CAA414">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20E78EC">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实收基金</w:t>
            </w:r>
          </w:p>
        </w:tc>
        <w:tc>
          <w:tcPr>
            <w:tcW w:w="2676" w:type="pct"/>
            <w:tcBorders>
              <w:top w:val="nil"/>
              <w:left w:val="nil"/>
              <w:bottom w:val="single" w:color="auto" w:sz="8" w:space="0"/>
              <w:right w:val="single" w:color="auto" w:sz="8" w:space="0"/>
            </w:tcBorders>
            <w:shd w:val="clear" w:color="auto" w:fill="auto"/>
            <w:vAlign w:val="top"/>
          </w:tcPr>
          <w:p w14:paraId="137CECEF">
            <w:pPr>
              <w:jc w:val="right"/>
              <w:rPr>
                <w:rFonts w:hint="eastAsia" w:ascii="宋体" w:hAnsi="宋体" w:eastAsia="宋体" w:cs="宋体"/>
                <w:sz w:val="21"/>
                <w:szCs w:val="21"/>
                <w:highlight w:val="none"/>
                <w:lang w:eastAsia="zh-CN"/>
              </w:rPr>
            </w:pPr>
            <w:r>
              <w:rPr>
                <w:rFonts w:hint="eastAsia" w:ascii="宋体" w:hAnsi="宋体" w:eastAsia="宋体" w:cs="宋体"/>
                <w:szCs w:val="21"/>
                <w:highlight w:val="none"/>
                <w:lang w:eastAsia="zh-CN"/>
              </w:rPr>
              <w:t xml:space="preserve"> 211,610,272.00 </w:t>
            </w:r>
          </w:p>
        </w:tc>
      </w:tr>
      <w:tr w14:paraId="64BE2ABD">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7A4106F2">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未分配利润</w:t>
            </w:r>
          </w:p>
        </w:tc>
        <w:tc>
          <w:tcPr>
            <w:tcW w:w="2676" w:type="pct"/>
            <w:tcBorders>
              <w:top w:val="nil"/>
              <w:left w:val="nil"/>
              <w:bottom w:val="single" w:color="auto" w:sz="8" w:space="0"/>
              <w:right w:val="single" w:color="auto" w:sz="8" w:space="0"/>
            </w:tcBorders>
            <w:shd w:val="clear" w:color="auto" w:fill="auto"/>
            <w:vAlign w:val="center"/>
          </w:tcPr>
          <w:p w14:paraId="254B3E5B">
            <w:pPr>
              <w:keepNext w:val="0"/>
              <w:keepLines w:val="0"/>
              <w:widowControl/>
              <w:suppressLineNumbers w:val="0"/>
              <w:jc w:val="righ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 2,746,117.67 </w:t>
            </w:r>
          </w:p>
        </w:tc>
      </w:tr>
      <w:tr w14:paraId="7FA1796D">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02291BBB">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所有者权益合计</w:t>
            </w:r>
          </w:p>
        </w:tc>
        <w:tc>
          <w:tcPr>
            <w:tcW w:w="2676" w:type="pct"/>
            <w:tcBorders>
              <w:top w:val="nil"/>
              <w:left w:val="nil"/>
              <w:bottom w:val="single" w:color="auto" w:sz="8" w:space="0"/>
              <w:right w:val="single" w:color="auto" w:sz="8" w:space="0"/>
            </w:tcBorders>
            <w:shd w:val="clear" w:color="auto" w:fill="auto"/>
            <w:vAlign w:val="center"/>
          </w:tcPr>
          <w:p w14:paraId="42CCB0D5">
            <w:pPr>
              <w:keepNext w:val="0"/>
              <w:keepLines w:val="0"/>
              <w:widowControl/>
              <w:suppressLineNumbers w:val="0"/>
              <w:jc w:val="righ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 214,356,389.67 </w:t>
            </w:r>
          </w:p>
        </w:tc>
      </w:tr>
      <w:tr w14:paraId="513AD82B">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199FA83F">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负债和所有者权益总计</w:t>
            </w:r>
          </w:p>
        </w:tc>
        <w:tc>
          <w:tcPr>
            <w:tcW w:w="2676" w:type="pct"/>
            <w:tcBorders>
              <w:top w:val="nil"/>
              <w:left w:val="nil"/>
              <w:bottom w:val="single" w:color="auto" w:sz="8" w:space="0"/>
              <w:right w:val="single" w:color="auto" w:sz="8" w:space="0"/>
            </w:tcBorders>
            <w:shd w:val="clear" w:color="auto" w:fill="auto"/>
            <w:vAlign w:val="center"/>
          </w:tcPr>
          <w:p w14:paraId="2872E074">
            <w:pPr>
              <w:keepNext w:val="0"/>
              <w:keepLines w:val="0"/>
              <w:widowControl/>
              <w:suppressLineNumbers w:val="0"/>
              <w:jc w:val="righ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 214,364,343.25 </w:t>
            </w:r>
          </w:p>
        </w:tc>
      </w:tr>
    </w:tbl>
    <w:p w14:paraId="620CDACD">
      <w:pPr>
        <w:widowControl/>
        <w:snapToGrid w:val="0"/>
        <w:spacing w:line="360" w:lineRule="auto"/>
        <w:ind w:firstLine="371" w:firstLineChars="177"/>
        <w:jc w:val="left"/>
        <w:rPr>
          <w:rFonts w:hint="eastAsia" w:ascii="宋体" w:hAnsi="宋体" w:eastAsia="宋体" w:cs="宋体"/>
          <w:color w:val="000000"/>
          <w:kern w:val="0"/>
          <w:szCs w:val="21"/>
          <w:highlight w:val="none"/>
          <w:lang w:val="en-US" w:eastAsia="zh-CN"/>
        </w:rPr>
        <w:sectPr>
          <w:pgSz w:w="11906" w:h="16838"/>
          <w:pgMar w:top="1440" w:right="1803" w:bottom="1440" w:left="1803" w:header="851" w:footer="992" w:gutter="0"/>
          <w:pgNumType w:fmt="decimal"/>
          <w:cols w:space="425" w:num="1"/>
          <w:docGrid w:type="lines" w:linePitch="312" w:charSpace="0"/>
        </w:sectPr>
      </w:pPr>
      <w:r>
        <w:rPr>
          <w:rFonts w:hint="eastAsia" w:ascii="宋体" w:hAnsi="宋体" w:eastAsia="宋体" w:cs="宋体"/>
          <w:color w:val="000000"/>
          <w:kern w:val="0"/>
          <w:szCs w:val="21"/>
          <w:highlight w:val="none"/>
        </w:rPr>
        <w:t>注：截至</w:t>
      </w:r>
      <w:r>
        <w:rPr>
          <w:rFonts w:hint="eastAsia" w:ascii="宋体" w:hAnsi="宋体" w:eastAsia="宋体" w:cs="宋体"/>
          <w:color w:val="000000"/>
          <w:kern w:val="0"/>
          <w:szCs w:val="21"/>
          <w:highlight w:val="none"/>
          <w:lang w:eastAsia="zh-CN"/>
        </w:rPr>
        <w:t>2026年11月4日</w:t>
      </w:r>
      <w:r>
        <w:rPr>
          <w:rFonts w:hint="eastAsia" w:ascii="宋体" w:hAnsi="宋体" w:eastAsia="宋体" w:cs="宋体"/>
          <w:color w:val="000000"/>
          <w:kern w:val="0"/>
          <w:szCs w:val="21"/>
          <w:highlight w:val="none"/>
        </w:rPr>
        <w:t>，基金份额净值1.0130元，基金份额总额</w:t>
      </w:r>
      <w:r>
        <w:rPr>
          <w:rFonts w:hint="eastAsia" w:ascii="宋体" w:hAnsi="宋体" w:eastAsia="宋体" w:cs="宋体"/>
          <w:color w:val="000000"/>
          <w:kern w:val="0"/>
          <w:szCs w:val="21"/>
          <w:highlight w:val="none"/>
          <w:lang w:eastAsia="zh-CN"/>
        </w:rPr>
        <w:t xml:space="preserve"> 211,610,272.00</w:t>
      </w:r>
      <w:r>
        <w:rPr>
          <w:rFonts w:hint="eastAsia" w:ascii="宋体" w:hAnsi="宋体" w:eastAsia="宋体" w:cs="宋体"/>
          <w:color w:val="000000"/>
          <w:kern w:val="0"/>
          <w:szCs w:val="21"/>
          <w:highlight w:val="none"/>
        </w:rPr>
        <w:t>份。</w:t>
      </w:r>
      <w:r>
        <w:rPr>
          <w:rFonts w:hint="eastAsia" w:ascii="宋体" w:hAnsi="宋体" w:eastAsia="宋体" w:cs="宋体"/>
          <w:color w:val="000000"/>
          <w:kern w:val="0"/>
          <w:szCs w:val="21"/>
          <w:highlight w:val="none"/>
          <w:lang w:val="en-US" w:eastAsia="zh-CN"/>
        </w:rPr>
        <w:t xml:space="preserve"> </w:t>
      </w:r>
    </w:p>
    <w:p w14:paraId="3F05FBFB">
      <w:pPr>
        <w:pStyle w:val="2"/>
        <w:jc w:val="center"/>
        <w:rPr>
          <w:rFonts w:hint="eastAsia" w:ascii="宋体" w:hAnsi="宋体" w:eastAsia="宋体" w:cstheme="majorBidi"/>
          <w:sz w:val="30"/>
          <w:highlight w:val="none"/>
        </w:rPr>
      </w:pPr>
      <w:r>
        <w:rPr>
          <w:rFonts w:hint="eastAsia" w:ascii="宋体" w:hAnsi="宋体" w:eastAsia="宋体" w:cstheme="majorBidi"/>
          <w:sz w:val="30"/>
          <w:highlight w:val="none"/>
        </w:rPr>
        <w:t>八、基金投资组合</w:t>
      </w:r>
      <w:bookmarkEnd w:id="40"/>
      <w:bookmarkEnd w:id="41"/>
    </w:p>
    <w:p w14:paraId="103FEFAA">
      <w:pPr>
        <w:spacing w:line="360" w:lineRule="auto"/>
        <w:ind w:firstLine="420" w:firstLineChars="200"/>
        <w:rPr>
          <w:rFonts w:ascii="Times New Roman" w:hAnsi="Times New Roman" w:eastAsia="宋体" w:cs="Times New Roman"/>
          <w:b w:val="0"/>
          <w:bCs w:val="0"/>
          <w:i w:val="0"/>
          <w:iCs w:val="0"/>
          <w:highlight w:val="none"/>
        </w:rPr>
      </w:pPr>
      <w:bookmarkStart w:id="43" w:name="chapter_level1_8_56150_section_1"/>
      <w:bookmarkEnd w:id="43"/>
      <w:bookmarkStart w:id="44" w:name="chapter_level1_9_56151"/>
      <w:bookmarkStart w:id="45" w:name="_Toc18836"/>
      <w:r>
        <w:rPr>
          <w:rFonts w:ascii="Times New Roman" w:hAnsi="Times New Roman" w:eastAsia="宋体" w:cs="Times New Roman"/>
          <w:b w:val="0"/>
          <w:bCs w:val="0"/>
          <w:i w:val="0"/>
          <w:iCs w:val="0"/>
          <w:highlight w:val="none"/>
        </w:rPr>
        <w:t>本基金目前仍处于建仓期，在上市首日前，基金管理人将使本基金的投资组合比例符合有关法律法规、部门规章、规范性文件的规定和基金合同的有关规定。</w:t>
      </w:r>
    </w:p>
    <w:p w14:paraId="5A33E2B6">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截至公告前两个工作日即</w:t>
      </w:r>
      <w:r>
        <w:rPr>
          <w:rFonts w:hint="eastAsia" w:ascii="宋体" w:hAnsi="宋体" w:eastAsia="宋体" w:cs="宋体"/>
          <w:highlight w:val="none"/>
          <w:lang w:eastAsia="zh-CN"/>
        </w:rPr>
        <w:t>2026年11月4日</w:t>
      </w:r>
      <w:r>
        <w:rPr>
          <w:rFonts w:hint="eastAsia" w:ascii="宋体" w:hAnsi="宋体" w:eastAsia="宋体" w:cs="宋体"/>
          <w:highlight w:val="none"/>
        </w:rPr>
        <w:t>，本基金的投资组合情况如下：</w:t>
      </w:r>
    </w:p>
    <w:p w14:paraId="667E2F42">
      <w:pPr>
        <w:widowControl/>
        <w:numPr>
          <w:ilvl w:val="0"/>
          <w:numId w:val="1"/>
        </w:numPr>
        <w:adjustRightInd w:val="0"/>
        <w:snapToGrid w:val="0"/>
        <w:spacing w:before="156" w:beforeLines="50"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基金资产组合情况</w:t>
      </w:r>
    </w:p>
    <w:tbl>
      <w:tblPr>
        <w:tblStyle w:val="11"/>
        <w:tblW w:w="5000" w:type="pct"/>
        <w:jc w:val="right"/>
        <w:tblLayout w:type="autofit"/>
        <w:tblCellMar>
          <w:top w:w="0" w:type="dxa"/>
          <w:left w:w="108" w:type="dxa"/>
          <w:bottom w:w="0" w:type="dxa"/>
          <w:right w:w="108" w:type="dxa"/>
        </w:tblCellMar>
      </w:tblPr>
      <w:tblGrid>
        <w:gridCol w:w="864"/>
        <w:gridCol w:w="3694"/>
        <w:gridCol w:w="2447"/>
        <w:gridCol w:w="1511"/>
      </w:tblGrid>
      <w:tr w14:paraId="531E5615">
        <w:tblPrEx>
          <w:tblCellMar>
            <w:top w:w="0" w:type="dxa"/>
            <w:left w:w="108" w:type="dxa"/>
            <w:bottom w:w="0" w:type="dxa"/>
            <w:right w:w="108" w:type="dxa"/>
          </w:tblCellMar>
        </w:tblPrEx>
        <w:trPr>
          <w:trHeight w:val="870" w:hRule="atLeast"/>
          <w:jc w:val="right"/>
        </w:trPr>
        <w:tc>
          <w:tcPr>
            <w:tcW w:w="50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CFF132E">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序号</w:t>
            </w:r>
          </w:p>
        </w:tc>
        <w:tc>
          <w:tcPr>
            <w:tcW w:w="2168" w:type="pct"/>
            <w:tcBorders>
              <w:top w:val="single" w:color="000000" w:sz="8" w:space="0"/>
              <w:left w:val="nil"/>
              <w:bottom w:val="single" w:color="000000" w:sz="8" w:space="0"/>
              <w:right w:val="single" w:color="000000" w:sz="8" w:space="0"/>
            </w:tcBorders>
            <w:shd w:val="clear" w:color="auto" w:fill="auto"/>
            <w:vAlign w:val="center"/>
          </w:tcPr>
          <w:p w14:paraId="5BDED729">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项目</w:t>
            </w:r>
          </w:p>
        </w:tc>
        <w:tc>
          <w:tcPr>
            <w:tcW w:w="1436" w:type="pct"/>
            <w:tcBorders>
              <w:top w:val="single" w:color="000000" w:sz="8" w:space="0"/>
              <w:left w:val="nil"/>
              <w:bottom w:val="single" w:color="000000" w:sz="8" w:space="0"/>
              <w:right w:val="single" w:color="000000" w:sz="8" w:space="0"/>
            </w:tcBorders>
            <w:shd w:val="clear" w:color="auto" w:fill="auto"/>
            <w:vAlign w:val="center"/>
          </w:tcPr>
          <w:p w14:paraId="1EA05A44">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金额（元）</w:t>
            </w:r>
          </w:p>
        </w:tc>
        <w:tc>
          <w:tcPr>
            <w:tcW w:w="887" w:type="pct"/>
            <w:tcBorders>
              <w:top w:val="single" w:color="000000" w:sz="8" w:space="0"/>
              <w:left w:val="nil"/>
              <w:bottom w:val="single" w:color="000000" w:sz="8" w:space="0"/>
              <w:right w:val="single" w:color="000000" w:sz="8" w:space="0"/>
            </w:tcBorders>
            <w:shd w:val="clear" w:color="auto" w:fill="auto"/>
            <w:vAlign w:val="center"/>
          </w:tcPr>
          <w:p w14:paraId="02A4D762">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占基金总资产的比例（%）</w:t>
            </w:r>
          </w:p>
        </w:tc>
      </w:tr>
      <w:tr w14:paraId="317AE1F5">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2A983430">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1</w:t>
            </w:r>
          </w:p>
        </w:tc>
        <w:tc>
          <w:tcPr>
            <w:tcW w:w="2168" w:type="pct"/>
            <w:tcBorders>
              <w:top w:val="nil"/>
              <w:left w:val="nil"/>
              <w:bottom w:val="single" w:color="000000" w:sz="8" w:space="0"/>
              <w:right w:val="single" w:color="000000" w:sz="8" w:space="0"/>
            </w:tcBorders>
            <w:shd w:val="clear" w:color="auto" w:fill="auto"/>
            <w:vAlign w:val="bottom"/>
          </w:tcPr>
          <w:p w14:paraId="7F37408D">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权益投资</w:t>
            </w:r>
          </w:p>
        </w:tc>
        <w:tc>
          <w:tcPr>
            <w:tcW w:w="1436" w:type="pct"/>
            <w:tcBorders>
              <w:top w:val="nil"/>
              <w:left w:val="nil"/>
              <w:bottom w:val="single" w:color="000000" w:sz="8" w:space="0"/>
              <w:right w:val="single" w:color="000000" w:sz="8" w:space="0"/>
            </w:tcBorders>
            <w:shd w:val="clear" w:color="auto" w:fill="auto"/>
            <w:vAlign w:val="center"/>
          </w:tcPr>
          <w:p w14:paraId="70FBB7E5">
            <w:pPr>
              <w:keepNext w:val="0"/>
              <w:keepLines w:val="0"/>
              <w:widowControl/>
              <w:suppressLineNumbers w:val="0"/>
              <w:jc w:val="right"/>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81,688,775.41</w:t>
            </w:r>
          </w:p>
        </w:tc>
        <w:tc>
          <w:tcPr>
            <w:tcW w:w="887" w:type="pct"/>
            <w:tcBorders>
              <w:top w:val="nil"/>
              <w:left w:val="nil"/>
              <w:bottom w:val="single" w:color="000000" w:sz="8" w:space="0"/>
              <w:right w:val="single" w:color="000000" w:sz="8" w:space="0"/>
            </w:tcBorders>
            <w:shd w:val="clear" w:color="auto" w:fill="auto"/>
            <w:vAlign w:val="center"/>
          </w:tcPr>
          <w:p w14:paraId="4D291BB9">
            <w:pPr>
              <w:keepNext w:val="0"/>
              <w:keepLines w:val="0"/>
              <w:widowControl/>
              <w:suppressLineNumbers w:val="0"/>
              <w:jc w:val="right"/>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38.11</w:t>
            </w:r>
          </w:p>
        </w:tc>
      </w:tr>
      <w:tr w14:paraId="1CE5982B">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1D1C779B">
            <w:pPr>
              <w:widowControl/>
              <w:snapToGrid w:val="0"/>
              <w:spacing w:line="360" w:lineRule="auto"/>
              <w:jc w:val="center"/>
              <w:rPr>
                <w:rFonts w:ascii="Times New Roman" w:hAnsi="Times New Roman" w:cs="Times New Roman"/>
                <w:color w:val="000000"/>
                <w:kern w:val="0"/>
                <w:szCs w:val="21"/>
                <w:highlight w:val="none"/>
              </w:rPr>
            </w:pPr>
          </w:p>
        </w:tc>
        <w:tc>
          <w:tcPr>
            <w:tcW w:w="2168" w:type="pct"/>
            <w:tcBorders>
              <w:top w:val="nil"/>
              <w:left w:val="nil"/>
              <w:bottom w:val="single" w:color="000000" w:sz="8" w:space="0"/>
              <w:right w:val="single" w:color="000000" w:sz="8" w:space="0"/>
            </w:tcBorders>
            <w:shd w:val="clear" w:color="auto" w:fill="auto"/>
            <w:vAlign w:val="bottom"/>
          </w:tcPr>
          <w:p w14:paraId="468FE99E">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其中：股票</w:t>
            </w:r>
          </w:p>
        </w:tc>
        <w:tc>
          <w:tcPr>
            <w:tcW w:w="1436" w:type="pct"/>
            <w:tcBorders>
              <w:top w:val="nil"/>
              <w:left w:val="nil"/>
              <w:bottom w:val="single" w:color="000000" w:sz="8" w:space="0"/>
              <w:right w:val="single" w:color="000000" w:sz="8" w:space="0"/>
            </w:tcBorders>
            <w:shd w:val="clear" w:color="auto" w:fill="auto"/>
            <w:vAlign w:val="center"/>
          </w:tcPr>
          <w:p w14:paraId="524B1C33">
            <w:pPr>
              <w:keepNext w:val="0"/>
              <w:keepLines w:val="0"/>
              <w:widowControl/>
              <w:suppressLineNumbers w:val="0"/>
              <w:jc w:val="right"/>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81,688,775.41</w:t>
            </w:r>
          </w:p>
        </w:tc>
        <w:tc>
          <w:tcPr>
            <w:tcW w:w="887" w:type="pct"/>
            <w:tcBorders>
              <w:top w:val="nil"/>
              <w:left w:val="nil"/>
              <w:bottom w:val="single" w:color="000000" w:sz="8" w:space="0"/>
              <w:right w:val="single" w:color="000000" w:sz="8" w:space="0"/>
            </w:tcBorders>
            <w:shd w:val="clear" w:color="auto" w:fill="auto"/>
            <w:vAlign w:val="center"/>
          </w:tcPr>
          <w:p w14:paraId="0D2819F3">
            <w:pPr>
              <w:keepNext w:val="0"/>
              <w:keepLines w:val="0"/>
              <w:widowControl/>
              <w:suppressLineNumbers w:val="0"/>
              <w:jc w:val="right"/>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38.11</w:t>
            </w:r>
          </w:p>
        </w:tc>
      </w:tr>
      <w:tr w14:paraId="67A3E627">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04EFA430">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2</w:t>
            </w:r>
          </w:p>
        </w:tc>
        <w:tc>
          <w:tcPr>
            <w:tcW w:w="2168" w:type="pct"/>
            <w:tcBorders>
              <w:top w:val="nil"/>
              <w:left w:val="nil"/>
              <w:bottom w:val="single" w:color="000000" w:sz="8" w:space="0"/>
              <w:right w:val="single" w:color="000000" w:sz="8" w:space="0"/>
            </w:tcBorders>
            <w:shd w:val="clear" w:color="auto" w:fill="auto"/>
            <w:vAlign w:val="bottom"/>
          </w:tcPr>
          <w:p w14:paraId="54445DD3">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固定收益投资</w:t>
            </w:r>
          </w:p>
        </w:tc>
        <w:tc>
          <w:tcPr>
            <w:tcW w:w="1436" w:type="pct"/>
            <w:tcBorders>
              <w:top w:val="nil"/>
              <w:left w:val="nil"/>
              <w:bottom w:val="single" w:color="000000" w:sz="8" w:space="0"/>
              <w:right w:val="single" w:color="000000" w:sz="8" w:space="0"/>
            </w:tcBorders>
            <w:shd w:val="clear" w:color="auto" w:fill="auto"/>
            <w:vAlign w:val="center"/>
          </w:tcPr>
          <w:p w14:paraId="743CB73B">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887" w:type="pct"/>
            <w:tcBorders>
              <w:top w:val="nil"/>
              <w:left w:val="nil"/>
              <w:bottom w:val="single" w:color="000000" w:sz="8" w:space="0"/>
              <w:right w:val="single" w:color="000000" w:sz="8" w:space="0"/>
            </w:tcBorders>
            <w:shd w:val="clear" w:color="auto" w:fill="auto"/>
            <w:vAlign w:val="center"/>
          </w:tcPr>
          <w:p w14:paraId="617214F1">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3820BC99">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0AF161BF">
            <w:pPr>
              <w:widowControl/>
              <w:snapToGrid w:val="0"/>
              <w:spacing w:line="360" w:lineRule="auto"/>
              <w:jc w:val="center"/>
              <w:rPr>
                <w:rFonts w:ascii="Times New Roman" w:hAnsi="Times New Roman" w:cs="Times New Roman"/>
                <w:color w:val="000000"/>
                <w:kern w:val="0"/>
                <w:szCs w:val="21"/>
                <w:highlight w:val="none"/>
              </w:rPr>
            </w:pPr>
          </w:p>
        </w:tc>
        <w:tc>
          <w:tcPr>
            <w:tcW w:w="2168" w:type="pct"/>
            <w:tcBorders>
              <w:top w:val="nil"/>
              <w:left w:val="nil"/>
              <w:bottom w:val="single" w:color="000000" w:sz="8" w:space="0"/>
              <w:right w:val="single" w:color="000000" w:sz="8" w:space="0"/>
            </w:tcBorders>
            <w:shd w:val="clear" w:color="auto" w:fill="auto"/>
            <w:vAlign w:val="bottom"/>
          </w:tcPr>
          <w:p w14:paraId="154B9623">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其中：债券</w:t>
            </w:r>
          </w:p>
        </w:tc>
        <w:tc>
          <w:tcPr>
            <w:tcW w:w="1436" w:type="pct"/>
            <w:tcBorders>
              <w:top w:val="nil"/>
              <w:left w:val="nil"/>
              <w:bottom w:val="single" w:color="000000" w:sz="8" w:space="0"/>
              <w:right w:val="single" w:color="000000" w:sz="8" w:space="0"/>
            </w:tcBorders>
            <w:shd w:val="clear" w:color="auto" w:fill="auto"/>
            <w:vAlign w:val="center"/>
          </w:tcPr>
          <w:p w14:paraId="5BEE561E">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887" w:type="pct"/>
            <w:tcBorders>
              <w:top w:val="nil"/>
              <w:left w:val="nil"/>
              <w:bottom w:val="single" w:color="000000" w:sz="8" w:space="0"/>
              <w:right w:val="single" w:color="000000" w:sz="8" w:space="0"/>
            </w:tcBorders>
            <w:shd w:val="clear" w:color="auto" w:fill="auto"/>
            <w:vAlign w:val="center"/>
          </w:tcPr>
          <w:p w14:paraId="3B930DCD">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1F72C4F0">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4162A6F0">
            <w:pPr>
              <w:widowControl/>
              <w:snapToGrid w:val="0"/>
              <w:spacing w:line="360" w:lineRule="auto"/>
              <w:jc w:val="center"/>
              <w:rPr>
                <w:rFonts w:ascii="Times New Roman" w:hAnsi="Times New Roman" w:cs="Times New Roman"/>
                <w:color w:val="000000"/>
                <w:kern w:val="0"/>
                <w:szCs w:val="21"/>
                <w:highlight w:val="none"/>
              </w:rPr>
            </w:pPr>
          </w:p>
        </w:tc>
        <w:tc>
          <w:tcPr>
            <w:tcW w:w="2168" w:type="pct"/>
            <w:tcBorders>
              <w:top w:val="nil"/>
              <w:left w:val="nil"/>
              <w:bottom w:val="single" w:color="000000" w:sz="8" w:space="0"/>
              <w:right w:val="single" w:color="000000" w:sz="8" w:space="0"/>
            </w:tcBorders>
            <w:shd w:val="clear" w:color="auto" w:fill="auto"/>
            <w:vAlign w:val="bottom"/>
          </w:tcPr>
          <w:p w14:paraId="6339A969">
            <w:pPr>
              <w:widowControl/>
              <w:snapToGrid w:val="0"/>
              <w:spacing w:line="360" w:lineRule="auto"/>
              <w:ind w:firstLine="630" w:firstLineChars="300"/>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资产支持证券</w:t>
            </w:r>
          </w:p>
        </w:tc>
        <w:tc>
          <w:tcPr>
            <w:tcW w:w="1436" w:type="pct"/>
            <w:tcBorders>
              <w:top w:val="nil"/>
              <w:left w:val="nil"/>
              <w:bottom w:val="single" w:color="000000" w:sz="8" w:space="0"/>
              <w:right w:val="single" w:color="000000" w:sz="8" w:space="0"/>
            </w:tcBorders>
            <w:shd w:val="clear" w:color="auto" w:fill="auto"/>
            <w:vAlign w:val="center"/>
          </w:tcPr>
          <w:p w14:paraId="2597D514">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887" w:type="pct"/>
            <w:tcBorders>
              <w:top w:val="nil"/>
              <w:left w:val="nil"/>
              <w:bottom w:val="single" w:color="000000" w:sz="8" w:space="0"/>
              <w:right w:val="single" w:color="000000" w:sz="8" w:space="0"/>
            </w:tcBorders>
            <w:shd w:val="clear" w:color="auto" w:fill="auto"/>
            <w:vAlign w:val="center"/>
          </w:tcPr>
          <w:p w14:paraId="656BE64F">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5B00B1F1">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62CA1B9D">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3</w:t>
            </w:r>
          </w:p>
        </w:tc>
        <w:tc>
          <w:tcPr>
            <w:tcW w:w="2168" w:type="pct"/>
            <w:tcBorders>
              <w:top w:val="nil"/>
              <w:left w:val="nil"/>
              <w:bottom w:val="single" w:color="000000" w:sz="8" w:space="0"/>
              <w:right w:val="single" w:color="000000" w:sz="8" w:space="0"/>
            </w:tcBorders>
            <w:shd w:val="clear" w:color="auto" w:fill="auto"/>
            <w:vAlign w:val="bottom"/>
          </w:tcPr>
          <w:p w14:paraId="0797893E">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金融衍生品投资</w:t>
            </w:r>
          </w:p>
        </w:tc>
        <w:tc>
          <w:tcPr>
            <w:tcW w:w="1436" w:type="pct"/>
            <w:tcBorders>
              <w:top w:val="nil"/>
              <w:left w:val="nil"/>
              <w:bottom w:val="single" w:color="000000" w:sz="8" w:space="0"/>
              <w:right w:val="single" w:color="000000" w:sz="8" w:space="0"/>
            </w:tcBorders>
            <w:shd w:val="clear" w:color="auto" w:fill="auto"/>
            <w:vAlign w:val="center"/>
          </w:tcPr>
          <w:p w14:paraId="086B851F">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887" w:type="pct"/>
            <w:tcBorders>
              <w:top w:val="nil"/>
              <w:left w:val="nil"/>
              <w:bottom w:val="single" w:color="000000" w:sz="8" w:space="0"/>
              <w:right w:val="single" w:color="000000" w:sz="8" w:space="0"/>
            </w:tcBorders>
            <w:shd w:val="clear" w:color="auto" w:fill="auto"/>
            <w:vAlign w:val="center"/>
          </w:tcPr>
          <w:p w14:paraId="753E5864">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75074511">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0B41738C">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4</w:t>
            </w:r>
          </w:p>
        </w:tc>
        <w:tc>
          <w:tcPr>
            <w:tcW w:w="2168" w:type="pct"/>
            <w:tcBorders>
              <w:top w:val="nil"/>
              <w:left w:val="nil"/>
              <w:bottom w:val="single" w:color="000000" w:sz="8" w:space="0"/>
              <w:right w:val="single" w:color="000000" w:sz="8" w:space="0"/>
            </w:tcBorders>
            <w:shd w:val="clear" w:color="auto" w:fill="auto"/>
            <w:vAlign w:val="bottom"/>
          </w:tcPr>
          <w:p w14:paraId="2DDB31B0">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买入返售金融资产</w:t>
            </w:r>
          </w:p>
        </w:tc>
        <w:tc>
          <w:tcPr>
            <w:tcW w:w="1436" w:type="pct"/>
            <w:tcBorders>
              <w:top w:val="nil"/>
              <w:left w:val="nil"/>
              <w:bottom w:val="single" w:color="000000" w:sz="8" w:space="0"/>
              <w:right w:val="single" w:color="000000" w:sz="8" w:space="0"/>
            </w:tcBorders>
            <w:shd w:val="clear" w:color="auto" w:fill="auto"/>
            <w:vAlign w:val="center"/>
          </w:tcPr>
          <w:p w14:paraId="6FC88BDF">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887" w:type="pct"/>
            <w:tcBorders>
              <w:top w:val="nil"/>
              <w:left w:val="nil"/>
              <w:bottom w:val="single" w:color="000000" w:sz="8" w:space="0"/>
              <w:right w:val="single" w:color="000000" w:sz="8" w:space="0"/>
            </w:tcBorders>
            <w:shd w:val="clear" w:color="auto" w:fill="auto"/>
            <w:vAlign w:val="center"/>
          </w:tcPr>
          <w:p w14:paraId="366952D3">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2BBD3142">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6163C691">
            <w:pPr>
              <w:widowControl/>
              <w:snapToGrid w:val="0"/>
              <w:spacing w:line="360" w:lineRule="auto"/>
              <w:jc w:val="center"/>
              <w:rPr>
                <w:rFonts w:ascii="Times New Roman" w:hAnsi="Times New Roman" w:cs="Times New Roman"/>
                <w:color w:val="000000"/>
                <w:kern w:val="0"/>
                <w:szCs w:val="21"/>
                <w:highlight w:val="none"/>
              </w:rPr>
            </w:pPr>
          </w:p>
        </w:tc>
        <w:tc>
          <w:tcPr>
            <w:tcW w:w="2168" w:type="pct"/>
            <w:tcBorders>
              <w:top w:val="nil"/>
              <w:left w:val="nil"/>
              <w:bottom w:val="single" w:color="000000" w:sz="8" w:space="0"/>
              <w:right w:val="single" w:color="000000" w:sz="8" w:space="0"/>
            </w:tcBorders>
            <w:shd w:val="clear" w:color="auto" w:fill="auto"/>
            <w:vAlign w:val="bottom"/>
          </w:tcPr>
          <w:p w14:paraId="62E5EC9B">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其中：买断式回购的买入返售金融资产</w:t>
            </w:r>
          </w:p>
        </w:tc>
        <w:tc>
          <w:tcPr>
            <w:tcW w:w="1436" w:type="pct"/>
            <w:tcBorders>
              <w:top w:val="nil"/>
              <w:left w:val="nil"/>
              <w:bottom w:val="single" w:color="000000" w:sz="8" w:space="0"/>
              <w:right w:val="single" w:color="000000" w:sz="8" w:space="0"/>
            </w:tcBorders>
            <w:shd w:val="clear" w:color="auto" w:fill="auto"/>
            <w:vAlign w:val="center"/>
          </w:tcPr>
          <w:p w14:paraId="029F291D">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887" w:type="pct"/>
            <w:tcBorders>
              <w:top w:val="nil"/>
              <w:left w:val="nil"/>
              <w:bottom w:val="single" w:color="000000" w:sz="8" w:space="0"/>
              <w:right w:val="single" w:color="000000" w:sz="8" w:space="0"/>
            </w:tcBorders>
            <w:shd w:val="clear" w:color="auto" w:fill="auto"/>
            <w:vAlign w:val="center"/>
          </w:tcPr>
          <w:p w14:paraId="4156241C">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5306F94E">
        <w:tblPrEx>
          <w:tblCellMar>
            <w:top w:w="0" w:type="dxa"/>
            <w:left w:w="108" w:type="dxa"/>
            <w:bottom w:w="0" w:type="dxa"/>
            <w:right w:w="108" w:type="dxa"/>
          </w:tblCellMar>
        </w:tblPrEx>
        <w:trPr>
          <w:trHeight w:val="48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40A29CD8">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5</w:t>
            </w:r>
          </w:p>
        </w:tc>
        <w:tc>
          <w:tcPr>
            <w:tcW w:w="2168" w:type="pct"/>
            <w:tcBorders>
              <w:top w:val="nil"/>
              <w:left w:val="nil"/>
              <w:bottom w:val="single" w:color="000000" w:sz="8" w:space="0"/>
              <w:right w:val="single" w:color="000000" w:sz="8" w:space="0"/>
            </w:tcBorders>
            <w:shd w:val="clear" w:color="auto" w:fill="auto"/>
            <w:vAlign w:val="bottom"/>
          </w:tcPr>
          <w:p w14:paraId="0BEED4AD">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银行存款和结算备付金合计</w:t>
            </w:r>
          </w:p>
        </w:tc>
        <w:tc>
          <w:tcPr>
            <w:tcW w:w="1436" w:type="pct"/>
            <w:tcBorders>
              <w:top w:val="nil"/>
              <w:left w:val="nil"/>
              <w:bottom w:val="single" w:color="000000" w:sz="8" w:space="0"/>
              <w:right w:val="single" w:color="000000" w:sz="8" w:space="0"/>
            </w:tcBorders>
            <w:shd w:val="clear" w:color="auto" w:fill="auto"/>
            <w:vAlign w:val="center"/>
          </w:tcPr>
          <w:p w14:paraId="36DC4E39">
            <w:pPr>
              <w:keepNext w:val="0"/>
              <w:keepLines w:val="0"/>
              <w:widowControl/>
              <w:suppressLineNumbers w:val="0"/>
              <w:jc w:val="right"/>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132,675,567.84</w:t>
            </w:r>
          </w:p>
        </w:tc>
        <w:tc>
          <w:tcPr>
            <w:tcW w:w="887" w:type="pct"/>
            <w:tcBorders>
              <w:top w:val="nil"/>
              <w:left w:val="nil"/>
              <w:bottom w:val="single" w:color="000000" w:sz="8" w:space="0"/>
              <w:right w:val="single" w:color="000000" w:sz="8" w:space="0"/>
            </w:tcBorders>
            <w:shd w:val="clear" w:color="auto" w:fill="auto"/>
            <w:vAlign w:val="center"/>
          </w:tcPr>
          <w:p w14:paraId="032BBFB9">
            <w:pPr>
              <w:keepNext w:val="0"/>
              <w:keepLines w:val="0"/>
              <w:widowControl/>
              <w:suppressLineNumbers w:val="0"/>
              <w:jc w:val="right"/>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61.89</w:t>
            </w:r>
          </w:p>
        </w:tc>
      </w:tr>
      <w:tr w14:paraId="03574EEC">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43E01B7D">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6</w:t>
            </w:r>
          </w:p>
        </w:tc>
        <w:tc>
          <w:tcPr>
            <w:tcW w:w="2168" w:type="pct"/>
            <w:tcBorders>
              <w:top w:val="nil"/>
              <w:left w:val="nil"/>
              <w:bottom w:val="single" w:color="000000" w:sz="8" w:space="0"/>
              <w:right w:val="single" w:color="000000" w:sz="8" w:space="0"/>
            </w:tcBorders>
            <w:shd w:val="clear" w:color="auto" w:fill="auto"/>
            <w:vAlign w:val="bottom"/>
          </w:tcPr>
          <w:p w14:paraId="7BDE1BDA">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其他资产</w:t>
            </w:r>
          </w:p>
        </w:tc>
        <w:tc>
          <w:tcPr>
            <w:tcW w:w="1436" w:type="pct"/>
            <w:tcBorders>
              <w:top w:val="nil"/>
              <w:left w:val="nil"/>
              <w:bottom w:val="single" w:color="000000" w:sz="8" w:space="0"/>
              <w:right w:val="single" w:color="000000" w:sz="8" w:space="0"/>
            </w:tcBorders>
            <w:shd w:val="clear" w:color="auto" w:fill="auto"/>
            <w:vAlign w:val="center"/>
          </w:tcPr>
          <w:p w14:paraId="7EE69C6D">
            <w:pPr>
              <w:jc w:val="right"/>
              <w:rPr>
                <w:rFonts w:hint="eastAsia" w:ascii="宋体" w:hAnsi="宋体" w:eastAsia="宋体" w:cs="宋体"/>
                <w:color w:val="000000"/>
                <w:kern w:val="0"/>
                <w:sz w:val="21"/>
                <w:szCs w:val="21"/>
                <w:highlight w:val="none"/>
                <w:u w:val="none"/>
                <w:lang w:bidi="ar"/>
              </w:rPr>
            </w:pPr>
            <w:r>
              <w:rPr>
                <w:rFonts w:hint="eastAsia" w:ascii="宋体" w:hAnsi="宋体" w:eastAsia="宋体" w:cs="宋体"/>
                <w:highlight w:val="none"/>
                <w:lang w:val="en-US" w:eastAsia="zh-CN"/>
              </w:rPr>
              <w:t>-</w:t>
            </w:r>
          </w:p>
        </w:tc>
        <w:tc>
          <w:tcPr>
            <w:tcW w:w="887" w:type="pct"/>
            <w:tcBorders>
              <w:top w:val="nil"/>
              <w:left w:val="nil"/>
              <w:bottom w:val="single" w:color="000000" w:sz="8" w:space="0"/>
              <w:right w:val="single" w:color="000000" w:sz="8" w:space="0"/>
            </w:tcBorders>
            <w:shd w:val="clear" w:color="auto" w:fill="auto"/>
            <w:vAlign w:val="center"/>
          </w:tcPr>
          <w:p w14:paraId="4BADD1C0">
            <w:pPr>
              <w:jc w:val="right"/>
              <w:rPr>
                <w:rFonts w:hint="eastAsia" w:ascii="宋体" w:hAnsi="宋体" w:eastAsia="宋体" w:cs="宋体"/>
                <w:color w:val="000000"/>
                <w:kern w:val="0"/>
                <w:sz w:val="21"/>
                <w:szCs w:val="21"/>
                <w:highlight w:val="none"/>
                <w:u w:val="none"/>
                <w:lang w:val="en-US" w:eastAsia="zh-CN" w:bidi="ar"/>
              </w:rPr>
            </w:pPr>
            <w:r>
              <w:rPr>
                <w:rFonts w:hint="eastAsia" w:ascii="宋体" w:hAnsi="宋体" w:eastAsia="宋体" w:cs="宋体"/>
                <w:highlight w:val="none"/>
                <w:lang w:val="en-US" w:eastAsia="zh-CN"/>
              </w:rPr>
              <w:t>-</w:t>
            </w:r>
          </w:p>
        </w:tc>
      </w:tr>
      <w:tr w14:paraId="3350A69D">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3A14CF7A">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7</w:t>
            </w:r>
          </w:p>
        </w:tc>
        <w:tc>
          <w:tcPr>
            <w:tcW w:w="2168" w:type="pct"/>
            <w:tcBorders>
              <w:top w:val="nil"/>
              <w:left w:val="nil"/>
              <w:bottom w:val="single" w:color="000000" w:sz="8" w:space="0"/>
              <w:right w:val="single" w:color="000000" w:sz="8" w:space="0"/>
            </w:tcBorders>
            <w:shd w:val="clear" w:color="auto" w:fill="auto"/>
            <w:vAlign w:val="bottom"/>
          </w:tcPr>
          <w:p w14:paraId="0F67E739">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合计</w:t>
            </w:r>
          </w:p>
        </w:tc>
        <w:tc>
          <w:tcPr>
            <w:tcW w:w="1436" w:type="pct"/>
            <w:tcBorders>
              <w:top w:val="nil"/>
              <w:left w:val="nil"/>
              <w:bottom w:val="single" w:color="000000" w:sz="8" w:space="0"/>
              <w:right w:val="single" w:color="000000" w:sz="8" w:space="0"/>
            </w:tcBorders>
            <w:shd w:val="clear" w:color="auto" w:fill="auto"/>
            <w:vAlign w:val="center"/>
          </w:tcPr>
          <w:p w14:paraId="3CC15D8D">
            <w:pPr>
              <w:keepNext w:val="0"/>
              <w:keepLines w:val="0"/>
              <w:widowControl/>
              <w:suppressLineNumbers w:val="0"/>
              <w:jc w:val="right"/>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214,364,343.25</w:t>
            </w:r>
          </w:p>
        </w:tc>
        <w:tc>
          <w:tcPr>
            <w:tcW w:w="887" w:type="pct"/>
            <w:tcBorders>
              <w:top w:val="nil"/>
              <w:left w:val="nil"/>
              <w:bottom w:val="single" w:color="000000" w:sz="8" w:space="0"/>
              <w:right w:val="single" w:color="000000" w:sz="8" w:space="0"/>
            </w:tcBorders>
            <w:shd w:val="clear" w:color="auto" w:fill="auto"/>
            <w:vAlign w:val="center"/>
          </w:tcPr>
          <w:p w14:paraId="18AF87B3">
            <w:pPr>
              <w:keepNext w:val="0"/>
              <w:keepLines w:val="0"/>
              <w:widowControl/>
              <w:suppressLineNumbers w:val="0"/>
              <w:jc w:val="right"/>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100.00</w:t>
            </w:r>
          </w:p>
        </w:tc>
      </w:tr>
    </w:tbl>
    <w:p w14:paraId="5F8BAB0E">
      <w:pPr>
        <w:widowControl/>
        <w:numPr>
          <w:ilvl w:val="0"/>
          <w:numId w:val="2"/>
        </w:numPr>
        <w:adjustRightInd w:val="0"/>
        <w:snapToGrid w:val="0"/>
        <w:spacing w:before="156" w:beforeLines="50"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按行业分类的股票投资组合</w:t>
      </w:r>
    </w:p>
    <w:tbl>
      <w:tblPr>
        <w:tblStyle w:val="11"/>
        <w:tblW w:w="5000" w:type="pct"/>
        <w:tblInd w:w="0" w:type="dxa"/>
        <w:tblLayout w:type="autofit"/>
        <w:tblCellMar>
          <w:top w:w="0" w:type="dxa"/>
          <w:left w:w="108" w:type="dxa"/>
          <w:bottom w:w="0" w:type="dxa"/>
          <w:right w:w="108" w:type="dxa"/>
        </w:tblCellMar>
      </w:tblPr>
      <w:tblGrid>
        <w:gridCol w:w="806"/>
        <w:gridCol w:w="4261"/>
        <w:gridCol w:w="2264"/>
        <w:gridCol w:w="1185"/>
      </w:tblGrid>
      <w:tr w14:paraId="71D746DC">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C99573A">
            <w:pPr>
              <w:adjustRightInd w:val="0"/>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代码</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7A20377F">
            <w:pPr>
              <w:adjustRightInd w:val="0"/>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行业类别</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3C5C743E">
            <w:pPr>
              <w:adjustRightInd w:val="0"/>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公允价值（元）</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137DF558">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占基金资产净值比例（％）</w:t>
            </w:r>
          </w:p>
        </w:tc>
      </w:tr>
      <w:tr w14:paraId="4FD760A4">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F593F48">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A</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329D6CA9">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农、林、牧、渔业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0A8083E1">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5EEA282D">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7BE4C991">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2A2FF12">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B</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7ACB1DEA">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采矿业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13256BF7">
            <w:pPr>
              <w:keepNext w:val="0"/>
              <w:keepLines w:val="0"/>
              <w:widowControl/>
              <w:suppressLineNumbers w:val="0"/>
              <w:jc w:val="righ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15,358,763.00</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4B86B0D3">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7.17</w:t>
            </w:r>
          </w:p>
        </w:tc>
      </w:tr>
      <w:tr w14:paraId="31631782">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60BF6C0">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C</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7D6EB60E">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制造业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5A4E6A5A">
            <w:pPr>
              <w:keepNext w:val="0"/>
              <w:keepLines w:val="0"/>
              <w:widowControl/>
              <w:suppressLineNumbers w:val="0"/>
              <w:jc w:val="right"/>
              <w:textAlignment w:val="center"/>
              <w:rPr>
                <w:rFonts w:hint="eastAsia" w:ascii="宋体" w:hAnsi="宋体" w:eastAsia="宋体" w:cs="宋体"/>
                <w:highlight w:val="none"/>
                <w:lang w:eastAsia="zh-CN"/>
              </w:rPr>
            </w:pPr>
            <w:r>
              <w:rPr>
                <w:rFonts w:hint="eastAsia" w:ascii="宋体" w:hAnsi="宋体" w:eastAsia="宋体" w:cs="宋体"/>
                <w:i w:val="0"/>
                <w:iCs w:val="0"/>
                <w:color w:val="000000"/>
                <w:kern w:val="0"/>
                <w:sz w:val="22"/>
                <w:szCs w:val="22"/>
                <w:u w:val="none"/>
                <w:lang w:val="en-US" w:eastAsia="zh-CN" w:bidi="ar"/>
              </w:rPr>
              <w:t>65,351,707.41</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74D1EC61">
            <w:pPr>
              <w:keepNext w:val="0"/>
              <w:keepLines w:val="0"/>
              <w:widowControl/>
              <w:suppressLineNumbers w:val="0"/>
              <w:jc w:val="right"/>
              <w:textAlignment w:val="center"/>
              <w:rPr>
                <w:rFonts w:hint="eastAsia" w:ascii="宋体" w:hAnsi="宋体" w:eastAsia="宋体" w:cs="宋体"/>
                <w:highlight w:val="none"/>
                <w:lang w:eastAsia="zh-CN"/>
              </w:rPr>
            </w:pPr>
            <w:r>
              <w:rPr>
                <w:rFonts w:hint="eastAsia" w:ascii="宋体" w:hAnsi="宋体" w:eastAsia="宋体" w:cs="宋体"/>
                <w:i w:val="0"/>
                <w:iCs w:val="0"/>
                <w:color w:val="000000"/>
                <w:kern w:val="0"/>
                <w:sz w:val="22"/>
                <w:szCs w:val="22"/>
                <w:u w:val="none"/>
                <w:lang w:val="en-US" w:eastAsia="zh-CN" w:bidi="ar"/>
              </w:rPr>
              <w:t>30.49</w:t>
            </w:r>
          </w:p>
        </w:tc>
      </w:tr>
      <w:tr w14:paraId="16B77732">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5FB0423">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D</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5B69BB88">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电力、热力、燃气及水生产和供应业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3D386223">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978,305.00</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7B3B3127">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0.46</w:t>
            </w:r>
          </w:p>
        </w:tc>
      </w:tr>
      <w:tr w14:paraId="3AB189A1">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6D75F17">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E</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72831E4B">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建筑业</w:t>
            </w:r>
          </w:p>
        </w:tc>
        <w:tc>
          <w:tcPr>
            <w:tcW w:w="1329" w:type="pct"/>
            <w:tcBorders>
              <w:top w:val="single" w:color="000000" w:sz="8" w:space="0"/>
              <w:left w:val="nil"/>
              <w:bottom w:val="single" w:color="000000" w:sz="8" w:space="0"/>
              <w:right w:val="single" w:color="000000" w:sz="8" w:space="0"/>
            </w:tcBorders>
            <w:shd w:val="clear" w:color="auto" w:fill="auto"/>
            <w:vAlign w:val="top"/>
          </w:tcPr>
          <w:p w14:paraId="49D886E7">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top"/>
          </w:tcPr>
          <w:p w14:paraId="7A2595E1">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67C74F67">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C21A72C">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F</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5AA49583">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批发和零售业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07232355">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3D5E8082">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308111EA">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2318635">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G</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1C8735C8">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交通运输、仓储和邮政业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58792A85">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45E97A7A">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1031DA32">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9422647">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H</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5D6252B0">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住宿和餐饮业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3CC6739C">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0D8B9E34">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5F64C1FD">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36CD629">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I</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44596155">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信息传输、软件和信息技术服务业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1AADACEB">
            <w:pPr>
              <w:jc w:val="right"/>
              <w:rPr>
                <w:rFonts w:hint="eastAsia" w:ascii="宋体" w:hAnsi="宋体" w:eastAsia="宋体" w:cs="宋体"/>
                <w:highlight w:val="none"/>
                <w:lang w:eastAsia="zh-CN"/>
              </w:rPr>
            </w:pPr>
            <w:r>
              <w:rPr>
                <w:rFonts w:hint="eastAsia" w:ascii="宋体" w:hAnsi="宋体" w:eastAsia="宋体" w:cs="宋体"/>
                <w:sz w:val="21"/>
                <w:szCs w:val="21"/>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52274B0D">
            <w:pPr>
              <w:jc w:val="right"/>
              <w:rPr>
                <w:rFonts w:hint="eastAsia" w:ascii="宋体" w:hAnsi="宋体" w:eastAsia="宋体" w:cs="宋体"/>
                <w:highlight w:val="none"/>
                <w:lang w:eastAsia="zh-CN"/>
              </w:rPr>
            </w:pPr>
            <w:r>
              <w:rPr>
                <w:rFonts w:hint="eastAsia" w:ascii="宋体" w:hAnsi="宋体" w:eastAsia="宋体" w:cs="宋体"/>
                <w:sz w:val="21"/>
                <w:szCs w:val="21"/>
                <w:highlight w:val="none"/>
                <w:lang w:val="en-US" w:eastAsia="zh-CN"/>
              </w:rPr>
              <w:t>-</w:t>
            </w:r>
          </w:p>
        </w:tc>
      </w:tr>
      <w:tr w14:paraId="36F93C99">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AE59EF6">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J</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3B316F7B">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金融业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58015130">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7257647C">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70BE0594">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95E2C9B">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K</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1A02DAFD">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房地产业</w:t>
            </w:r>
          </w:p>
        </w:tc>
        <w:tc>
          <w:tcPr>
            <w:tcW w:w="1329" w:type="pct"/>
            <w:tcBorders>
              <w:top w:val="single" w:color="000000" w:sz="8" w:space="0"/>
              <w:left w:val="nil"/>
              <w:bottom w:val="single" w:color="000000" w:sz="8" w:space="0"/>
              <w:right w:val="single" w:color="000000" w:sz="8" w:space="0"/>
            </w:tcBorders>
            <w:shd w:val="clear" w:color="auto" w:fill="auto"/>
            <w:vAlign w:val="top"/>
          </w:tcPr>
          <w:p w14:paraId="1B9F2E7A">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top"/>
          </w:tcPr>
          <w:p w14:paraId="41BF8806">
            <w:pPr>
              <w:jc w:val="right"/>
              <w:rPr>
                <w:rFonts w:hint="eastAsia" w:ascii="宋体" w:hAnsi="宋体" w:eastAsia="宋体" w:cs="宋体"/>
                <w:highlight w:val="none"/>
              </w:rPr>
            </w:pPr>
            <w:r>
              <w:rPr>
                <w:rFonts w:hint="eastAsia" w:ascii="宋体" w:hAnsi="宋体" w:eastAsia="宋体" w:cs="宋体"/>
                <w:highlight w:val="none"/>
              </w:rPr>
              <w:t>-</w:t>
            </w:r>
          </w:p>
        </w:tc>
      </w:tr>
      <w:tr w14:paraId="6E0AC223">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494EC3E">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L</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2BD6C479">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租赁和商务服务业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421E3F2E">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0DF6CE2C">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0D801B3D">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24989AD">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M</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5045C1A1">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科学研究和技术服务业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091E8C23">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1BE05227">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03E0AA28">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9CE0D16">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N</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5D3F8BBD">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水利、环境和公共设施管理业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2BED470C">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039241C8">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270DD3F8">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DCE37F1">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O</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12FECFB6">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居民服务、修理和其他服务业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2846196C">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5B3646D8">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32AA7498">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81C47E8">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P</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5B0ECABF">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教育</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0051B763">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537568CF">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3AC9010F">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EE1721D">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Q</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3C373E7A">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卫生和社会工作</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7AAE835C">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3BA3EA2E">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305DB76E">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907DD1C">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R</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5E3FE047">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文化、体育和娱乐业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794BAC85">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70CCE9CE">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3586FCF7">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1E1816F">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S</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4794398B">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综合</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480FE822">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3DBFA3E4">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553688BB">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2DC1E07">
            <w:pPr>
              <w:adjustRightInd w:val="0"/>
              <w:snapToGrid w:val="0"/>
              <w:spacing w:line="360" w:lineRule="auto"/>
              <w:rPr>
                <w:rFonts w:ascii="Times New Roman" w:hAnsi="Times New Roman" w:cs="Times New Roman"/>
                <w:color w:val="000000"/>
                <w:kern w:val="0"/>
                <w:szCs w:val="21"/>
                <w:highlight w:val="none"/>
              </w:rPr>
            </w:pP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736D173C">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合计</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400DC772">
            <w:pPr>
              <w:keepNext w:val="0"/>
              <w:keepLines w:val="0"/>
              <w:widowControl/>
              <w:suppressLineNumbers w:val="0"/>
              <w:jc w:val="right"/>
              <w:textAlignment w:val="center"/>
              <w:rPr>
                <w:rFonts w:hint="eastAsia" w:ascii="宋体" w:hAnsi="宋体" w:eastAsia="宋体" w:cs="宋体"/>
                <w:highlight w:val="none"/>
                <w:lang w:eastAsia="zh-CN"/>
              </w:rPr>
            </w:pPr>
            <w:r>
              <w:rPr>
                <w:rFonts w:hint="eastAsia" w:ascii="宋体" w:hAnsi="宋体" w:eastAsia="宋体" w:cs="宋体"/>
                <w:i w:val="0"/>
                <w:iCs w:val="0"/>
                <w:color w:val="000000"/>
                <w:kern w:val="0"/>
                <w:sz w:val="22"/>
                <w:szCs w:val="22"/>
                <w:u w:val="none"/>
                <w:lang w:val="en-US" w:eastAsia="zh-CN" w:bidi="ar"/>
              </w:rPr>
              <w:t>81,688,775.41</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44D5A069">
            <w:pPr>
              <w:keepNext w:val="0"/>
              <w:keepLines w:val="0"/>
              <w:widowControl/>
              <w:suppressLineNumbers w:val="0"/>
              <w:jc w:val="right"/>
              <w:textAlignment w:val="center"/>
              <w:rPr>
                <w:rFonts w:hint="eastAsia" w:ascii="宋体" w:hAnsi="宋体" w:eastAsia="宋体" w:cs="宋体"/>
                <w:highlight w:val="none"/>
                <w:lang w:eastAsia="zh-CN"/>
              </w:rPr>
            </w:pPr>
            <w:r>
              <w:rPr>
                <w:rFonts w:hint="eastAsia" w:ascii="宋体" w:hAnsi="宋体" w:eastAsia="宋体" w:cs="宋体"/>
                <w:i w:val="0"/>
                <w:iCs w:val="0"/>
                <w:color w:val="000000"/>
                <w:kern w:val="0"/>
                <w:sz w:val="22"/>
                <w:szCs w:val="22"/>
                <w:u w:val="none"/>
                <w:lang w:val="en-US" w:eastAsia="zh-CN" w:bidi="ar"/>
              </w:rPr>
              <w:t>38.11</w:t>
            </w:r>
          </w:p>
        </w:tc>
      </w:tr>
    </w:tbl>
    <w:p w14:paraId="386854D5">
      <w:pPr>
        <w:widowControl/>
        <w:numPr>
          <w:ilvl w:val="0"/>
          <w:numId w:val="2"/>
        </w:numPr>
        <w:adjustRightInd w:val="0"/>
        <w:snapToGrid w:val="0"/>
        <w:spacing w:before="156" w:beforeLines="50" w:line="360" w:lineRule="auto"/>
        <w:ind w:left="0" w:leftChars="0" w:firstLine="0" w:firstLineChars="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期末按公允价值占基金资产净值比例大小排序的前十名股票明细</w:t>
      </w:r>
    </w:p>
    <w:tbl>
      <w:tblPr>
        <w:tblStyle w:val="11"/>
        <w:tblW w:w="5102" w:type="pct"/>
        <w:tblInd w:w="-176" w:type="dxa"/>
        <w:tblLayout w:type="fixed"/>
        <w:tblCellMar>
          <w:top w:w="0" w:type="dxa"/>
          <w:left w:w="108" w:type="dxa"/>
          <w:bottom w:w="0" w:type="dxa"/>
          <w:right w:w="108" w:type="dxa"/>
        </w:tblCellMar>
      </w:tblPr>
      <w:tblGrid>
        <w:gridCol w:w="748"/>
        <w:gridCol w:w="1323"/>
        <w:gridCol w:w="1188"/>
        <w:gridCol w:w="1559"/>
        <w:gridCol w:w="2394"/>
        <w:gridCol w:w="1479"/>
      </w:tblGrid>
      <w:tr w14:paraId="5A3D7293">
        <w:trPr>
          <w:trHeight w:val="870" w:hRule="atLeast"/>
        </w:trPr>
        <w:tc>
          <w:tcPr>
            <w:tcW w:w="430" w:type="pct"/>
            <w:tcBorders>
              <w:top w:val="single" w:color="000000" w:sz="8" w:space="0"/>
              <w:left w:val="single" w:color="000000" w:sz="8" w:space="0"/>
              <w:bottom w:val="single" w:color="000000" w:sz="8" w:space="0"/>
              <w:right w:val="single" w:color="000000" w:sz="8" w:space="0"/>
            </w:tcBorders>
            <w:noWrap w:val="0"/>
            <w:vAlign w:val="center"/>
          </w:tcPr>
          <w:p w14:paraId="4A4C19FF">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序号</w:t>
            </w:r>
          </w:p>
        </w:tc>
        <w:tc>
          <w:tcPr>
            <w:tcW w:w="761" w:type="pct"/>
            <w:tcBorders>
              <w:top w:val="single" w:color="000000" w:sz="8" w:space="0"/>
              <w:left w:val="nil"/>
              <w:bottom w:val="single" w:color="000000" w:sz="8" w:space="0"/>
              <w:right w:val="single" w:color="000000" w:sz="8" w:space="0"/>
            </w:tcBorders>
            <w:noWrap w:val="0"/>
            <w:vAlign w:val="center"/>
          </w:tcPr>
          <w:p w14:paraId="145B0700">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股票代码</w:t>
            </w:r>
          </w:p>
        </w:tc>
        <w:tc>
          <w:tcPr>
            <w:tcW w:w="683" w:type="pct"/>
            <w:tcBorders>
              <w:top w:val="single" w:color="000000" w:sz="8" w:space="0"/>
              <w:left w:val="nil"/>
              <w:bottom w:val="single" w:color="000000" w:sz="8" w:space="0"/>
              <w:right w:val="single" w:color="000000" w:sz="8" w:space="0"/>
            </w:tcBorders>
            <w:noWrap w:val="0"/>
            <w:vAlign w:val="center"/>
          </w:tcPr>
          <w:p w14:paraId="7DAF4F75">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股票名称</w:t>
            </w:r>
          </w:p>
        </w:tc>
        <w:tc>
          <w:tcPr>
            <w:tcW w:w="896" w:type="pct"/>
            <w:tcBorders>
              <w:top w:val="single" w:color="000000" w:sz="8" w:space="0"/>
              <w:left w:val="nil"/>
              <w:bottom w:val="single" w:color="000000" w:sz="8" w:space="0"/>
              <w:right w:val="single" w:color="000000" w:sz="8" w:space="0"/>
            </w:tcBorders>
            <w:noWrap w:val="0"/>
            <w:vAlign w:val="center"/>
          </w:tcPr>
          <w:p w14:paraId="47A13022">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数量（股）</w:t>
            </w:r>
          </w:p>
        </w:tc>
        <w:tc>
          <w:tcPr>
            <w:tcW w:w="1377" w:type="pct"/>
            <w:tcBorders>
              <w:top w:val="single" w:color="000000" w:sz="8" w:space="0"/>
              <w:left w:val="nil"/>
              <w:bottom w:val="single" w:color="000000" w:sz="8" w:space="0"/>
              <w:right w:val="single" w:color="000000" w:sz="8" w:space="0"/>
            </w:tcBorders>
            <w:noWrap w:val="0"/>
            <w:vAlign w:val="center"/>
          </w:tcPr>
          <w:p w14:paraId="6BFAC6FB">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公允价值（元）</w:t>
            </w:r>
          </w:p>
        </w:tc>
        <w:tc>
          <w:tcPr>
            <w:tcW w:w="850" w:type="pct"/>
            <w:tcBorders>
              <w:top w:val="single" w:color="000000" w:sz="8" w:space="0"/>
              <w:left w:val="nil"/>
              <w:bottom w:val="single" w:color="000000" w:sz="8" w:space="0"/>
              <w:right w:val="single" w:color="000000" w:sz="8" w:space="0"/>
            </w:tcBorders>
            <w:noWrap w:val="0"/>
            <w:vAlign w:val="center"/>
          </w:tcPr>
          <w:p w14:paraId="3AF95AF4">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占基金资产净值比例（%）</w:t>
            </w:r>
          </w:p>
        </w:tc>
      </w:tr>
      <w:tr w14:paraId="0FE94EBB">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042AD292">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379045D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603993</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1F1B58A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洛阳钼业</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A3AF339">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730,400.00 </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48CF315B">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10,152,560.00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4A2A62C7">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4.74 </w:t>
            </w:r>
          </w:p>
        </w:tc>
      </w:tr>
      <w:tr w14:paraId="7F01B7A0">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06256ED4">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564BC00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600111</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7DC94AE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北方稀土</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4000716">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211,700.00 </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2E809ACB">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7,727,050.00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5569F381">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3.60 </w:t>
            </w:r>
          </w:p>
        </w:tc>
      </w:tr>
      <w:tr w14:paraId="1917386C">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6D619042">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7276A23C">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000792</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6E3E99B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盐湖股份</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4846EDC">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265,600.00 </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325062A5">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6,071,616.00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30D8FBEF">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2.83 </w:t>
            </w:r>
          </w:p>
        </w:tc>
      </w:tr>
      <w:tr w14:paraId="3270CB13">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126A223B">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30AD742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603799</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47F6EAE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华友钴业</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6244F84">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126,900.00 </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110C387F">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4,073,490.00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49709053">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1.90 </w:t>
            </w:r>
          </w:p>
        </w:tc>
      </w:tr>
      <w:tr w14:paraId="325C366B">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4B9CDFAB">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5</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41F8A5D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002460</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03D80660">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赣锋锂业</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FCBC9D0">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94,500.00 </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76B10BD0">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3,497,445.00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2CE4873E">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1.63 </w:t>
            </w:r>
          </w:p>
        </w:tc>
      </w:tr>
      <w:tr w14:paraId="450CD99F">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69D970A4">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33CA842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600549</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043B9220">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厦门钨业</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087C514">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93,000.00 </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1E70020E">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3,423,330.00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1B66456D">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1.60 </w:t>
            </w:r>
          </w:p>
        </w:tc>
      </w:tr>
      <w:tr w14:paraId="0CBA5C1B">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7C1E2AA9">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7</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6E8F998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002466</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466DF75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天齐锂业</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9D6786F">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86,500.00 </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0BD54510">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3,131,300.00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6775BFEC">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1.46 </w:t>
            </w:r>
          </w:p>
        </w:tc>
      </w:tr>
      <w:tr w14:paraId="090FA703">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019680F3">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8</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019B6F3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000657</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1ED0739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中钨高新</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7163C09">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71,400.00 </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70D109F0">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2,801,022.00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461F484C">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1.31 </w:t>
            </w:r>
          </w:p>
        </w:tc>
      </w:tr>
      <w:tr w14:paraId="64DD99F4">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4D525AF1">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9</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4B11E76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002428</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7D93F664">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云南锗业</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96656DC">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32,700.00 </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2A19589B">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2,464,926.00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18339758">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1.15 </w:t>
            </w:r>
          </w:p>
        </w:tc>
      </w:tr>
      <w:tr w14:paraId="5FE9FFD4">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03CD9414">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10</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3FF50690">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002738</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2D9360A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中矿资源</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20D0A4A">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60,400.00 </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5A7CC285">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2,201,580.00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5C8A2C83">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1.03 </w:t>
            </w:r>
          </w:p>
        </w:tc>
      </w:tr>
    </w:tbl>
    <w:p w14:paraId="52C1702E">
      <w:pPr>
        <w:widowControl/>
        <w:snapToGrid w:val="0"/>
        <w:spacing w:before="156" w:beforeLines="50"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（四）按券种分类的债券投资组合</w:t>
      </w:r>
    </w:p>
    <w:p w14:paraId="562EC6B5">
      <w:pPr>
        <w:widowControl/>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2026年11月4日</w:t>
      </w:r>
      <w:r>
        <w:rPr>
          <w:rFonts w:ascii="Times New Roman" w:hAnsi="Times New Roman" w:cs="Times New Roman"/>
          <w:color w:val="000000"/>
          <w:kern w:val="0"/>
          <w:szCs w:val="21"/>
          <w:highlight w:val="none"/>
        </w:rPr>
        <w:t>，本基金未持有债券。</w:t>
      </w:r>
    </w:p>
    <w:p w14:paraId="43C5F845">
      <w:pPr>
        <w:widowControl/>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（五）按公允价值占基金资产净值比例大小排序的前五名债券明细</w:t>
      </w:r>
    </w:p>
    <w:p w14:paraId="2B869A2C">
      <w:pPr>
        <w:widowControl/>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2026年11月4日</w:t>
      </w:r>
      <w:r>
        <w:rPr>
          <w:rFonts w:ascii="Times New Roman" w:hAnsi="Times New Roman" w:cs="Times New Roman"/>
          <w:color w:val="000000"/>
          <w:kern w:val="0"/>
          <w:szCs w:val="21"/>
          <w:highlight w:val="none"/>
        </w:rPr>
        <w:t>，本基金未持有债券。</w:t>
      </w:r>
    </w:p>
    <w:p w14:paraId="3FD02220">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 xml:space="preserve">（六）按公允价值占净值比例大小排序的前十名资产支持证券投资明细 </w:t>
      </w:r>
    </w:p>
    <w:p w14:paraId="55EDD7CF">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2026年11月4日</w:t>
      </w:r>
      <w:r>
        <w:rPr>
          <w:rFonts w:ascii="Times New Roman" w:hAnsi="Times New Roman" w:cs="Times New Roman"/>
          <w:color w:val="000000"/>
          <w:kern w:val="0"/>
          <w:szCs w:val="21"/>
          <w:highlight w:val="none"/>
        </w:rPr>
        <w:t xml:space="preserve">，本基金未持有资产支持证券。 </w:t>
      </w:r>
    </w:p>
    <w:p w14:paraId="5E415183">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 xml:space="preserve">（七）按公允价值占基金资产净值比例大小排序的前五名贵金属投资明细 </w:t>
      </w:r>
    </w:p>
    <w:p w14:paraId="722C5BF1">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2026年11月4日</w:t>
      </w:r>
      <w:r>
        <w:rPr>
          <w:rFonts w:ascii="Times New Roman" w:hAnsi="Times New Roman" w:cs="Times New Roman"/>
          <w:color w:val="000000"/>
          <w:kern w:val="0"/>
          <w:szCs w:val="21"/>
          <w:highlight w:val="none"/>
        </w:rPr>
        <w:t>，本基金未持有贵金属。</w:t>
      </w:r>
    </w:p>
    <w:p w14:paraId="48852016">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 xml:space="preserve">（八）按公允价值占净值比例大小排序的前五名权证投资明细 </w:t>
      </w:r>
    </w:p>
    <w:p w14:paraId="1584F27B">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2026年11月4日</w:t>
      </w:r>
      <w:r>
        <w:rPr>
          <w:rFonts w:ascii="Times New Roman" w:hAnsi="Times New Roman" w:cs="Times New Roman"/>
          <w:color w:val="000000"/>
          <w:kern w:val="0"/>
          <w:szCs w:val="21"/>
          <w:highlight w:val="none"/>
        </w:rPr>
        <w:t>，本基金未持有权证。</w:t>
      </w:r>
    </w:p>
    <w:p w14:paraId="62EAD882">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 xml:space="preserve">（九）本基金投资的股指期货交易情况说明 </w:t>
      </w:r>
    </w:p>
    <w:p w14:paraId="68976FB1">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2026年11月4日</w:t>
      </w:r>
      <w:r>
        <w:rPr>
          <w:rFonts w:ascii="Times New Roman" w:hAnsi="Times New Roman" w:cs="Times New Roman"/>
          <w:color w:val="000000"/>
          <w:kern w:val="0"/>
          <w:szCs w:val="21"/>
          <w:highlight w:val="none"/>
        </w:rPr>
        <w:t xml:space="preserve">，本基金未持有股指期货。 </w:t>
      </w:r>
    </w:p>
    <w:p w14:paraId="7AD78D56">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 xml:space="preserve">（十）本基金投资的国债期货交易情况说明 </w:t>
      </w:r>
    </w:p>
    <w:p w14:paraId="72D43EE8">
      <w:pPr>
        <w:widowControl/>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2026年11月4日</w:t>
      </w:r>
      <w:r>
        <w:rPr>
          <w:rFonts w:ascii="Times New Roman" w:hAnsi="Times New Roman" w:cs="Times New Roman"/>
          <w:color w:val="000000"/>
          <w:kern w:val="0"/>
          <w:szCs w:val="21"/>
          <w:highlight w:val="none"/>
        </w:rPr>
        <w:t>，本基金未持有国债期货。</w:t>
      </w:r>
    </w:p>
    <w:p w14:paraId="6555E87D">
      <w:pPr>
        <w:widowControl/>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（十一）投资组合报告附注</w:t>
      </w:r>
    </w:p>
    <w:p w14:paraId="686A33C8">
      <w:pPr>
        <w:widowControl/>
        <w:snapToGrid w:val="0"/>
        <w:spacing w:line="360" w:lineRule="auto"/>
        <w:ind w:firstLine="420" w:firstLineChars="200"/>
        <w:rPr>
          <w:rFonts w:hint="eastAsia"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1、</w:t>
      </w:r>
      <w:r>
        <w:rPr>
          <w:rFonts w:hint="eastAsia" w:ascii="Times New Roman" w:hAnsi="Times New Roman" w:cs="Times New Roman"/>
          <w:color w:val="000000"/>
          <w:kern w:val="0"/>
          <w:szCs w:val="21"/>
          <w:highlight w:val="none"/>
        </w:rPr>
        <w:t>基金投资前十名证券的发行主体被监管部门立案调查或编制日前一年内受到公开谴责、处罚的投资决策程序说明</w:t>
      </w:r>
    </w:p>
    <w:p w14:paraId="2369ACCF">
      <w:pPr>
        <w:widowControl/>
        <w:snapToGrid w:val="0"/>
        <w:spacing w:line="360" w:lineRule="auto"/>
        <w:ind w:firstLine="420" w:firstLineChars="200"/>
        <w:rPr>
          <w:rFonts w:ascii="Times New Roman" w:hAnsi="Times New Roman" w:cs="Times New Roman"/>
          <w:color w:val="000000"/>
          <w:kern w:val="0"/>
          <w:szCs w:val="21"/>
          <w:highlight w:val="none"/>
        </w:rPr>
      </w:pPr>
      <w:r>
        <w:rPr>
          <w:rFonts w:hint="eastAsia" w:ascii="Times New Roman" w:hAnsi="Times New Roman" w:cs="Times New Roman"/>
          <w:color w:val="000000"/>
          <w:kern w:val="0"/>
          <w:szCs w:val="21"/>
          <w:highlight w:val="none"/>
        </w:rPr>
        <w:t>基金管理人未发现本基金投资的前十名证券的发行主体出现本期被监管部门立案调查，或在报告编制日前一年内受到公开谴责、处罚的情形。</w:t>
      </w:r>
    </w:p>
    <w:p w14:paraId="126FBBBB">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2、本基金前十名股票中，没有投资于超出基金合同规定备选股票库之外的股票。</w:t>
      </w:r>
    </w:p>
    <w:p w14:paraId="28585045">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3、其他资产构成如下：</w:t>
      </w:r>
    </w:p>
    <w:tbl>
      <w:tblPr>
        <w:tblStyle w:val="11"/>
        <w:tblW w:w="8097" w:type="dxa"/>
        <w:tblInd w:w="91" w:type="dxa"/>
        <w:tblLayout w:type="autofit"/>
        <w:tblCellMar>
          <w:top w:w="0" w:type="dxa"/>
          <w:left w:w="108" w:type="dxa"/>
          <w:bottom w:w="0" w:type="dxa"/>
          <w:right w:w="108" w:type="dxa"/>
        </w:tblCellMar>
      </w:tblPr>
      <w:tblGrid>
        <w:gridCol w:w="1032"/>
        <w:gridCol w:w="2246"/>
        <w:gridCol w:w="4819"/>
      </w:tblGrid>
      <w:tr w14:paraId="76905235">
        <w:tblPrEx>
          <w:tblCellMar>
            <w:top w:w="0" w:type="dxa"/>
            <w:left w:w="108" w:type="dxa"/>
            <w:bottom w:w="0" w:type="dxa"/>
            <w:right w:w="108"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29B0F">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序号</w:t>
            </w:r>
          </w:p>
        </w:tc>
        <w:tc>
          <w:tcPr>
            <w:tcW w:w="2246" w:type="dxa"/>
            <w:tcBorders>
              <w:top w:val="single" w:color="000000" w:sz="4" w:space="0"/>
              <w:left w:val="nil"/>
              <w:bottom w:val="single" w:color="000000" w:sz="4" w:space="0"/>
              <w:right w:val="single" w:color="000000" w:sz="4" w:space="0"/>
            </w:tcBorders>
            <w:shd w:val="clear" w:color="auto" w:fill="auto"/>
            <w:vAlign w:val="center"/>
          </w:tcPr>
          <w:p w14:paraId="43113368">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其他资产</w:t>
            </w:r>
          </w:p>
        </w:tc>
        <w:tc>
          <w:tcPr>
            <w:tcW w:w="4819" w:type="dxa"/>
            <w:tcBorders>
              <w:top w:val="single" w:color="000000" w:sz="4" w:space="0"/>
              <w:left w:val="nil"/>
              <w:bottom w:val="single" w:color="000000" w:sz="4" w:space="0"/>
              <w:right w:val="single" w:color="000000" w:sz="4" w:space="0"/>
            </w:tcBorders>
            <w:shd w:val="clear" w:color="auto" w:fill="auto"/>
            <w:vAlign w:val="center"/>
          </w:tcPr>
          <w:p w14:paraId="1C84759A">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金额（元）</w:t>
            </w:r>
          </w:p>
        </w:tc>
      </w:tr>
      <w:tr w14:paraId="7BA502EB">
        <w:tblPrEx>
          <w:tblCellMar>
            <w:top w:w="0" w:type="dxa"/>
            <w:left w:w="108" w:type="dxa"/>
            <w:bottom w:w="0" w:type="dxa"/>
            <w:right w:w="108"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DF8EA">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1</w:t>
            </w:r>
          </w:p>
        </w:tc>
        <w:tc>
          <w:tcPr>
            <w:tcW w:w="2246" w:type="dxa"/>
            <w:tcBorders>
              <w:top w:val="single" w:color="000000" w:sz="4" w:space="0"/>
              <w:left w:val="nil"/>
              <w:bottom w:val="single" w:color="000000" w:sz="4" w:space="0"/>
              <w:right w:val="single" w:color="000000" w:sz="4" w:space="0"/>
            </w:tcBorders>
            <w:shd w:val="clear" w:color="auto" w:fill="auto"/>
            <w:vAlign w:val="center"/>
          </w:tcPr>
          <w:p w14:paraId="67173FCA">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存出保证金</w:t>
            </w:r>
          </w:p>
        </w:tc>
        <w:tc>
          <w:tcPr>
            <w:tcW w:w="4819" w:type="dxa"/>
            <w:tcBorders>
              <w:top w:val="single" w:color="000000" w:sz="4" w:space="0"/>
              <w:left w:val="nil"/>
              <w:bottom w:val="single" w:color="000000" w:sz="4" w:space="0"/>
              <w:right w:val="single" w:color="000000" w:sz="4" w:space="0"/>
            </w:tcBorders>
            <w:shd w:val="clear" w:color="auto" w:fill="auto"/>
          </w:tcPr>
          <w:p w14:paraId="16375015">
            <w:pPr>
              <w:jc w:val="right"/>
              <w:rPr>
                <w:rFonts w:ascii="Times New Roman" w:hAnsi="Times New Roman" w:cs="Times New Roman"/>
                <w:highlight w:val="none"/>
              </w:rPr>
            </w:pPr>
            <w:r>
              <w:rPr>
                <w:rFonts w:hint="eastAsia" w:ascii="Times New Roman" w:hAnsi="Times New Roman" w:cs="Times New Roman"/>
                <w:highlight w:val="none"/>
              </w:rPr>
              <w:t>-</w:t>
            </w:r>
          </w:p>
        </w:tc>
      </w:tr>
      <w:tr w14:paraId="2B8B2DE0">
        <w:tblPrEx>
          <w:tblCellMar>
            <w:top w:w="0" w:type="dxa"/>
            <w:left w:w="108" w:type="dxa"/>
            <w:bottom w:w="0" w:type="dxa"/>
            <w:right w:w="108"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9D651">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2</w:t>
            </w:r>
          </w:p>
        </w:tc>
        <w:tc>
          <w:tcPr>
            <w:tcW w:w="2246" w:type="dxa"/>
            <w:tcBorders>
              <w:top w:val="single" w:color="000000" w:sz="4" w:space="0"/>
              <w:left w:val="nil"/>
              <w:bottom w:val="single" w:color="000000" w:sz="4" w:space="0"/>
              <w:right w:val="single" w:color="000000" w:sz="4" w:space="0"/>
            </w:tcBorders>
            <w:shd w:val="clear" w:color="auto" w:fill="auto"/>
          </w:tcPr>
          <w:p w14:paraId="5FF07AE5">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应收证券清算款</w:t>
            </w:r>
          </w:p>
        </w:tc>
        <w:tc>
          <w:tcPr>
            <w:tcW w:w="4819" w:type="dxa"/>
            <w:tcBorders>
              <w:top w:val="single" w:color="000000" w:sz="4" w:space="0"/>
              <w:left w:val="nil"/>
              <w:bottom w:val="single" w:color="000000" w:sz="4" w:space="0"/>
              <w:right w:val="single" w:color="000000" w:sz="4" w:space="0"/>
            </w:tcBorders>
            <w:shd w:val="clear" w:color="auto" w:fill="auto"/>
          </w:tcPr>
          <w:p w14:paraId="061CB860">
            <w:pPr>
              <w:jc w:val="right"/>
              <w:rPr>
                <w:rFonts w:ascii="Times New Roman" w:hAnsi="Times New Roman" w:cs="Times New Roman"/>
                <w:highlight w:val="none"/>
              </w:rPr>
            </w:pPr>
            <w:r>
              <w:rPr>
                <w:rFonts w:hint="eastAsia" w:ascii="Times New Roman" w:hAnsi="Times New Roman" w:cs="Times New Roman"/>
                <w:highlight w:val="none"/>
              </w:rPr>
              <w:t>-</w:t>
            </w:r>
          </w:p>
        </w:tc>
      </w:tr>
      <w:tr w14:paraId="66580070">
        <w:tblPrEx>
          <w:tblCellMar>
            <w:top w:w="0" w:type="dxa"/>
            <w:left w:w="108" w:type="dxa"/>
            <w:bottom w:w="0" w:type="dxa"/>
            <w:right w:w="108"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7E5FF">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3</w:t>
            </w:r>
          </w:p>
        </w:tc>
        <w:tc>
          <w:tcPr>
            <w:tcW w:w="2246" w:type="dxa"/>
            <w:tcBorders>
              <w:top w:val="single" w:color="000000" w:sz="4" w:space="0"/>
              <w:left w:val="nil"/>
              <w:bottom w:val="single" w:color="000000" w:sz="4" w:space="0"/>
              <w:right w:val="single" w:color="000000" w:sz="4" w:space="0"/>
            </w:tcBorders>
            <w:shd w:val="clear" w:color="auto" w:fill="auto"/>
          </w:tcPr>
          <w:p w14:paraId="3EFB5BF4">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应收利息</w:t>
            </w:r>
          </w:p>
        </w:tc>
        <w:tc>
          <w:tcPr>
            <w:tcW w:w="4819" w:type="dxa"/>
            <w:tcBorders>
              <w:top w:val="single" w:color="000000" w:sz="4" w:space="0"/>
              <w:left w:val="nil"/>
              <w:bottom w:val="single" w:color="000000" w:sz="4" w:space="0"/>
              <w:right w:val="single" w:color="000000" w:sz="4" w:space="0"/>
            </w:tcBorders>
            <w:shd w:val="clear" w:color="auto" w:fill="auto"/>
          </w:tcPr>
          <w:p w14:paraId="2A6B02ED">
            <w:pPr>
              <w:jc w:val="right"/>
              <w:rPr>
                <w:rFonts w:ascii="Times New Roman" w:hAnsi="Times New Roman" w:cs="Times New Roman"/>
                <w:highlight w:val="none"/>
              </w:rPr>
            </w:pPr>
            <w:r>
              <w:rPr>
                <w:rFonts w:hint="eastAsia" w:ascii="Times New Roman" w:hAnsi="Times New Roman" w:cs="Times New Roman"/>
                <w:highlight w:val="none"/>
              </w:rPr>
              <w:t>-</w:t>
            </w:r>
          </w:p>
        </w:tc>
      </w:tr>
      <w:tr w14:paraId="470EBCA0">
        <w:tblPrEx>
          <w:tblCellMar>
            <w:top w:w="0" w:type="dxa"/>
            <w:left w:w="108" w:type="dxa"/>
            <w:bottom w:w="0" w:type="dxa"/>
            <w:right w:w="108" w:type="dxa"/>
          </w:tblCellMar>
        </w:tblPrEx>
        <w:trPr>
          <w:trHeight w:val="285" w:hRule="atLeast"/>
        </w:trPr>
        <w:tc>
          <w:tcPr>
            <w:tcW w:w="1032" w:type="dxa"/>
            <w:tcBorders>
              <w:top w:val="nil"/>
              <w:left w:val="single" w:color="000000" w:sz="4" w:space="0"/>
              <w:bottom w:val="single" w:color="000000" w:sz="4" w:space="0"/>
              <w:right w:val="single" w:color="000000" w:sz="4" w:space="0"/>
            </w:tcBorders>
            <w:shd w:val="clear" w:color="auto" w:fill="auto"/>
            <w:vAlign w:val="center"/>
          </w:tcPr>
          <w:p w14:paraId="36AC64EE">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4</w:t>
            </w:r>
          </w:p>
        </w:tc>
        <w:tc>
          <w:tcPr>
            <w:tcW w:w="2246" w:type="dxa"/>
            <w:tcBorders>
              <w:top w:val="nil"/>
              <w:left w:val="nil"/>
              <w:bottom w:val="single" w:color="000000" w:sz="4" w:space="0"/>
              <w:right w:val="single" w:color="000000" w:sz="4" w:space="0"/>
            </w:tcBorders>
            <w:shd w:val="clear" w:color="auto" w:fill="auto"/>
          </w:tcPr>
          <w:p w14:paraId="71C27273">
            <w:pPr>
              <w:widowControl/>
              <w:snapToGrid w:val="0"/>
              <w:spacing w:line="360" w:lineRule="auto"/>
              <w:jc w:val="left"/>
              <w:rPr>
                <w:rFonts w:ascii="Times New Roman" w:hAnsi="Times New Roman" w:cs="Times New Roman"/>
                <w:color w:val="000000"/>
                <w:kern w:val="0"/>
                <w:szCs w:val="21"/>
                <w:highlight w:val="none"/>
              </w:rPr>
            </w:pPr>
            <w:r>
              <w:rPr>
                <w:rFonts w:hint="eastAsia"/>
                <w:color w:val="000000"/>
                <w:kern w:val="0"/>
                <w:szCs w:val="21"/>
                <w:highlight w:val="none"/>
              </w:rPr>
              <w:t>待摊费用</w:t>
            </w:r>
          </w:p>
        </w:tc>
        <w:tc>
          <w:tcPr>
            <w:tcW w:w="4819" w:type="dxa"/>
            <w:tcBorders>
              <w:top w:val="nil"/>
              <w:left w:val="nil"/>
              <w:bottom w:val="single" w:color="000000" w:sz="4" w:space="0"/>
              <w:right w:val="single" w:color="000000" w:sz="4" w:space="0"/>
            </w:tcBorders>
            <w:shd w:val="clear" w:color="auto" w:fill="auto"/>
          </w:tcPr>
          <w:p w14:paraId="4D106DF3">
            <w:pPr>
              <w:jc w:val="right"/>
              <w:rPr>
                <w:rFonts w:hint="eastAsia" w:ascii="Times New Roman" w:hAnsi="Times New Roman" w:cs="Times New Roman" w:eastAsiaTheme="minorEastAsia"/>
                <w:highlight w:val="none"/>
                <w:lang w:val="en-US" w:eastAsia="zh-CN"/>
              </w:rPr>
            </w:pPr>
            <w:r>
              <w:rPr>
                <w:rFonts w:hint="eastAsia" w:ascii="Times New Roman" w:hAnsi="Times New Roman" w:cs="Times New Roman"/>
                <w:highlight w:val="none"/>
                <w:lang w:val="en-US" w:eastAsia="zh-CN"/>
              </w:rPr>
              <w:t>-</w:t>
            </w:r>
          </w:p>
        </w:tc>
      </w:tr>
      <w:tr w14:paraId="268E391A">
        <w:tblPrEx>
          <w:tblCellMar>
            <w:top w:w="0" w:type="dxa"/>
            <w:left w:w="108" w:type="dxa"/>
            <w:bottom w:w="0" w:type="dxa"/>
            <w:right w:w="108" w:type="dxa"/>
          </w:tblCellMar>
        </w:tblPrEx>
        <w:trPr>
          <w:trHeight w:val="285" w:hRule="atLeast"/>
        </w:trPr>
        <w:tc>
          <w:tcPr>
            <w:tcW w:w="1032" w:type="dxa"/>
            <w:tcBorders>
              <w:top w:val="nil"/>
              <w:left w:val="single" w:color="000000" w:sz="4" w:space="0"/>
              <w:bottom w:val="single" w:color="000000" w:sz="4" w:space="0"/>
              <w:right w:val="single" w:color="000000" w:sz="4" w:space="0"/>
            </w:tcBorders>
            <w:shd w:val="clear" w:color="auto" w:fill="auto"/>
            <w:vAlign w:val="center"/>
          </w:tcPr>
          <w:p w14:paraId="4B1EC5B0">
            <w:pPr>
              <w:widowControl/>
              <w:snapToGrid w:val="0"/>
              <w:spacing w:line="360" w:lineRule="auto"/>
              <w:jc w:val="center"/>
              <w:rPr>
                <w:rFonts w:hint="eastAsia" w:ascii="Times New Roman" w:hAnsi="Times New Roman" w:cs="Times New Roman" w:eastAsiaTheme="minorEastAsia"/>
                <w:color w:val="000000"/>
                <w:kern w:val="0"/>
                <w:szCs w:val="21"/>
                <w:highlight w:val="none"/>
                <w:lang w:val="en-US" w:eastAsia="zh-CN"/>
              </w:rPr>
            </w:pPr>
            <w:r>
              <w:rPr>
                <w:rFonts w:hint="eastAsia" w:ascii="Times New Roman" w:hAnsi="Times New Roman" w:cs="Times New Roman"/>
                <w:color w:val="000000"/>
                <w:kern w:val="0"/>
                <w:szCs w:val="21"/>
                <w:highlight w:val="none"/>
                <w:lang w:val="en-US" w:eastAsia="zh-CN"/>
              </w:rPr>
              <w:t>5</w:t>
            </w:r>
          </w:p>
        </w:tc>
        <w:tc>
          <w:tcPr>
            <w:tcW w:w="2246" w:type="dxa"/>
            <w:tcBorders>
              <w:top w:val="nil"/>
              <w:left w:val="nil"/>
              <w:bottom w:val="single" w:color="000000" w:sz="4" w:space="0"/>
              <w:right w:val="single" w:color="000000" w:sz="4" w:space="0"/>
            </w:tcBorders>
            <w:shd w:val="clear" w:color="auto" w:fill="auto"/>
          </w:tcPr>
          <w:p w14:paraId="7624C43A">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其他</w:t>
            </w:r>
          </w:p>
        </w:tc>
        <w:tc>
          <w:tcPr>
            <w:tcW w:w="4819" w:type="dxa"/>
            <w:tcBorders>
              <w:top w:val="nil"/>
              <w:left w:val="nil"/>
              <w:bottom w:val="single" w:color="000000" w:sz="4" w:space="0"/>
              <w:right w:val="single" w:color="000000" w:sz="4" w:space="0"/>
            </w:tcBorders>
            <w:shd w:val="clear" w:color="auto" w:fill="auto"/>
          </w:tcPr>
          <w:p w14:paraId="4551CCD0">
            <w:pPr>
              <w:jc w:val="righ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w:t>
            </w:r>
          </w:p>
        </w:tc>
      </w:tr>
      <w:tr w14:paraId="5CB5BFF6">
        <w:tblPrEx>
          <w:tblCellMar>
            <w:top w:w="0" w:type="dxa"/>
            <w:left w:w="108" w:type="dxa"/>
            <w:bottom w:w="0" w:type="dxa"/>
            <w:right w:w="108"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40015">
            <w:pPr>
              <w:widowControl/>
              <w:snapToGrid w:val="0"/>
              <w:spacing w:line="360" w:lineRule="auto"/>
              <w:jc w:val="center"/>
              <w:rPr>
                <w:rFonts w:hint="eastAsia" w:ascii="Times New Roman" w:hAnsi="Times New Roman" w:cs="Times New Roman" w:eastAsiaTheme="minorEastAsia"/>
                <w:color w:val="000000"/>
                <w:kern w:val="0"/>
                <w:szCs w:val="21"/>
                <w:highlight w:val="none"/>
                <w:lang w:eastAsia="zh-CN"/>
              </w:rPr>
            </w:pPr>
            <w:r>
              <w:rPr>
                <w:rFonts w:hint="eastAsia" w:ascii="Times New Roman" w:hAnsi="Times New Roman" w:cs="Times New Roman"/>
                <w:color w:val="000000"/>
                <w:kern w:val="0"/>
                <w:szCs w:val="21"/>
                <w:highlight w:val="none"/>
                <w:lang w:val="en-US" w:eastAsia="zh-CN"/>
              </w:rPr>
              <w:t>6</w:t>
            </w:r>
          </w:p>
        </w:tc>
        <w:tc>
          <w:tcPr>
            <w:tcW w:w="2246" w:type="dxa"/>
            <w:tcBorders>
              <w:top w:val="single" w:color="000000" w:sz="4" w:space="0"/>
              <w:left w:val="nil"/>
              <w:bottom w:val="single" w:color="000000" w:sz="4" w:space="0"/>
              <w:right w:val="single" w:color="000000" w:sz="4" w:space="0"/>
            </w:tcBorders>
            <w:shd w:val="clear" w:color="auto" w:fill="auto"/>
          </w:tcPr>
          <w:p w14:paraId="2BBDBBA2">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合计</w:t>
            </w:r>
          </w:p>
        </w:tc>
        <w:tc>
          <w:tcPr>
            <w:tcW w:w="4819" w:type="dxa"/>
            <w:tcBorders>
              <w:top w:val="single" w:color="000000" w:sz="4" w:space="0"/>
              <w:left w:val="nil"/>
              <w:bottom w:val="single" w:color="000000" w:sz="4" w:space="0"/>
              <w:right w:val="single" w:color="000000" w:sz="4" w:space="0"/>
            </w:tcBorders>
            <w:shd w:val="clear" w:color="auto" w:fill="auto"/>
          </w:tcPr>
          <w:p w14:paraId="458CD0C2">
            <w:pPr>
              <w:jc w:val="right"/>
              <w:rPr>
                <w:rFonts w:hint="eastAsia" w:ascii="Times New Roman" w:hAnsi="Times New Roman" w:cs="Times New Roman" w:eastAsiaTheme="minorEastAsia"/>
                <w:highlight w:val="none"/>
                <w:lang w:val="en-US" w:eastAsia="zh-CN"/>
              </w:rPr>
            </w:pPr>
            <w:r>
              <w:rPr>
                <w:rFonts w:hint="eastAsia" w:ascii="Times New Roman" w:hAnsi="Times New Roman" w:cs="Times New Roman"/>
                <w:highlight w:val="none"/>
                <w:lang w:val="en-US" w:eastAsia="zh-CN"/>
              </w:rPr>
              <w:t>-</w:t>
            </w:r>
          </w:p>
        </w:tc>
      </w:tr>
    </w:tbl>
    <w:p w14:paraId="6202491A">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4、本报告期末持有的处于转股期的可转换债券明细</w:t>
      </w:r>
    </w:p>
    <w:p w14:paraId="5C1616D9">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2026年11月4日</w:t>
      </w:r>
      <w:r>
        <w:rPr>
          <w:rFonts w:ascii="Times New Roman" w:hAnsi="Times New Roman" w:cs="Times New Roman"/>
          <w:color w:val="000000"/>
          <w:kern w:val="0"/>
          <w:szCs w:val="21"/>
          <w:highlight w:val="none"/>
        </w:rPr>
        <w:t>，本基金未持有可转换债券。</w:t>
      </w:r>
    </w:p>
    <w:p w14:paraId="359E2858">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5、本报告期前十名股票中存在流通受限情况的说明</w:t>
      </w:r>
    </w:p>
    <w:p w14:paraId="0B9D923B">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2026年11月4日</w:t>
      </w:r>
      <w:r>
        <w:rPr>
          <w:rFonts w:ascii="Times New Roman" w:hAnsi="Times New Roman" w:cs="Times New Roman"/>
          <w:color w:val="000000"/>
          <w:kern w:val="0"/>
          <w:szCs w:val="21"/>
          <w:highlight w:val="none"/>
        </w:rPr>
        <w:t>，</w:t>
      </w:r>
      <w:r>
        <w:rPr>
          <w:rFonts w:hint="eastAsia" w:ascii="Times New Roman" w:hAnsi="Times New Roman" w:cs="Times New Roman"/>
          <w:color w:val="000000"/>
          <w:kern w:val="0"/>
          <w:szCs w:val="21"/>
          <w:highlight w:val="none"/>
        </w:rPr>
        <w:t>本基金前十名股票中不存在流通受限情况</w:t>
      </w:r>
      <w:r>
        <w:rPr>
          <w:rFonts w:ascii="Times New Roman" w:hAnsi="Times New Roman" w:cs="Times New Roman"/>
          <w:color w:val="000000"/>
          <w:kern w:val="0"/>
          <w:szCs w:val="21"/>
          <w:highlight w:val="none"/>
        </w:rPr>
        <w:t>。</w:t>
      </w:r>
    </w:p>
    <w:p w14:paraId="2CD00558">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6、投资组合报告附注的其他文字描述部分</w:t>
      </w:r>
    </w:p>
    <w:p w14:paraId="6D57434B">
      <w:pPr>
        <w:spacing w:line="360" w:lineRule="auto"/>
        <w:ind w:firstLine="420" w:firstLineChars="200"/>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由于四舍五入的原因，分项之和与合计项之间可能存在尾差。</w:t>
      </w:r>
    </w:p>
    <w:p w14:paraId="63E10011">
      <w:pPr>
        <w:rPr>
          <w:rFonts w:hint="eastAsia" w:ascii="宋体" w:hAnsi="宋体" w:eastAsia="宋体"/>
          <w:sz w:val="30"/>
          <w:highlight w:val="lightGray"/>
        </w:rPr>
      </w:pPr>
      <w:r>
        <w:rPr>
          <w:rFonts w:hint="eastAsia" w:ascii="宋体" w:hAnsi="宋体" w:eastAsia="宋体"/>
          <w:sz w:val="30"/>
          <w:highlight w:val="lightGray"/>
        </w:rPr>
        <w:br w:type="page"/>
      </w:r>
    </w:p>
    <w:p w14:paraId="4A56D4D0">
      <w:pPr>
        <w:pStyle w:val="2"/>
        <w:jc w:val="center"/>
        <w:rPr>
          <w:rFonts w:ascii="宋体" w:hAnsi="宋体" w:eastAsia="宋体"/>
          <w:sz w:val="30"/>
          <w:highlight w:val="none"/>
        </w:rPr>
      </w:pPr>
      <w:r>
        <w:rPr>
          <w:rFonts w:hint="eastAsia" w:ascii="宋体" w:hAnsi="宋体" w:eastAsia="宋体"/>
          <w:sz w:val="30"/>
          <w:highlight w:val="none"/>
        </w:rPr>
        <w:t>九、重大事件揭示</w:t>
      </w:r>
      <w:bookmarkEnd w:id="44"/>
      <w:bookmarkEnd w:id="45"/>
    </w:p>
    <w:p w14:paraId="71F9DBC5">
      <w:pPr>
        <w:spacing w:line="360" w:lineRule="auto"/>
        <w:ind w:firstLine="420" w:firstLineChars="200"/>
        <w:rPr>
          <w:rFonts w:ascii="宋体" w:hAnsi="宋体" w:eastAsia="宋体"/>
          <w:highlight w:val="none"/>
        </w:rPr>
      </w:pPr>
      <w:bookmarkStart w:id="46" w:name="chapter_level1_9_56151_section_1"/>
      <w:bookmarkEnd w:id="46"/>
      <w:r>
        <w:rPr>
          <w:rFonts w:ascii="宋体" w:hAnsi="宋体" w:eastAsia="宋体"/>
          <w:highlight w:val="none"/>
        </w:rPr>
        <w:t>本基金自合同生效至上市交易公告书公告前未发生对基金份额持有人有较大影响的重</w:t>
      </w:r>
      <w:bookmarkStart w:id="47" w:name="chapter_level1_9_56151_section_1_end"/>
      <w:bookmarkEnd w:id="47"/>
      <w:r>
        <w:rPr>
          <w:rFonts w:ascii="宋体" w:hAnsi="宋体" w:eastAsia="宋体"/>
          <w:highlight w:val="none"/>
        </w:rPr>
        <w:t>大事件。</w:t>
      </w:r>
    </w:p>
    <w:p w14:paraId="661341BC">
      <w:pPr>
        <w:spacing w:line="360" w:lineRule="auto"/>
        <w:rPr>
          <w:rFonts w:ascii="宋体" w:hAnsi="宋体" w:eastAsia="宋体"/>
          <w:highlight w:val="none"/>
        </w:rPr>
        <w:sectPr>
          <w:pgSz w:w="11906" w:h="16838"/>
          <w:pgMar w:top="1440" w:right="1803" w:bottom="1440" w:left="1803" w:header="851" w:footer="992" w:gutter="0"/>
          <w:pgNumType w:fmt="decimal"/>
          <w:cols w:space="425" w:num="1"/>
          <w:docGrid w:type="lines" w:linePitch="312" w:charSpace="0"/>
        </w:sectPr>
      </w:pPr>
    </w:p>
    <w:p w14:paraId="1D78C2C9">
      <w:pPr>
        <w:pStyle w:val="2"/>
        <w:jc w:val="center"/>
        <w:rPr>
          <w:rFonts w:ascii="宋体" w:hAnsi="宋体" w:eastAsia="宋体"/>
          <w:sz w:val="30"/>
          <w:highlight w:val="none"/>
        </w:rPr>
      </w:pPr>
      <w:bookmarkStart w:id="48" w:name="chapter_level1_10_56152"/>
      <w:bookmarkStart w:id="49" w:name="_Toc802"/>
      <w:r>
        <w:rPr>
          <w:rFonts w:hint="eastAsia" w:ascii="宋体" w:hAnsi="宋体" w:eastAsia="宋体"/>
          <w:sz w:val="30"/>
          <w:highlight w:val="none"/>
        </w:rPr>
        <w:t>十、基金管理人承诺</w:t>
      </w:r>
      <w:bookmarkEnd w:id="48"/>
      <w:bookmarkEnd w:id="49"/>
    </w:p>
    <w:p w14:paraId="6CD01CD2">
      <w:pPr>
        <w:pStyle w:val="9"/>
        <w:spacing w:before="0" w:beforeAutospacing="0" w:after="0" w:afterAutospacing="0" w:line="360" w:lineRule="auto"/>
        <w:ind w:firstLine="420"/>
        <w:rPr>
          <w:sz w:val="21"/>
          <w:szCs w:val="21"/>
          <w:highlight w:val="none"/>
        </w:rPr>
      </w:pPr>
      <w:bookmarkStart w:id="50" w:name="chapter_level1_10_56152_section_1"/>
      <w:bookmarkEnd w:id="50"/>
      <w:r>
        <w:rPr>
          <w:rFonts w:hint="eastAsia"/>
          <w:sz w:val="21"/>
          <w:szCs w:val="21"/>
          <w:highlight w:val="none"/>
        </w:rPr>
        <w:t xml:space="preserve">基金管理人就基金上市交易之后履行管理人职责做出以下承诺： </w:t>
      </w:r>
    </w:p>
    <w:p w14:paraId="23D18EC5">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（一）严格遵守《基金法》及其他法律法规、基金合同的规定，以诚实信用、勤勉尽责的原则管理和运用基金资产。 </w:t>
      </w:r>
    </w:p>
    <w:p w14:paraId="2677F1BA">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（二）真实、准确、完整和及时地披露定期报告等有关信息披露文件，披露所有对基金份额持有人有重大影响的信息，并接受中国证监会、证券交易所的监督管理。 </w:t>
      </w:r>
    </w:p>
    <w:p w14:paraId="593D9332">
      <w:pPr>
        <w:pStyle w:val="9"/>
        <w:spacing w:before="0" w:beforeAutospacing="0" w:after="0" w:afterAutospacing="0" w:line="360" w:lineRule="auto"/>
        <w:ind w:firstLine="420"/>
        <w:rPr>
          <w:sz w:val="21"/>
          <w:szCs w:val="21"/>
          <w:highlight w:val="none"/>
        </w:rPr>
      </w:pPr>
      <w:r>
        <w:rPr>
          <w:rFonts w:hint="eastAsia"/>
          <w:sz w:val="21"/>
          <w:szCs w:val="21"/>
          <w:highlight w:val="none"/>
        </w:rPr>
        <w:t>（三）在知悉可能对基金价格产生误导性影响或引起较大波动的任何公共传播媒介中出</w:t>
      </w:r>
      <w:bookmarkStart w:id="51" w:name="chapter_level1_10_56152_section_1_end"/>
      <w:bookmarkEnd w:id="51"/>
      <w:r>
        <w:rPr>
          <w:rFonts w:hint="eastAsia"/>
          <w:sz w:val="21"/>
          <w:szCs w:val="21"/>
          <w:highlight w:val="none"/>
        </w:rPr>
        <w:t xml:space="preserve">现的或者在市场上流传的消息后，将及时予以公开澄清。 </w:t>
      </w:r>
    </w:p>
    <w:p w14:paraId="37D28DD3">
      <w:pPr>
        <w:widowControl/>
        <w:jc w:val="left"/>
        <w:rPr>
          <w:rFonts w:ascii="宋体" w:hAnsi="宋体" w:eastAsia="宋体"/>
          <w:highlight w:val="none"/>
        </w:rPr>
      </w:pPr>
      <w:r>
        <w:rPr>
          <w:rFonts w:ascii="宋体" w:hAnsi="宋体" w:eastAsia="宋体"/>
          <w:highlight w:val="none"/>
        </w:rPr>
        <w:br w:type="page"/>
      </w:r>
    </w:p>
    <w:p w14:paraId="20FA1DCD">
      <w:pPr>
        <w:pStyle w:val="2"/>
        <w:jc w:val="center"/>
        <w:rPr>
          <w:rFonts w:ascii="宋体" w:hAnsi="宋体" w:eastAsia="宋体"/>
          <w:sz w:val="30"/>
          <w:highlight w:val="none"/>
        </w:rPr>
      </w:pPr>
      <w:bookmarkStart w:id="52" w:name="chapter_level1_11_56153"/>
      <w:bookmarkStart w:id="53" w:name="_Toc31429"/>
      <w:r>
        <w:rPr>
          <w:rFonts w:hint="eastAsia" w:ascii="宋体" w:hAnsi="宋体" w:eastAsia="宋体"/>
          <w:sz w:val="30"/>
          <w:highlight w:val="none"/>
        </w:rPr>
        <w:t>十一、基金托管人承诺</w:t>
      </w:r>
      <w:bookmarkEnd w:id="52"/>
      <w:bookmarkEnd w:id="53"/>
    </w:p>
    <w:p w14:paraId="54C6021D">
      <w:pPr>
        <w:pStyle w:val="9"/>
        <w:spacing w:before="0" w:beforeAutospacing="0" w:after="0" w:afterAutospacing="0" w:line="360" w:lineRule="auto"/>
        <w:ind w:firstLine="420"/>
        <w:rPr>
          <w:sz w:val="21"/>
          <w:szCs w:val="21"/>
          <w:highlight w:val="none"/>
        </w:rPr>
      </w:pPr>
      <w:bookmarkStart w:id="54" w:name="chapter_level1_11_56153_section_1"/>
      <w:bookmarkEnd w:id="54"/>
      <w:r>
        <w:rPr>
          <w:rFonts w:hint="eastAsia"/>
          <w:sz w:val="21"/>
          <w:szCs w:val="21"/>
          <w:highlight w:val="none"/>
        </w:rPr>
        <w:t xml:space="preserve">基金托管人就本基金上市交易后履行托管人职责做出如下承诺： </w:t>
      </w:r>
    </w:p>
    <w:p w14:paraId="595F7C48">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（一）严格遵守《基金法》、《公开募集证券投资基金运作管理办法》及本基金《基金合同》、《托管协议》的规定，以诚实信用、勤勉尽责的原则托管基金资产。 </w:t>
      </w:r>
    </w:p>
    <w:p w14:paraId="3DA506A7">
      <w:pPr>
        <w:pStyle w:val="9"/>
        <w:spacing w:before="0" w:beforeAutospacing="0" w:after="0" w:afterAutospacing="0" w:line="360" w:lineRule="auto"/>
        <w:ind w:firstLine="420"/>
        <w:rPr>
          <w:sz w:val="21"/>
          <w:szCs w:val="21"/>
          <w:highlight w:val="none"/>
        </w:rPr>
      </w:pPr>
      <w:r>
        <w:rPr>
          <w:rFonts w:hint="eastAsia"/>
          <w:sz w:val="21"/>
          <w:szCs w:val="21"/>
          <w:highlight w:val="none"/>
        </w:rPr>
        <w:t>（二）根据《基金法》、《公开募集证券投资基金运作管理办法》及本基金《基金合同》、《托管协议》的规定，对基金的投资范围、基金资产的投资组合比例、基金资产净值的计算、基金份额净值计算进行监督和核查；如发现基金管理人违反《基金法》、《公开募集证券投资基金运作管理办法》及本基金《基金合同》、《托管协议》的规定，将及时通知基金管理人纠正；基金管理人对基金托管人通知的违规事项未能在限期内纠正的，基金托管人将及时</w:t>
      </w:r>
      <w:bookmarkStart w:id="55" w:name="chapter_level1_11_56153_section_1_end"/>
      <w:bookmarkEnd w:id="55"/>
      <w:r>
        <w:rPr>
          <w:rFonts w:hint="eastAsia"/>
          <w:sz w:val="21"/>
          <w:szCs w:val="21"/>
          <w:highlight w:val="none"/>
        </w:rPr>
        <w:t xml:space="preserve">向中国证监会报告。 </w:t>
      </w:r>
    </w:p>
    <w:p w14:paraId="437149A4">
      <w:pPr>
        <w:widowControl/>
        <w:jc w:val="left"/>
        <w:rPr>
          <w:rFonts w:ascii="宋体" w:hAnsi="宋体" w:eastAsia="宋体"/>
          <w:highlight w:val="none"/>
        </w:rPr>
      </w:pPr>
      <w:r>
        <w:rPr>
          <w:rFonts w:ascii="宋体" w:hAnsi="宋体" w:eastAsia="宋体"/>
          <w:highlight w:val="none"/>
        </w:rPr>
        <w:br w:type="page"/>
      </w:r>
    </w:p>
    <w:p w14:paraId="15DD2020">
      <w:pPr>
        <w:pStyle w:val="2"/>
        <w:jc w:val="center"/>
        <w:rPr>
          <w:rFonts w:ascii="宋体" w:hAnsi="宋体" w:eastAsia="宋体"/>
          <w:sz w:val="30"/>
          <w:highlight w:val="none"/>
        </w:rPr>
      </w:pPr>
      <w:bookmarkStart w:id="56" w:name="chapter_level1_12_56154"/>
      <w:bookmarkStart w:id="57" w:name="_Toc32296"/>
      <w:r>
        <w:rPr>
          <w:rFonts w:hint="eastAsia" w:ascii="宋体" w:hAnsi="宋体" w:eastAsia="宋体"/>
          <w:sz w:val="30"/>
          <w:highlight w:val="none"/>
        </w:rPr>
        <w:t>十二、基金上市推荐人意见</w:t>
      </w:r>
      <w:bookmarkEnd w:id="56"/>
      <w:bookmarkEnd w:id="57"/>
    </w:p>
    <w:p w14:paraId="1F793C0C">
      <w:pPr>
        <w:pStyle w:val="9"/>
        <w:spacing w:before="0" w:beforeAutospacing="0" w:after="0" w:afterAutospacing="0" w:line="360" w:lineRule="auto"/>
        <w:ind w:firstLine="420"/>
        <w:rPr>
          <w:sz w:val="21"/>
          <w:szCs w:val="21"/>
          <w:highlight w:val="none"/>
        </w:rPr>
      </w:pPr>
      <w:bookmarkStart w:id="58" w:name="chapter_level1_12_56154_section_1"/>
      <w:bookmarkEnd w:id="58"/>
      <w:r>
        <w:rPr>
          <w:rFonts w:hint="eastAsia"/>
          <w:sz w:val="21"/>
          <w:szCs w:val="21"/>
          <w:highlight w:val="none"/>
        </w:rPr>
        <w:t>本基金上市推荐人为</w:t>
      </w:r>
      <w:r>
        <w:rPr>
          <w:rFonts w:hint="eastAsia"/>
          <w:sz w:val="21"/>
          <w:szCs w:val="21"/>
          <w:highlight w:val="none"/>
          <w:lang w:val="en-US" w:eastAsia="zh-CN"/>
        </w:rPr>
        <w:t>华泰证券股份有限公司</w:t>
      </w:r>
      <w:r>
        <w:rPr>
          <w:rFonts w:hint="eastAsia"/>
          <w:sz w:val="21"/>
          <w:szCs w:val="21"/>
          <w:highlight w:val="none"/>
        </w:rPr>
        <w:t xml:space="preserve">。上市推荐人就基金上市交易事宜出具如下意见： </w:t>
      </w:r>
    </w:p>
    <w:p w14:paraId="309A3A29">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1、本基金上市符合《基金法》、《上海证券交易所证券投资基金上市规则》规定的相关条件； </w:t>
      </w:r>
    </w:p>
    <w:p w14:paraId="189DC7C2">
      <w:pPr>
        <w:pStyle w:val="9"/>
        <w:spacing w:before="0" w:beforeAutospacing="0" w:after="0" w:afterAutospacing="0" w:line="360" w:lineRule="auto"/>
        <w:ind w:firstLine="420"/>
        <w:rPr>
          <w:sz w:val="21"/>
          <w:szCs w:val="21"/>
          <w:highlight w:val="none"/>
        </w:rPr>
      </w:pPr>
      <w:r>
        <w:rPr>
          <w:rFonts w:hint="eastAsia"/>
          <w:sz w:val="21"/>
          <w:szCs w:val="21"/>
          <w:highlight w:val="none"/>
        </w:rPr>
        <w:t>2、基金上市文件真实、准确、完整，符合相关规定要求，文件内所载的资料均经过核</w:t>
      </w:r>
      <w:bookmarkStart w:id="59" w:name="chapter_level1_12_56154_section_1_end"/>
      <w:bookmarkEnd w:id="59"/>
      <w:r>
        <w:rPr>
          <w:rFonts w:hint="eastAsia"/>
          <w:sz w:val="21"/>
          <w:szCs w:val="21"/>
          <w:highlight w:val="none"/>
        </w:rPr>
        <w:t xml:space="preserve">实。 </w:t>
      </w:r>
    </w:p>
    <w:p w14:paraId="5125B1C8">
      <w:pPr>
        <w:widowControl/>
        <w:jc w:val="left"/>
        <w:rPr>
          <w:rFonts w:ascii="宋体" w:hAnsi="宋体" w:eastAsia="宋体"/>
          <w:highlight w:val="none"/>
        </w:rPr>
      </w:pPr>
      <w:r>
        <w:rPr>
          <w:rFonts w:ascii="宋体" w:hAnsi="宋体" w:eastAsia="宋体"/>
          <w:highlight w:val="none"/>
        </w:rPr>
        <w:br w:type="page"/>
      </w:r>
    </w:p>
    <w:p w14:paraId="4DEF80CC">
      <w:pPr>
        <w:pStyle w:val="2"/>
        <w:jc w:val="center"/>
        <w:rPr>
          <w:rFonts w:ascii="宋体" w:hAnsi="宋体" w:eastAsia="宋体"/>
          <w:sz w:val="30"/>
          <w:highlight w:val="none"/>
        </w:rPr>
      </w:pPr>
      <w:bookmarkStart w:id="60" w:name="chapter_level1_13_56155"/>
      <w:bookmarkStart w:id="61" w:name="_Toc28556"/>
      <w:r>
        <w:rPr>
          <w:rFonts w:hint="eastAsia" w:ascii="宋体" w:hAnsi="宋体" w:eastAsia="宋体"/>
          <w:sz w:val="30"/>
          <w:highlight w:val="none"/>
        </w:rPr>
        <w:t>十三、备查文件目录</w:t>
      </w:r>
      <w:bookmarkEnd w:id="60"/>
      <w:bookmarkEnd w:id="61"/>
    </w:p>
    <w:p w14:paraId="14C36E26">
      <w:pPr>
        <w:pStyle w:val="9"/>
        <w:spacing w:before="0" w:beforeAutospacing="0" w:after="0" w:afterAutospacing="0" w:line="360" w:lineRule="auto"/>
        <w:ind w:firstLine="420"/>
        <w:rPr>
          <w:sz w:val="21"/>
          <w:szCs w:val="21"/>
          <w:highlight w:val="none"/>
        </w:rPr>
      </w:pPr>
      <w:bookmarkStart w:id="62" w:name="chapter_level1_13_56155_section_1"/>
      <w:bookmarkEnd w:id="62"/>
      <w:r>
        <w:rPr>
          <w:rFonts w:hint="eastAsia"/>
          <w:sz w:val="21"/>
          <w:szCs w:val="21"/>
          <w:highlight w:val="none"/>
        </w:rPr>
        <w:t>（一）中国证监会准予</w:t>
      </w:r>
      <w:r>
        <w:rPr>
          <w:rFonts w:hint="eastAsia"/>
          <w:sz w:val="21"/>
          <w:szCs w:val="21"/>
          <w:highlight w:val="none"/>
          <w:lang w:eastAsia="zh-CN"/>
        </w:rPr>
        <w:t>博时中证稀有金属主题交易型开放式指数证券投资基金</w:t>
      </w:r>
      <w:r>
        <w:rPr>
          <w:rFonts w:hint="eastAsia"/>
          <w:sz w:val="21"/>
          <w:szCs w:val="21"/>
          <w:highlight w:val="none"/>
        </w:rPr>
        <w:t xml:space="preserve">注册的批复文件 </w:t>
      </w:r>
    </w:p>
    <w:p w14:paraId="153E8130">
      <w:pPr>
        <w:pStyle w:val="9"/>
        <w:spacing w:before="0" w:beforeAutospacing="0" w:after="0" w:afterAutospacing="0" w:line="360" w:lineRule="auto"/>
        <w:ind w:firstLine="420"/>
        <w:rPr>
          <w:sz w:val="21"/>
          <w:szCs w:val="21"/>
          <w:highlight w:val="none"/>
        </w:rPr>
      </w:pPr>
      <w:r>
        <w:rPr>
          <w:rFonts w:hint="eastAsia"/>
          <w:sz w:val="21"/>
          <w:szCs w:val="21"/>
          <w:highlight w:val="none"/>
        </w:rPr>
        <w:t>（二）《</w:t>
      </w:r>
      <w:r>
        <w:rPr>
          <w:rFonts w:hint="eastAsia"/>
          <w:sz w:val="21"/>
          <w:szCs w:val="21"/>
          <w:highlight w:val="none"/>
          <w:lang w:eastAsia="zh-CN"/>
        </w:rPr>
        <w:t>博时中证稀有金属主题交易型开放式指数证券投资基金</w:t>
      </w:r>
      <w:r>
        <w:rPr>
          <w:rFonts w:hint="eastAsia"/>
          <w:sz w:val="21"/>
          <w:szCs w:val="21"/>
          <w:highlight w:val="none"/>
        </w:rPr>
        <w:t xml:space="preserve">基金合同》 </w:t>
      </w:r>
    </w:p>
    <w:p w14:paraId="5F3024DF">
      <w:pPr>
        <w:pStyle w:val="9"/>
        <w:spacing w:before="0" w:beforeAutospacing="0" w:after="0" w:afterAutospacing="0" w:line="360" w:lineRule="auto"/>
        <w:ind w:firstLine="420"/>
        <w:rPr>
          <w:sz w:val="21"/>
          <w:szCs w:val="21"/>
          <w:highlight w:val="none"/>
        </w:rPr>
      </w:pPr>
      <w:r>
        <w:rPr>
          <w:rFonts w:hint="eastAsia"/>
          <w:sz w:val="21"/>
          <w:szCs w:val="21"/>
          <w:highlight w:val="none"/>
        </w:rPr>
        <w:t>（三）《</w:t>
      </w:r>
      <w:r>
        <w:rPr>
          <w:rFonts w:hint="eastAsia"/>
          <w:sz w:val="21"/>
          <w:szCs w:val="21"/>
          <w:highlight w:val="none"/>
          <w:lang w:eastAsia="zh-CN"/>
        </w:rPr>
        <w:t>博时中证稀有金属主题交易型开放式指数证券投资基金</w:t>
      </w:r>
      <w:r>
        <w:rPr>
          <w:rFonts w:hint="eastAsia"/>
          <w:sz w:val="21"/>
          <w:szCs w:val="21"/>
          <w:highlight w:val="none"/>
        </w:rPr>
        <w:t xml:space="preserve">托管协议》 </w:t>
      </w:r>
    </w:p>
    <w:p w14:paraId="5EDCEB08">
      <w:pPr>
        <w:pStyle w:val="9"/>
        <w:spacing w:before="0" w:beforeAutospacing="0" w:after="0" w:afterAutospacing="0" w:line="360" w:lineRule="auto"/>
        <w:ind w:firstLine="420"/>
        <w:rPr>
          <w:sz w:val="21"/>
          <w:szCs w:val="21"/>
          <w:highlight w:val="none"/>
        </w:rPr>
      </w:pPr>
      <w:r>
        <w:rPr>
          <w:rFonts w:hint="eastAsia"/>
          <w:sz w:val="21"/>
          <w:szCs w:val="21"/>
          <w:highlight w:val="none"/>
        </w:rPr>
        <w:t>（四）《</w:t>
      </w:r>
      <w:r>
        <w:rPr>
          <w:rFonts w:hint="eastAsia"/>
          <w:sz w:val="21"/>
          <w:szCs w:val="21"/>
          <w:highlight w:val="none"/>
          <w:lang w:eastAsia="zh-CN"/>
        </w:rPr>
        <w:t>博时中证稀有金属主题交易型开放式指数证券投资基金</w:t>
      </w:r>
      <w:r>
        <w:rPr>
          <w:rFonts w:hint="eastAsia"/>
          <w:sz w:val="21"/>
          <w:szCs w:val="21"/>
          <w:highlight w:val="none"/>
        </w:rPr>
        <w:t xml:space="preserve">招募说明书》 </w:t>
      </w:r>
    </w:p>
    <w:p w14:paraId="4303E724">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（五）基金管理人业务资格批件、营业执照 </w:t>
      </w:r>
    </w:p>
    <w:p w14:paraId="36A1CD4A">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（六）基金托管人业务资格批件、营业执照 </w:t>
      </w:r>
    </w:p>
    <w:p w14:paraId="5749399A">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（七）法律意见书 </w:t>
      </w:r>
    </w:p>
    <w:p w14:paraId="5294624C">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（八）中国证监会要求的其他文件 </w:t>
      </w:r>
    </w:p>
    <w:p w14:paraId="480F10F4">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存放地点：备查文件存放于基金管理人和/或基金托管人处。 </w:t>
      </w:r>
    </w:p>
    <w:p w14:paraId="0F479DA5">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查阅方式：投资者可在营业时间免费查阅，也可按工本费购买复印件。 </w:t>
      </w:r>
    </w:p>
    <w:p w14:paraId="1C1A5979">
      <w:pPr>
        <w:pStyle w:val="9"/>
        <w:spacing w:before="0" w:beforeAutospacing="0" w:after="0" w:afterAutospacing="0" w:line="360" w:lineRule="auto"/>
        <w:ind w:firstLine="420"/>
        <w:rPr>
          <w:sz w:val="21"/>
          <w:szCs w:val="21"/>
          <w:highlight w:val="none"/>
        </w:rPr>
      </w:pPr>
    </w:p>
    <w:p w14:paraId="77CDDD76">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风险提示：本基金管理人承诺以诚实信用、勤勉尽责的原则管理和运用基金财产，但不保证基金一定盈利，也不保证最低收益。基金的过往业绩并不代表其将来表现。投资有风险，敬请投资人认真阅读基金的相关法律文件，并选择适合自身风险承受能力的投资品种进行投资。 </w:t>
      </w:r>
    </w:p>
    <w:p w14:paraId="0467CD59">
      <w:pPr>
        <w:pStyle w:val="9"/>
        <w:spacing w:before="0" w:beforeAutospacing="0" w:after="0" w:afterAutospacing="0" w:line="360" w:lineRule="auto"/>
        <w:ind w:firstLine="420"/>
        <w:rPr>
          <w:sz w:val="21"/>
          <w:szCs w:val="21"/>
          <w:highlight w:val="none"/>
        </w:rPr>
      </w:pPr>
    </w:p>
    <w:p w14:paraId="103E59C2">
      <w:pPr>
        <w:pStyle w:val="9"/>
        <w:spacing w:before="0" w:beforeAutospacing="0" w:after="0" w:afterAutospacing="0" w:line="360" w:lineRule="auto"/>
        <w:ind w:firstLine="420"/>
        <w:rPr>
          <w:sz w:val="21"/>
          <w:szCs w:val="21"/>
          <w:highlight w:val="none"/>
        </w:rPr>
      </w:pPr>
    </w:p>
    <w:p w14:paraId="1F881214">
      <w:pPr>
        <w:pStyle w:val="9"/>
        <w:spacing w:before="0" w:beforeAutospacing="0" w:after="0" w:afterAutospacing="0" w:line="360" w:lineRule="auto"/>
        <w:ind w:firstLine="420"/>
        <w:rPr>
          <w:sz w:val="21"/>
          <w:szCs w:val="21"/>
          <w:highlight w:val="none"/>
        </w:rPr>
      </w:pPr>
    </w:p>
    <w:p w14:paraId="01B52C29">
      <w:pPr>
        <w:pStyle w:val="9"/>
        <w:spacing w:before="0" w:beforeAutospacing="0" w:after="0" w:afterAutospacing="0" w:line="360" w:lineRule="auto"/>
        <w:ind w:firstLine="420"/>
        <w:rPr>
          <w:sz w:val="21"/>
          <w:szCs w:val="21"/>
          <w:highlight w:val="none"/>
        </w:rPr>
      </w:pPr>
    </w:p>
    <w:p w14:paraId="06A9C9D3">
      <w:pPr>
        <w:pStyle w:val="9"/>
        <w:spacing w:before="0" w:beforeAutospacing="0" w:after="0" w:afterAutospacing="0" w:line="360" w:lineRule="auto"/>
        <w:ind w:firstLine="420"/>
        <w:rPr>
          <w:sz w:val="21"/>
          <w:szCs w:val="21"/>
          <w:highlight w:val="none"/>
        </w:rPr>
      </w:pPr>
    </w:p>
    <w:p w14:paraId="6D273CED">
      <w:pPr>
        <w:pStyle w:val="9"/>
        <w:spacing w:before="0" w:beforeAutospacing="0" w:after="0" w:afterAutospacing="0" w:line="360" w:lineRule="auto"/>
        <w:ind w:firstLine="420"/>
        <w:rPr>
          <w:sz w:val="21"/>
          <w:szCs w:val="21"/>
          <w:highlight w:val="none"/>
        </w:rPr>
      </w:pPr>
    </w:p>
    <w:p w14:paraId="13C5CEBB">
      <w:pPr>
        <w:pStyle w:val="9"/>
        <w:spacing w:before="0" w:beforeAutospacing="0" w:after="0" w:afterAutospacing="0" w:line="360" w:lineRule="auto"/>
        <w:ind w:firstLine="420"/>
        <w:jc w:val="right"/>
        <w:rPr>
          <w:sz w:val="21"/>
          <w:szCs w:val="21"/>
          <w:highlight w:val="none"/>
        </w:rPr>
      </w:pPr>
      <w:bookmarkStart w:id="63" w:name="field_0_managerorgfullname_3"/>
      <w:r>
        <w:rPr>
          <w:rFonts w:hint="eastAsia"/>
          <w:sz w:val="21"/>
          <w:szCs w:val="21"/>
          <w:highlight w:val="none"/>
        </w:rPr>
        <w:t>博时基金管理有限公司</w:t>
      </w:r>
      <w:bookmarkEnd w:id="63"/>
      <w:r>
        <w:rPr>
          <w:rFonts w:hint="eastAsia"/>
          <w:sz w:val="21"/>
          <w:szCs w:val="21"/>
          <w:highlight w:val="none"/>
        </w:rPr>
        <w:t xml:space="preserve"> </w:t>
      </w:r>
    </w:p>
    <w:p w14:paraId="4830C89A">
      <w:pPr>
        <w:pStyle w:val="9"/>
        <w:spacing w:before="0" w:beforeAutospacing="0" w:after="0" w:afterAutospacing="0" w:line="360" w:lineRule="auto"/>
        <w:ind w:firstLine="420"/>
        <w:jc w:val="right"/>
        <w:rPr>
          <w:sz w:val="21"/>
          <w:szCs w:val="21"/>
          <w:highlight w:val="none"/>
        </w:rPr>
      </w:pPr>
      <w:bookmarkStart w:id="64" w:name="chapter_level1_13_56155_section_1_end"/>
      <w:bookmarkEnd w:id="64"/>
      <w:r>
        <w:rPr>
          <w:rFonts w:hint="eastAsia"/>
          <w:sz w:val="21"/>
          <w:szCs w:val="21"/>
          <w:highlight w:val="none"/>
          <w:lang w:eastAsia="zh-CN"/>
        </w:rPr>
        <w:t>2026年</w:t>
      </w:r>
      <w:r>
        <w:rPr>
          <w:rFonts w:hint="eastAsia"/>
          <w:sz w:val="21"/>
          <w:szCs w:val="21"/>
          <w:highlight w:val="none"/>
          <w:lang w:val="en-US" w:eastAsia="zh-CN"/>
        </w:rPr>
        <w:t>11</w:t>
      </w:r>
      <w:r>
        <w:rPr>
          <w:rFonts w:hint="eastAsia"/>
          <w:sz w:val="21"/>
          <w:szCs w:val="21"/>
          <w:highlight w:val="none"/>
          <w:lang w:eastAsia="zh-CN"/>
        </w:rPr>
        <w:t>月</w:t>
      </w:r>
      <w:r>
        <w:rPr>
          <w:rFonts w:hint="eastAsia"/>
          <w:sz w:val="21"/>
          <w:szCs w:val="21"/>
          <w:highlight w:val="none"/>
          <w:lang w:val="en-US" w:eastAsia="zh-CN"/>
        </w:rPr>
        <w:t>6</w:t>
      </w:r>
      <w:r>
        <w:rPr>
          <w:rFonts w:hint="eastAsia"/>
          <w:sz w:val="21"/>
          <w:szCs w:val="21"/>
          <w:highlight w:val="none"/>
          <w:lang w:eastAsia="zh-CN"/>
        </w:rPr>
        <w:t>日</w:t>
      </w:r>
      <w:r>
        <w:rPr>
          <w:rFonts w:hint="eastAsia"/>
          <w:sz w:val="21"/>
          <w:szCs w:val="21"/>
          <w:highlight w:val="none"/>
        </w:rPr>
        <w:t xml:space="preserve"> </w:t>
      </w:r>
    </w:p>
    <w:p w14:paraId="7247C670">
      <w:pPr>
        <w:widowControl/>
        <w:jc w:val="left"/>
        <w:rPr>
          <w:rFonts w:ascii="宋体" w:hAnsi="宋体" w:eastAsia="宋体"/>
          <w:highlight w:val="lightGray"/>
        </w:rPr>
        <w:sectPr>
          <w:pgSz w:w="11906" w:h="16838"/>
          <w:pgMar w:top="1440" w:right="1803" w:bottom="1440" w:left="1803" w:header="851" w:footer="992" w:gutter="0"/>
          <w:pgNumType w:fmt="decimal"/>
          <w:cols w:space="425" w:num="1"/>
          <w:docGrid w:type="lines" w:linePitch="312" w:charSpace="0"/>
        </w:sectPr>
      </w:pPr>
    </w:p>
    <w:p w14:paraId="0B03413B">
      <w:pPr>
        <w:pStyle w:val="2"/>
        <w:jc w:val="center"/>
        <w:rPr>
          <w:rFonts w:ascii="宋体" w:hAnsi="宋体" w:eastAsia="宋体"/>
          <w:sz w:val="30"/>
          <w:highlight w:val="none"/>
        </w:rPr>
      </w:pPr>
      <w:bookmarkStart w:id="65" w:name="chapter_level1_14_56156"/>
      <w:bookmarkStart w:id="66" w:name="_Toc14698"/>
      <w:r>
        <w:rPr>
          <w:rFonts w:hint="eastAsia" w:ascii="宋体" w:hAnsi="宋体" w:eastAsia="宋体"/>
          <w:sz w:val="30"/>
          <w:highlight w:val="none"/>
        </w:rPr>
        <w:t>附件：基金合同摘要</w:t>
      </w:r>
      <w:bookmarkEnd w:id="65"/>
      <w:bookmarkEnd w:id="66"/>
    </w:p>
    <w:p w14:paraId="4D73D43C">
      <w:pPr>
        <w:snapToGrid w:val="0"/>
        <w:spacing w:line="360" w:lineRule="auto"/>
        <w:ind w:firstLine="420" w:firstLineChars="200"/>
        <w:rPr>
          <w:rFonts w:ascii="宋体" w:hAnsi="宋体"/>
          <w:sz w:val="21"/>
          <w:szCs w:val="21"/>
        </w:rPr>
      </w:pPr>
      <w:bookmarkStart w:id="67" w:name="chapter_level1_14_56156_section_1"/>
      <w:bookmarkEnd w:id="67"/>
      <w:bookmarkStart w:id="68" w:name="end"/>
      <w:bookmarkEnd w:id="68"/>
      <w:r>
        <w:rPr>
          <w:rFonts w:hint="eastAsia" w:ascii="宋体" w:hAnsi="宋体"/>
          <w:sz w:val="21"/>
          <w:szCs w:val="21"/>
        </w:rPr>
        <w:t>一、基金份额持有人、基金管理人和基金托管人的权利、义务</w:t>
      </w:r>
    </w:p>
    <w:p w14:paraId="1E706CDF">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（一）基金份额持有人的权利与义务</w:t>
      </w:r>
    </w:p>
    <w:p w14:paraId="3609709A">
      <w:pPr>
        <w:snapToGrid w:val="0"/>
        <w:spacing w:line="360" w:lineRule="auto"/>
        <w:ind w:firstLine="420" w:firstLineChars="200"/>
        <w:rPr>
          <w:rFonts w:hint="eastAsia" w:ascii="宋体" w:hAnsi="宋体"/>
          <w:sz w:val="21"/>
          <w:szCs w:val="21"/>
        </w:rPr>
      </w:pPr>
      <w:r>
        <w:rPr>
          <w:rFonts w:hint="eastAsia" w:ascii="宋体" w:hAnsi="宋体"/>
          <w:sz w:val="21"/>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1DDCCDCD">
      <w:pPr>
        <w:snapToGrid w:val="0"/>
        <w:spacing w:line="360" w:lineRule="auto"/>
        <w:ind w:firstLine="420" w:firstLineChars="200"/>
        <w:rPr>
          <w:rFonts w:hint="eastAsia" w:ascii="宋体" w:hAnsi="宋体"/>
          <w:sz w:val="21"/>
          <w:szCs w:val="21"/>
        </w:rPr>
      </w:pPr>
      <w:r>
        <w:rPr>
          <w:rFonts w:hint="eastAsia" w:ascii="宋体" w:hAnsi="宋体"/>
          <w:sz w:val="21"/>
          <w:szCs w:val="21"/>
        </w:rPr>
        <w:t>每份基金份额具有同等的合法权益。</w:t>
      </w:r>
    </w:p>
    <w:p w14:paraId="41A65214">
      <w:pPr>
        <w:snapToGrid w:val="0"/>
        <w:spacing w:line="360" w:lineRule="auto"/>
        <w:ind w:firstLine="420" w:firstLineChars="200"/>
        <w:rPr>
          <w:rFonts w:hint="eastAsia" w:ascii="宋体" w:hAnsi="宋体"/>
          <w:sz w:val="21"/>
          <w:szCs w:val="21"/>
        </w:rPr>
      </w:pPr>
      <w:r>
        <w:rPr>
          <w:rFonts w:hint="eastAsia" w:ascii="宋体" w:hAnsi="宋体"/>
          <w:sz w:val="21"/>
          <w:szCs w:val="21"/>
        </w:rPr>
        <w:t>1、根据《基金法》、《运作办法》及其他有关规定，基金份额持有人的权利包括但不限于：</w:t>
      </w:r>
    </w:p>
    <w:p w14:paraId="78852ADC">
      <w:pPr>
        <w:snapToGrid w:val="0"/>
        <w:spacing w:line="360" w:lineRule="auto"/>
        <w:ind w:firstLine="420" w:firstLineChars="200"/>
        <w:rPr>
          <w:rFonts w:hint="eastAsia" w:ascii="宋体" w:hAnsi="宋体"/>
          <w:sz w:val="21"/>
          <w:szCs w:val="21"/>
        </w:rPr>
      </w:pPr>
      <w:r>
        <w:rPr>
          <w:rFonts w:hint="eastAsia" w:ascii="宋体" w:hAnsi="宋体"/>
          <w:sz w:val="21"/>
          <w:szCs w:val="21"/>
        </w:rPr>
        <w:t>（1）分享基金财产收益；</w:t>
      </w:r>
    </w:p>
    <w:p w14:paraId="36936E78">
      <w:pPr>
        <w:snapToGrid w:val="0"/>
        <w:spacing w:line="360" w:lineRule="auto"/>
        <w:ind w:firstLine="420" w:firstLineChars="200"/>
        <w:rPr>
          <w:rFonts w:hint="eastAsia" w:ascii="宋体" w:hAnsi="宋体"/>
          <w:sz w:val="21"/>
          <w:szCs w:val="21"/>
        </w:rPr>
      </w:pPr>
      <w:r>
        <w:rPr>
          <w:rFonts w:hint="eastAsia" w:ascii="宋体" w:hAnsi="宋体"/>
          <w:sz w:val="21"/>
          <w:szCs w:val="21"/>
        </w:rPr>
        <w:t>（2）参与分配清算后的剩余基金财产；</w:t>
      </w:r>
    </w:p>
    <w:p w14:paraId="2EC95CB7">
      <w:pPr>
        <w:snapToGrid w:val="0"/>
        <w:spacing w:line="360" w:lineRule="auto"/>
        <w:ind w:firstLine="420" w:firstLineChars="200"/>
        <w:rPr>
          <w:rFonts w:hint="eastAsia" w:ascii="宋体" w:hAnsi="宋体"/>
          <w:sz w:val="21"/>
          <w:szCs w:val="21"/>
        </w:rPr>
      </w:pPr>
      <w:r>
        <w:rPr>
          <w:rFonts w:hint="eastAsia" w:ascii="宋体" w:hAnsi="宋体"/>
          <w:sz w:val="21"/>
          <w:szCs w:val="21"/>
        </w:rPr>
        <w:t>（3）依法转让或者申请赎回其持有的基金份额；</w:t>
      </w:r>
    </w:p>
    <w:p w14:paraId="74EC2991">
      <w:pPr>
        <w:snapToGrid w:val="0"/>
        <w:spacing w:line="360" w:lineRule="auto"/>
        <w:ind w:firstLine="420" w:firstLineChars="200"/>
        <w:rPr>
          <w:rFonts w:hint="eastAsia" w:ascii="宋体" w:hAnsi="宋体"/>
          <w:sz w:val="21"/>
          <w:szCs w:val="21"/>
        </w:rPr>
      </w:pPr>
      <w:r>
        <w:rPr>
          <w:rFonts w:hint="eastAsia" w:ascii="宋体" w:hAnsi="宋体"/>
          <w:sz w:val="21"/>
          <w:szCs w:val="21"/>
        </w:rPr>
        <w:t>（4）按照规定要求召开基金份额持有人大会或者召集基金份额持有人大会；</w:t>
      </w:r>
    </w:p>
    <w:p w14:paraId="03C6DE8F">
      <w:pPr>
        <w:snapToGrid w:val="0"/>
        <w:spacing w:line="360" w:lineRule="auto"/>
        <w:ind w:firstLine="420" w:firstLineChars="200"/>
        <w:rPr>
          <w:rFonts w:hint="eastAsia" w:ascii="宋体" w:hAnsi="宋体"/>
          <w:sz w:val="21"/>
          <w:szCs w:val="21"/>
        </w:rPr>
      </w:pPr>
      <w:r>
        <w:rPr>
          <w:rFonts w:hint="eastAsia" w:ascii="宋体" w:hAnsi="宋体"/>
          <w:sz w:val="21"/>
          <w:szCs w:val="21"/>
        </w:rPr>
        <w:t>（5）出席或者委派代表出席基金份额持有人大会，对基金份额持有人大会审议事项行使表决权；</w:t>
      </w:r>
    </w:p>
    <w:p w14:paraId="7FB77AC1">
      <w:pPr>
        <w:snapToGrid w:val="0"/>
        <w:spacing w:line="360" w:lineRule="auto"/>
        <w:ind w:firstLine="420" w:firstLineChars="200"/>
        <w:rPr>
          <w:rFonts w:hint="eastAsia" w:ascii="宋体" w:hAnsi="宋体"/>
          <w:sz w:val="21"/>
          <w:szCs w:val="21"/>
        </w:rPr>
      </w:pPr>
      <w:r>
        <w:rPr>
          <w:rFonts w:hint="eastAsia" w:ascii="宋体" w:hAnsi="宋体"/>
          <w:sz w:val="21"/>
          <w:szCs w:val="21"/>
        </w:rPr>
        <w:t>（6）查阅或者复制公开披露的基金信息资料；</w:t>
      </w:r>
    </w:p>
    <w:p w14:paraId="2D5D8100">
      <w:pPr>
        <w:snapToGrid w:val="0"/>
        <w:spacing w:line="360" w:lineRule="auto"/>
        <w:ind w:firstLine="420" w:firstLineChars="200"/>
        <w:rPr>
          <w:rFonts w:hint="eastAsia" w:ascii="宋体" w:hAnsi="宋体"/>
          <w:sz w:val="21"/>
          <w:szCs w:val="21"/>
        </w:rPr>
      </w:pPr>
      <w:r>
        <w:rPr>
          <w:rFonts w:hint="eastAsia" w:ascii="宋体" w:hAnsi="宋体"/>
          <w:sz w:val="21"/>
          <w:szCs w:val="21"/>
        </w:rPr>
        <w:t>（7）监督基金管理人的投资运作；</w:t>
      </w:r>
    </w:p>
    <w:p w14:paraId="793E6852">
      <w:pPr>
        <w:snapToGrid w:val="0"/>
        <w:spacing w:line="360" w:lineRule="auto"/>
        <w:ind w:firstLine="420" w:firstLineChars="200"/>
        <w:rPr>
          <w:rFonts w:hint="eastAsia" w:ascii="宋体" w:hAnsi="宋体"/>
          <w:sz w:val="21"/>
          <w:szCs w:val="21"/>
        </w:rPr>
      </w:pPr>
      <w:r>
        <w:rPr>
          <w:rFonts w:hint="eastAsia" w:ascii="宋体" w:hAnsi="宋体"/>
          <w:sz w:val="21"/>
          <w:szCs w:val="21"/>
        </w:rPr>
        <w:t>（8）对基金管理人、基金托管人、基金服务机构损害其合法权益的行为依法提起诉讼或仲裁；</w:t>
      </w:r>
    </w:p>
    <w:p w14:paraId="41A49981">
      <w:pPr>
        <w:snapToGrid w:val="0"/>
        <w:spacing w:line="360" w:lineRule="auto"/>
        <w:ind w:firstLine="420" w:firstLineChars="200"/>
        <w:rPr>
          <w:rFonts w:hint="eastAsia" w:ascii="宋体" w:hAnsi="宋体"/>
          <w:sz w:val="21"/>
          <w:szCs w:val="21"/>
        </w:rPr>
      </w:pPr>
      <w:r>
        <w:rPr>
          <w:rFonts w:hint="eastAsia" w:ascii="宋体" w:hAnsi="宋体"/>
          <w:sz w:val="21"/>
          <w:szCs w:val="21"/>
        </w:rPr>
        <w:t>（9）法律法规及中国证监会规定的和《基金合同》约定的其他权利。</w:t>
      </w:r>
    </w:p>
    <w:p w14:paraId="6E5EE511">
      <w:pPr>
        <w:snapToGrid w:val="0"/>
        <w:spacing w:line="360" w:lineRule="auto"/>
        <w:ind w:firstLine="420" w:firstLineChars="200"/>
        <w:rPr>
          <w:rFonts w:hint="eastAsia" w:ascii="宋体" w:hAnsi="宋体"/>
          <w:sz w:val="21"/>
          <w:szCs w:val="21"/>
        </w:rPr>
      </w:pPr>
      <w:r>
        <w:rPr>
          <w:rFonts w:hint="eastAsia" w:ascii="宋体" w:hAnsi="宋体"/>
          <w:sz w:val="21"/>
          <w:szCs w:val="21"/>
        </w:rPr>
        <w:t>2、根据《基金法》、《运作办法》及其他有关规定，基金份额持有人的义务包括但不限于：</w:t>
      </w:r>
    </w:p>
    <w:p w14:paraId="5692694A">
      <w:pPr>
        <w:snapToGrid w:val="0"/>
        <w:spacing w:line="360" w:lineRule="auto"/>
        <w:ind w:firstLine="420" w:firstLineChars="200"/>
        <w:rPr>
          <w:rFonts w:hint="eastAsia" w:ascii="宋体" w:hAnsi="宋体"/>
          <w:sz w:val="21"/>
          <w:szCs w:val="21"/>
        </w:rPr>
      </w:pPr>
      <w:r>
        <w:rPr>
          <w:rFonts w:hint="eastAsia" w:ascii="宋体" w:hAnsi="宋体"/>
          <w:sz w:val="21"/>
          <w:szCs w:val="21"/>
        </w:rPr>
        <w:t>（1）认真阅读并遵守《基金合同》、招募说明书及基金产品资料概要等信息披露文件；</w:t>
      </w:r>
    </w:p>
    <w:p w14:paraId="4848738F">
      <w:pPr>
        <w:snapToGrid w:val="0"/>
        <w:spacing w:line="360" w:lineRule="auto"/>
        <w:ind w:firstLine="420" w:firstLineChars="200"/>
        <w:rPr>
          <w:rFonts w:hint="eastAsia" w:ascii="宋体" w:hAnsi="宋体"/>
          <w:sz w:val="21"/>
          <w:szCs w:val="21"/>
        </w:rPr>
      </w:pPr>
      <w:r>
        <w:rPr>
          <w:rFonts w:hint="eastAsia" w:ascii="宋体" w:hAnsi="宋体"/>
          <w:sz w:val="21"/>
          <w:szCs w:val="21"/>
        </w:rPr>
        <w:t>（2）了解所投资基金产品，了解自身风险承受能力，自主判断基金的投资价值，自主做出投资决策，自行承担投资风险；</w:t>
      </w:r>
    </w:p>
    <w:p w14:paraId="1F334A21">
      <w:pPr>
        <w:snapToGrid w:val="0"/>
        <w:spacing w:line="360" w:lineRule="auto"/>
        <w:ind w:firstLine="420" w:firstLineChars="200"/>
        <w:rPr>
          <w:rFonts w:hint="eastAsia" w:ascii="宋体" w:hAnsi="宋体"/>
          <w:sz w:val="21"/>
          <w:szCs w:val="21"/>
        </w:rPr>
      </w:pPr>
      <w:r>
        <w:rPr>
          <w:rFonts w:hint="eastAsia" w:ascii="宋体" w:hAnsi="宋体"/>
          <w:sz w:val="21"/>
          <w:szCs w:val="21"/>
        </w:rPr>
        <w:t>（3）关注基金信息披露，及时行使权利和履行义务；</w:t>
      </w:r>
    </w:p>
    <w:p w14:paraId="3741D5E7">
      <w:pPr>
        <w:snapToGrid w:val="0"/>
        <w:spacing w:line="360" w:lineRule="auto"/>
        <w:ind w:firstLine="420" w:firstLineChars="200"/>
        <w:rPr>
          <w:rFonts w:hint="eastAsia" w:ascii="宋体" w:hAnsi="宋体"/>
          <w:sz w:val="21"/>
          <w:szCs w:val="21"/>
        </w:rPr>
      </w:pPr>
      <w:r>
        <w:rPr>
          <w:rFonts w:hint="eastAsia" w:ascii="宋体" w:hAnsi="宋体"/>
          <w:sz w:val="21"/>
          <w:szCs w:val="21"/>
        </w:rPr>
        <w:t>（4）交纳基金认购款项和/或认购股票、申购对价及法律法规和《基金合同》所规定的费用；</w:t>
      </w:r>
    </w:p>
    <w:p w14:paraId="087131D3">
      <w:pPr>
        <w:snapToGrid w:val="0"/>
        <w:spacing w:line="360" w:lineRule="auto"/>
        <w:ind w:firstLine="420" w:firstLineChars="200"/>
        <w:rPr>
          <w:rFonts w:hint="eastAsia" w:ascii="宋体" w:hAnsi="宋体"/>
          <w:sz w:val="21"/>
          <w:szCs w:val="21"/>
        </w:rPr>
      </w:pPr>
      <w:r>
        <w:rPr>
          <w:rFonts w:hint="eastAsia" w:ascii="宋体" w:hAnsi="宋体"/>
          <w:sz w:val="21"/>
          <w:szCs w:val="21"/>
        </w:rPr>
        <w:t>（5）在其持有的基金份额范围内，承担基金亏损或者《基金合同》终止的有限责任；</w:t>
      </w:r>
    </w:p>
    <w:p w14:paraId="75CFB796">
      <w:pPr>
        <w:snapToGrid w:val="0"/>
        <w:spacing w:line="360" w:lineRule="auto"/>
        <w:ind w:firstLine="420" w:firstLineChars="200"/>
        <w:rPr>
          <w:rFonts w:hint="eastAsia" w:ascii="宋体" w:hAnsi="宋体"/>
          <w:sz w:val="21"/>
          <w:szCs w:val="21"/>
        </w:rPr>
      </w:pPr>
    </w:p>
    <w:p w14:paraId="40E11695">
      <w:pPr>
        <w:snapToGrid w:val="0"/>
        <w:spacing w:line="360" w:lineRule="auto"/>
        <w:ind w:firstLine="420" w:firstLineChars="200"/>
        <w:rPr>
          <w:rFonts w:hint="eastAsia" w:ascii="宋体" w:hAnsi="宋体"/>
          <w:sz w:val="21"/>
          <w:szCs w:val="21"/>
        </w:rPr>
      </w:pPr>
      <w:r>
        <w:rPr>
          <w:rFonts w:hint="eastAsia" w:ascii="宋体" w:hAnsi="宋体"/>
          <w:sz w:val="21"/>
          <w:szCs w:val="21"/>
        </w:rPr>
        <w:t>（6）不从事任何有损基金及其他《基金合同》当事人合法权益的活动；</w:t>
      </w:r>
    </w:p>
    <w:p w14:paraId="495B9710">
      <w:pPr>
        <w:snapToGrid w:val="0"/>
        <w:spacing w:line="360" w:lineRule="auto"/>
        <w:ind w:firstLine="420" w:firstLineChars="200"/>
        <w:rPr>
          <w:rFonts w:hint="eastAsia" w:ascii="宋体" w:hAnsi="宋体"/>
          <w:sz w:val="21"/>
          <w:szCs w:val="21"/>
        </w:rPr>
      </w:pPr>
      <w:r>
        <w:rPr>
          <w:rFonts w:hint="eastAsia" w:ascii="宋体" w:hAnsi="宋体"/>
          <w:sz w:val="21"/>
          <w:szCs w:val="21"/>
        </w:rPr>
        <w:t>（7）执行生效的基金份额持有人大会的决议；</w:t>
      </w:r>
    </w:p>
    <w:p w14:paraId="3B9F226F">
      <w:pPr>
        <w:snapToGrid w:val="0"/>
        <w:spacing w:line="360" w:lineRule="auto"/>
        <w:ind w:firstLine="420" w:firstLineChars="200"/>
        <w:rPr>
          <w:rFonts w:hint="eastAsia" w:ascii="宋体" w:hAnsi="宋体"/>
          <w:sz w:val="21"/>
          <w:szCs w:val="21"/>
        </w:rPr>
      </w:pPr>
      <w:r>
        <w:rPr>
          <w:rFonts w:hint="eastAsia" w:ascii="宋体" w:hAnsi="宋体"/>
          <w:sz w:val="21"/>
          <w:szCs w:val="21"/>
        </w:rPr>
        <w:t>（8）返还在基金交易过程中因任何原因获得的不当得利；</w:t>
      </w:r>
    </w:p>
    <w:p w14:paraId="288061EE">
      <w:pPr>
        <w:snapToGrid w:val="0"/>
        <w:spacing w:line="360" w:lineRule="auto"/>
        <w:ind w:firstLine="420" w:firstLineChars="200"/>
        <w:rPr>
          <w:rFonts w:hint="eastAsia" w:ascii="宋体" w:hAnsi="宋体"/>
          <w:sz w:val="21"/>
          <w:szCs w:val="21"/>
        </w:rPr>
      </w:pPr>
      <w:r>
        <w:rPr>
          <w:rFonts w:hint="eastAsia" w:ascii="宋体" w:hAnsi="宋体"/>
          <w:sz w:val="21"/>
          <w:szCs w:val="21"/>
        </w:rPr>
        <w:t>（9）法律法规及中国证监会规定的和《基金合同》约定的其他义务。</w:t>
      </w:r>
    </w:p>
    <w:p w14:paraId="30822618">
      <w:pPr>
        <w:snapToGrid w:val="0"/>
        <w:spacing w:line="360" w:lineRule="auto"/>
        <w:ind w:firstLine="420" w:firstLineChars="200"/>
        <w:rPr>
          <w:rFonts w:ascii="宋体" w:hAnsi="宋体"/>
          <w:sz w:val="21"/>
          <w:szCs w:val="21"/>
        </w:rPr>
      </w:pPr>
      <w:r>
        <w:rPr>
          <w:rFonts w:hint="eastAsia" w:ascii="宋体" w:hAnsi="宋体"/>
          <w:sz w:val="21"/>
          <w:szCs w:val="21"/>
        </w:rPr>
        <w:t>（二）基金管理人的权利与义务</w:t>
      </w:r>
    </w:p>
    <w:p w14:paraId="5FCFA6DD">
      <w:pPr>
        <w:snapToGrid w:val="0"/>
        <w:spacing w:line="360" w:lineRule="auto"/>
        <w:ind w:firstLine="420" w:firstLineChars="200"/>
        <w:rPr>
          <w:rFonts w:hint="eastAsia" w:ascii="宋体" w:hAnsi="宋体"/>
          <w:sz w:val="21"/>
          <w:szCs w:val="21"/>
        </w:rPr>
      </w:pPr>
      <w:r>
        <w:rPr>
          <w:rFonts w:hint="eastAsia" w:ascii="宋体" w:hAnsi="宋体"/>
          <w:sz w:val="21"/>
          <w:szCs w:val="21"/>
        </w:rPr>
        <w:t>1、根据《基金法》、《运作办法》及其他有关规定，基金管理人的权利包括但不限于：</w:t>
      </w:r>
    </w:p>
    <w:p w14:paraId="1E2D5FB0">
      <w:pPr>
        <w:snapToGrid w:val="0"/>
        <w:spacing w:line="360" w:lineRule="auto"/>
        <w:ind w:firstLine="420" w:firstLineChars="200"/>
        <w:rPr>
          <w:rFonts w:hint="eastAsia" w:ascii="宋体" w:hAnsi="宋体"/>
          <w:sz w:val="21"/>
          <w:szCs w:val="21"/>
        </w:rPr>
      </w:pPr>
      <w:r>
        <w:rPr>
          <w:rFonts w:hint="eastAsia" w:ascii="宋体" w:hAnsi="宋体"/>
          <w:sz w:val="21"/>
          <w:szCs w:val="21"/>
        </w:rPr>
        <w:t>（1）依法募集资金；</w:t>
      </w:r>
    </w:p>
    <w:p w14:paraId="63542695">
      <w:pPr>
        <w:snapToGrid w:val="0"/>
        <w:spacing w:line="360" w:lineRule="auto"/>
        <w:ind w:firstLine="420" w:firstLineChars="200"/>
        <w:rPr>
          <w:rFonts w:hint="eastAsia" w:ascii="宋体" w:hAnsi="宋体"/>
          <w:sz w:val="21"/>
          <w:szCs w:val="21"/>
        </w:rPr>
      </w:pPr>
      <w:r>
        <w:rPr>
          <w:rFonts w:hint="eastAsia" w:ascii="宋体" w:hAnsi="宋体"/>
          <w:sz w:val="21"/>
          <w:szCs w:val="21"/>
        </w:rPr>
        <w:t>（2）自《基金合同》生效之日起，根据法律法规和《基金合同》独立运用并管理基金财产；</w:t>
      </w:r>
    </w:p>
    <w:p w14:paraId="230F6682">
      <w:pPr>
        <w:snapToGrid w:val="0"/>
        <w:spacing w:line="360" w:lineRule="auto"/>
        <w:ind w:firstLine="420" w:firstLineChars="200"/>
        <w:rPr>
          <w:rFonts w:hint="eastAsia" w:ascii="宋体" w:hAnsi="宋体"/>
          <w:sz w:val="21"/>
          <w:szCs w:val="21"/>
        </w:rPr>
      </w:pPr>
      <w:r>
        <w:rPr>
          <w:rFonts w:hint="eastAsia" w:ascii="宋体" w:hAnsi="宋体"/>
          <w:sz w:val="21"/>
          <w:szCs w:val="21"/>
        </w:rPr>
        <w:t>（3）依照《基金合同》收取基金管理费以及法律法规规定或中国证监会批准的其他费用；</w:t>
      </w:r>
    </w:p>
    <w:p w14:paraId="082E07AA">
      <w:pPr>
        <w:snapToGrid w:val="0"/>
        <w:spacing w:line="360" w:lineRule="auto"/>
        <w:ind w:firstLine="420" w:firstLineChars="200"/>
        <w:rPr>
          <w:rFonts w:hint="eastAsia" w:ascii="宋体" w:hAnsi="宋体"/>
          <w:sz w:val="21"/>
          <w:szCs w:val="21"/>
        </w:rPr>
      </w:pPr>
      <w:r>
        <w:rPr>
          <w:rFonts w:hint="eastAsia" w:ascii="宋体" w:hAnsi="宋体"/>
          <w:sz w:val="21"/>
          <w:szCs w:val="21"/>
        </w:rPr>
        <w:t>（4）销售基金份额；</w:t>
      </w:r>
    </w:p>
    <w:p w14:paraId="7A898AC5">
      <w:pPr>
        <w:snapToGrid w:val="0"/>
        <w:spacing w:line="360" w:lineRule="auto"/>
        <w:ind w:firstLine="420" w:firstLineChars="200"/>
        <w:rPr>
          <w:rFonts w:hint="eastAsia" w:ascii="宋体" w:hAnsi="宋体"/>
          <w:sz w:val="21"/>
          <w:szCs w:val="21"/>
        </w:rPr>
      </w:pPr>
      <w:r>
        <w:rPr>
          <w:rFonts w:hint="eastAsia" w:ascii="宋体" w:hAnsi="宋体"/>
          <w:sz w:val="21"/>
          <w:szCs w:val="21"/>
        </w:rPr>
        <w:t>（5）按照规定召集基金份额持有人大会；</w:t>
      </w:r>
    </w:p>
    <w:p w14:paraId="6479B6CB">
      <w:pPr>
        <w:snapToGrid w:val="0"/>
        <w:spacing w:line="360" w:lineRule="auto"/>
        <w:ind w:firstLine="420" w:firstLineChars="200"/>
        <w:rPr>
          <w:rFonts w:hint="eastAsia" w:ascii="宋体" w:hAnsi="宋体"/>
          <w:sz w:val="21"/>
          <w:szCs w:val="21"/>
        </w:rPr>
      </w:pPr>
      <w:r>
        <w:rPr>
          <w:rFonts w:hint="eastAsia" w:ascii="宋体" w:hAnsi="宋体"/>
          <w:sz w:val="21"/>
          <w:szCs w:val="21"/>
        </w:rPr>
        <w:t>（6）依据《基金合同》及有关法律规定监督基金托管人，如认为基金托管人违反了《基金合同》及国家有关法律规定，应呈报中国证监会和其他监管部门，并采取必要措施保护基金投资者的利益；</w:t>
      </w:r>
    </w:p>
    <w:p w14:paraId="40AB4D94">
      <w:pPr>
        <w:snapToGrid w:val="0"/>
        <w:spacing w:line="360" w:lineRule="auto"/>
        <w:ind w:firstLine="420" w:firstLineChars="200"/>
        <w:rPr>
          <w:rFonts w:hint="eastAsia" w:ascii="宋体" w:hAnsi="宋体"/>
          <w:sz w:val="21"/>
          <w:szCs w:val="21"/>
        </w:rPr>
      </w:pPr>
      <w:r>
        <w:rPr>
          <w:rFonts w:hint="eastAsia" w:ascii="宋体" w:hAnsi="宋体"/>
          <w:sz w:val="21"/>
          <w:szCs w:val="21"/>
        </w:rPr>
        <w:t>（7）在基金托管人更换时，提名新的基金托管人；</w:t>
      </w:r>
    </w:p>
    <w:p w14:paraId="534E59A3">
      <w:pPr>
        <w:snapToGrid w:val="0"/>
        <w:spacing w:line="360" w:lineRule="auto"/>
        <w:ind w:firstLine="420" w:firstLineChars="200"/>
        <w:rPr>
          <w:rFonts w:hint="eastAsia" w:ascii="宋体" w:hAnsi="宋体"/>
          <w:sz w:val="21"/>
          <w:szCs w:val="21"/>
        </w:rPr>
      </w:pPr>
      <w:r>
        <w:rPr>
          <w:rFonts w:hint="eastAsia" w:ascii="宋体" w:hAnsi="宋体"/>
          <w:sz w:val="21"/>
          <w:szCs w:val="21"/>
        </w:rPr>
        <w:t xml:space="preserve">（8）选择、更换基金销售机构，对基金销售机构的相关行为进行监督和处理； </w:t>
      </w:r>
    </w:p>
    <w:p w14:paraId="567538A7">
      <w:pPr>
        <w:snapToGrid w:val="0"/>
        <w:spacing w:line="360" w:lineRule="auto"/>
        <w:ind w:firstLine="420" w:firstLineChars="200"/>
        <w:rPr>
          <w:rFonts w:hint="eastAsia" w:ascii="宋体" w:hAnsi="宋体"/>
          <w:sz w:val="21"/>
          <w:szCs w:val="21"/>
        </w:rPr>
      </w:pPr>
      <w:r>
        <w:rPr>
          <w:rFonts w:hint="eastAsia" w:ascii="宋体" w:hAnsi="宋体"/>
          <w:sz w:val="21"/>
          <w:szCs w:val="21"/>
        </w:rPr>
        <w:t xml:space="preserve">（9）担任或委托其他符合条件的机构担任基金登记机构办理基金登记业务并获得《基金合同》规定的费用； </w:t>
      </w:r>
    </w:p>
    <w:p w14:paraId="2A314B5D">
      <w:pPr>
        <w:snapToGrid w:val="0"/>
        <w:spacing w:line="360" w:lineRule="auto"/>
        <w:ind w:firstLine="420" w:firstLineChars="200"/>
        <w:rPr>
          <w:rFonts w:hint="eastAsia" w:ascii="宋体" w:hAnsi="宋体"/>
          <w:sz w:val="21"/>
          <w:szCs w:val="21"/>
        </w:rPr>
      </w:pPr>
      <w:r>
        <w:rPr>
          <w:rFonts w:hint="eastAsia" w:ascii="宋体" w:hAnsi="宋体"/>
          <w:sz w:val="21"/>
          <w:szCs w:val="21"/>
        </w:rPr>
        <w:t>（10）依据《基金合同》及有关法律规定决定基金收益的分配方案；</w:t>
      </w:r>
      <w:r>
        <w:rPr>
          <w:rFonts w:hint="eastAsia" w:ascii="宋体" w:hAnsi="宋体"/>
          <w:sz w:val="21"/>
          <w:szCs w:val="21"/>
        </w:rPr>
        <w:tab/>
      </w:r>
    </w:p>
    <w:p w14:paraId="7776221B">
      <w:pPr>
        <w:snapToGrid w:val="0"/>
        <w:spacing w:line="360" w:lineRule="auto"/>
        <w:ind w:firstLine="420" w:firstLineChars="200"/>
        <w:rPr>
          <w:rFonts w:hint="eastAsia" w:ascii="宋体" w:hAnsi="宋体"/>
          <w:sz w:val="21"/>
          <w:szCs w:val="21"/>
        </w:rPr>
      </w:pPr>
      <w:r>
        <w:rPr>
          <w:rFonts w:hint="eastAsia" w:ascii="宋体" w:hAnsi="宋体"/>
          <w:sz w:val="21"/>
          <w:szCs w:val="21"/>
        </w:rPr>
        <w:t xml:space="preserve">（11）在《基金合同》约定的范围内，拒绝或暂停受理申购与赎回申请； </w:t>
      </w:r>
    </w:p>
    <w:p w14:paraId="3F8C3E46">
      <w:pPr>
        <w:snapToGrid w:val="0"/>
        <w:spacing w:line="360" w:lineRule="auto"/>
        <w:ind w:firstLine="420" w:firstLineChars="200"/>
        <w:rPr>
          <w:rFonts w:hint="eastAsia" w:ascii="宋体" w:hAnsi="宋体"/>
          <w:sz w:val="21"/>
          <w:szCs w:val="21"/>
        </w:rPr>
      </w:pPr>
      <w:r>
        <w:rPr>
          <w:rFonts w:hint="eastAsia" w:ascii="宋体" w:hAnsi="宋体"/>
          <w:sz w:val="21"/>
          <w:szCs w:val="21"/>
        </w:rPr>
        <w:t>（12）依照法律法规为基金的利益对被投资公司行使股东权利，为基金的利益行使因基金财产投资于证券所产生的权利；</w:t>
      </w:r>
    </w:p>
    <w:p w14:paraId="375D84EE">
      <w:pPr>
        <w:snapToGrid w:val="0"/>
        <w:spacing w:line="360" w:lineRule="auto"/>
        <w:ind w:firstLine="420" w:firstLineChars="200"/>
        <w:rPr>
          <w:rFonts w:hint="eastAsia" w:ascii="宋体" w:hAnsi="宋体"/>
          <w:sz w:val="21"/>
          <w:szCs w:val="21"/>
        </w:rPr>
      </w:pPr>
      <w:r>
        <w:rPr>
          <w:rFonts w:hint="eastAsia" w:ascii="宋体" w:hAnsi="宋体"/>
          <w:sz w:val="21"/>
          <w:szCs w:val="21"/>
        </w:rPr>
        <w:t>（13）在法律法规允许的前提下，为基金的利益依法为基金进行融资和转融通证券出借业务；</w:t>
      </w:r>
    </w:p>
    <w:p w14:paraId="0B747375">
      <w:pPr>
        <w:snapToGrid w:val="0"/>
        <w:spacing w:line="360" w:lineRule="auto"/>
        <w:ind w:firstLine="420" w:firstLineChars="200"/>
        <w:rPr>
          <w:rFonts w:hint="eastAsia" w:ascii="宋体" w:hAnsi="宋体"/>
          <w:sz w:val="21"/>
          <w:szCs w:val="21"/>
        </w:rPr>
      </w:pPr>
      <w:r>
        <w:rPr>
          <w:rFonts w:hint="eastAsia" w:ascii="宋体" w:hAnsi="宋体"/>
          <w:sz w:val="21"/>
          <w:szCs w:val="21"/>
        </w:rPr>
        <w:t>（14）以基金管理人的名义，代表基金份额持有人的利益行使诉讼权利或者实施其他法律行为；</w:t>
      </w:r>
      <w:r>
        <w:rPr>
          <w:rFonts w:hint="eastAsia" w:ascii="宋体" w:hAnsi="宋体"/>
          <w:sz w:val="21"/>
          <w:szCs w:val="21"/>
        </w:rPr>
        <w:tab/>
      </w:r>
    </w:p>
    <w:p w14:paraId="433B005E">
      <w:pPr>
        <w:snapToGrid w:val="0"/>
        <w:spacing w:line="360" w:lineRule="auto"/>
        <w:ind w:firstLine="420" w:firstLineChars="200"/>
        <w:rPr>
          <w:rFonts w:hint="eastAsia" w:ascii="宋体" w:hAnsi="宋体"/>
          <w:sz w:val="21"/>
          <w:szCs w:val="21"/>
        </w:rPr>
      </w:pPr>
      <w:r>
        <w:rPr>
          <w:rFonts w:hint="eastAsia" w:ascii="宋体" w:hAnsi="宋体"/>
          <w:sz w:val="21"/>
          <w:szCs w:val="21"/>
        </w:rPr>
        <w:t>（15）选择、更换律师事务所、会计师事务所、证券、期货经纪商或其他为基金提供服务的外部机构；</w:t>
      </w:r>
      <w:r>
        <w:rPr>
          <w:rFonts w:hint="eastAsia" w:ascii="宋体" w:hAnsi="宋体"/>
          <w:sz w:val="21"/>
          <w:szCs w:val="21"/>
        </w:rPr>
        <w:tab/>
      </w:r>
    </w:p>
    <w:p w14:paraId="376DF78A">
      <w:pPr>
        <w:snapToGrid w:val="0"/>
        <w:spacing w:line="360" w:lineRule="auto"/>
        <w:ind w:firstLine="420" w:firstLineChars="200"/>
        <w:rPr>
          <w:rFonts w:hint="eastAsia" w:ascii="宋体" w:hAnsi="宋体"/>
          <w:sz w:val="21"/>
          <w:szCs w:val="21"/>
        </w:rPr>
      </w:pPr>
      <w:r>
        <w:rPr>
          <w:rFonts w:hint="eastAsia" w:ascii="宋体" w:hAnsi="宋体"/>
          <w:sz w:val="21"/>
          <w:szCs w:val="21"/>
        </w:rPr>
        <w:t>（16）在符合有关法律、法规、相关证券交易所及登记机构相关业务规则的规定及基金合同的前提下，制订和调整有关基金认购、申购、赎回等业务规则；</w:t>
      </w:r>
    </w:p>
    <w:p w14:paraId="3EBF0962">
      <w:pPr>
        <w:snapToGrid w:val="0"/>
        <w:spacing w:line="360" w:lineRule="auto"/>
        <w:ind w:firstLine="420" w:firstLineChars="200"/>
        <w:rPr>
          <w:rFonts w:hint="eastAsia" w:ascii="宋体" w:hAnsi="宋体"/>
          <w:sz w:val="21"/>
          <w:szCs w:val="21"/>
        </w:rPr>
      </w:pPr>
      <w:r>
        <w:rPr>
          <w:rFonts w:hint="eastAsia" w:ascii="宋体" w:hAnsi="宋体"/>
          <w:sz w:val="21"/>
          <w:szCs w:val="21"/>
        </w:rPr>
        <w:t>（17）法律法规及中国证监会规定的和《基金合同》约定的其他权利。</w:t>
      </w:r>
    </w:p>
    <w:p w14:paraId="1D7192EB">
      <w:pPr>
        <w:snapToGrid w:val="0"/>
        <w:spacing w:line="360" w:lineRule="auto"/>
        <w:ind w:firstLine="420" w:firstLineChars="200"/>
        <w:rPr>
          <w:rFonts w:hint="eastAsia" w:ascii="宋体" w:hAnsi="宋体"/>
          <w:sz w:val="21"/>
          <w:szCs w:val="21"/>
        </w:rPr>
      </w:pPr>
      <w:r>
        <w:rPr>
          <w:rFonts w:hint="eastAsia" w:ascii="宋体" w:hAnsi="宋体"/>
          <w:sz w:val="21"/>
          <w:szCs w:val="21"/>
        </w:rPr>
        <w:t>2、根据《基金法》、《运作办法》及其他有关规定，基金管理人的义务包括但不限于：</w:t>
      </w:r>
    </w:p>
    <w:p w14:paraId="741007EC">
      <w:pPr>
        <w:snapToGrid w:val="0"/>
        <w:spacing w:line="360" w:lineRule="auto"/>
        <w:ind w:firstLine="420" w:firstLineChars="200"/>
        <w:rPr>
          <w:rFonts w:hint="eastAsia" w:ascii="宋体" w:hAnsi="宋体"/>
          <w:sz w:val="21"/>
          <w:szCs w:val="21"/>
        </w:rPr>
      </w:pPr>
      <w:r>
        <w:rPr>
          <w:rFonts w:hint="eastAsia" w:ascii="宋体" w:hAnsi="宋体"/>
          <w:sz w:val="21"/>
          <w:szCs w:val="21"/>
        </w:rPr>
        <w:t>（1）依法募集资金，办理或者委托经中国证监会认定的其他机构代为办理基金份额的发售、申购、赎回和登记事宜；</w:t>
      </w:r>
    </w:p>
    <w:p w14:paraId="3B5F0DC6">
      <w:pPr>
        <w:snapToGrid w:val="0"/>
        <w:spacing w:line="360" w:lineRule="auto"/>
        <w:ind w:firstLine="420" w:firstLineChars="200"/>
        <w:rPr>
          <w:rFonts w:hint="eastAsia" w:ascii="宋体" w:hAnsi="宋体"/>
          <w:sz w:val="21"/>
          <w:szCs w:val="21"/>
        </w:rPr>
      </w:pPr>
      <w:r>
        <w:rPr>
          <w:rFonts w:hint="eastAsia" w:ascii="宋体" w:hAnsi="宋体"/>
          <w:sz w:val="21"/>
          <w:szCs w:val="21"/>
        </w:rPr>
        <w:t>（2）办理基金备案手续；</w:t>
      </w:r>
    </w:p>
    <w:p w14:paraId="0FF2BBBD">
      <w:pPr>
        <w:snapToGrid w:val="0"/>
        <w:spacing w:line="360" w:lineRule="auto"/>
        <w:ind w:firstLine="420" w:firstLineChars="200"/>
        <w:rPr>
          <w:rFonts w:hint="eastAsia" w:ascii="宋体" w:hAnsi="宋体"/>
          <w:sz w:val="21"/>
          <w:szCs w:val="21"/>
        </w:rPr>
      </w:pPr>
      <w:r>
        <w:rPr>
          <w:rFonts w:hint="eastAsia" w:ascii="宋体" w:hAnsi="宋体"/>
          <w:sz w:val="21"/>
          <w:szCs w:val="21"/>
        </w:rPr>
        <w:t>（3）自《基金合同》生效之日起，以诚实信用、谨慎勤勉的原则管理和运用基金财产；</w:t>
      </w:r>
    </w:p>
    <w:p w14:paraId="6769CA29">
      <w:pPr>
        <w:snapToGrid w:val="0"/>
        <w:spacing w:line="360" w:lineRule="auto"/>
        <w:ind w:firstLine="420" w:firstLineChars="200"/>
        <w:rPr>
          <w:rFonts w:hint="eastAsia" w:ascii="宋体" w:hAnsi="宋体"/>
          <w:sz w:val="21"/>
          <w:szCs w:val="21"/>
        </w:rPr>
      </w:pPr>
      <w:r>
        <w:rPr>
          <w:rFonts w:hint="eastAsia" w:ascii="宋体" w:hAnsi="宋体"/>
          <w:sz w:val="21"/>
          <w:szCs w:val="21"/>
        </w:rPr>
        <w:t>（4）配备足够的具有专业资格的人员进行基金投资分析、决策，以专业化的经营方式管理和运作基金财产；</w:t>
      </w:r>
    </w:p>
    <w:p w14:paraId="55B87AA9">
      <w:pPr>
        <w:snapToGrid w:val="0"/>
        <w:spacing w:line="360" w:lineRule="auto"/>
        <w:ind w:firstLine="420" w:firstLineChars="200"/>
        <w:rPr>
          <w:rFonts w:hint="eastAsia" w:ascii="宋体" w:hAnsi="宋体"/>
          <w:sz w:val="21"/>
          <w:szCs w:val="21"/>
        </w:rPr>
      </w:pPr>
      <w:r>
        <w:rPr>
          <w:rFonts w:hint="eastAsia" w:ascii="宋体" w:hAnsi="宋体"/>
          <w:sz w:val="21"/>
          <w:szCs w:val="21"/>
        </w:rPr>
        <w:t>（5）建立健全内部风险控制、监察与稽核、财务管理及人事管理等制度，保证所管理的基金财产和基金管理人的财产相互独立，对所管理的不同基金分别管理，分别记账，进行证券投资；</w:t>
      </w:r>
    </w:p>
    <w:p w14:paraId="646126B6">
      <w:pPr>
        <w:snapToGrid w:val="0"/>
        <w:spacing w:line="360" w:lineRule="auto"/>
        <w:ind w:firstLine="420" w:firstLineChars="200"/>
        <w:rPr>
          <w:rFonts w:hint="eastAsia" w:ascii="宋体" w:hAnsi="宋体"/>
          <w:sz w:val="21"/>
          <w:szCs w:val="21"/>
        </w:rPr>
      </w:pPr>
      <w:r>
        <w:rPr>
          <w:rFonts w:hint="eastAsia" w:ascii="宋体" w:hAnsi="宋体"/>
          <w:sz w:val="21"/>
          <w:szCs w:val="21"/>
        </w:rPr>
        <w:t>（6）除依据《基金法》、《基金合同》及其他有关规定外，不得利用基金财产为自己及任何第三人谋取利益，不得委托第三人运作基金财产；</w:t>
      </w:r>
    </w:p>
    <w:p w14:paraId="03DF32CB">
      <w:pPr>
        <w:snapToGrid w:val="0"/>
        <w:spacing w:line="360" w:lineRule="auto"/>
        <w:ind w:firstLine="420" w:firstLineChars="200"/>
        <w:rPr>
          <w:rFonts w:hint="eastAsia" w:ascii="宋体" w:hAnsi="宋体"/>
          <w:sz w:val="21"/>
          <w:szCs w:val="21"/>
        </w:rPr>
      </w:pPr>
      <w:r>
        <w:rPr>
          <w:rFonts w:hint="eastAsia" w:ascii="宋体" w:hAnsi="宋体"/>
          <w:sz w:val="21"/>
          <w:szCs w:val="21"/>
        </w:rPr>
        <w:t>（7）依法接受基金托管人的监督；</w:t>
      </w:r>
    </w:p>
    <w:p w14:paraId="0AD81CEC">
      <w:pPr>
        <w:snapToGrid w:val="0"/>
        <w:spacing w:line="360" w:lineRule="auto"/>
        <w:ind w:firstLine="420" w:firstLineChars="200"/>
        <w:rPr>
          <w:rFonts w:hint="eastAsia" w:ascii="宋体" w:hAnsi="宋体"/>
          <w:sz w:val="21"/>
          <w:szCs w:val="21"/>
        </w:rPr>
      </w:pPr>
      <w:r>
        <w:rPr>
          <w:rFonts w:hint="eastAsia" w:ascii="宋体" w:hAnsi="宋体"/>
          <w:sz w:val="21"/>
          <w:szCs w:val="21"/>
        </w:rPr>
        <w:t>（8）采取适当合理的措施使计算基金份额认购价格、申购对价、赎回对价的方法符合《基金合同》等法律文件的规定，按有关规定计算并公告基金净值信息，确定基金份额申购、赎回对价，编制申购赎回清单；</w:t>
      </w:r>
    </w:p>
    <w:p w14:paraId="36BC389B">
      <w:pPr>
        <w:snapToGrid w:val="0"/>
        <w:spacing w:line="360" w:lineRule="auto"/>
        <w:ind w:firstLine="420" w:firstLineChars="200"/>
        <w:rPr>
          <w:rFonts w:hint="eastAsia" w:ascii="宋体" w:hAnsi="宋体"/>
          <w:sz w:val="21"/>
          <w:szCs w:val="21"/>
        </w:rPr>
      </w:pPr>
      <w:r>
        <w:rPr>
          <w:rFonts w:hint="eastAsia" w:ascii="宋体" w:hAnsi="宋体"/>
          <w:sz w:val="21"/>
          <w:szCs w:val="21"/>
        </w:rPr>
        <w:t>（9）进行基金会计核算并编制基金财务会计报告；</w:t>
      </w:r>
    </w:p>
    <w:p w14:paraId="6EA9A782">
      <w:pPr>
        <w:snapToGrid w:val="0"/>
        <w:spacing w:line="360" w:lineRule="auto"/>
        <w:ind w:firstLine="420" w:firstLineChars="200"/>
        <w:rPr>
          <w:rFonts w:hint="eastAsia" w:ascii="宋体" w:hAnsi="宋体"/>
          <w:sz w:val="21"/>
          <w:szCs w:val="21"/>
        </w:rPr>
      </w:pPr>
      <w:r>
        <w:rPr>
          <w:rFonts w:hint="eastAsia" w:ascii="宋体" w:hAnsi="宋体"/>
          <w:sz w:val="21"/>
          <w:szCs w:val="21"/>
        </w:rPr>
        <w:t>（10）编制季度报告、中期报告和年度报告；</w:t>
      </w:r>
    </w:p>
    <w:p w14:paraId="6234F92A">
      <w:pPr>
        <w:snapToGrid w:val="0"/>
        <w:spacing w:line="360" w:lineRule="auto"/>
        <w:ind w:firstLine="420" w:firstLineChars="200"/>
        <w:rPr>
          <w:rFonts w:hint="eastAsia" w:ascii="宋体" w:hAnsi="宋体"/>
          <w:sz w:val="21"/>
          <w:szCs w:val="21"/>
        </w:rPr>
      </w:pPr>
      <w:r>
        <w:rPr>
          <w:rFonts w:hint="eastAsia" w:ascii="宋体" w:hAnsi="宋体"/>
          <w:sz w:val="21"/>
          <w:szCs w:val="21"/>
        </w:rPr>
        <w:t>（11）严格按照《基金法》、《基金合同》及其他有关规定，履行信息披露及报告义务；</w:t>
      </w:r>
    </w:p>
    <w:p w14:paraId="3B07A454">
      <w:pPr>
        <w:snapToGrid w:val="0"/>
        <w:spacing w:line="360" w:lineRule="auto"/>
        <w:ind w:firstLine="420" w:firstLineChars="200"/>
        <w:rPr>
          <w:rFonts w:hint="eastAsia" w:ascii="宋体" w:hAnsi="宋体"/>
          <w:sz w:val="21"/>
          <w:szCs w:val="21"/>
        </w:rPr>
      </w:pPr>
      <w:r>
        <w:rPr>
          <w:rFonts w:hint="eastAsia" w:ascii="宋体" w:hAnsi="宋体"/>
          <w:sz w:val="21"/>
          <w:szCs w:val="21"/>
        </w:rPr>
        <w:t>（12）保守基金商业秘密，不泄露基金投资计划、投资意向等。除《基金法》、《基金合同》及其他有关规定另有规定外，在基金信息公开披露前应予保密，不向他人泄露，向审计、法律等外部专业顾问提供的情况除外；</w:t>
      </w:r>
    </w:p>
    <w:p w14:paraId="49E24122">
      <w:pPr>
        <w:snapToGrid w:val="0"/>
        <w:spacing w:line="360" w:lineRule="auto"/>
        <w:ind w:firstLine="420" w:firstLineChars="200"/>
        <w:rPr>
          <w:rFonts w:hint="eastAsia" w:ascii="宋体" w:hAnsi="宋体"/>
          <w:sz w:val="21"/>
          <w:szCs w:val="21"/>
        </w:rPr>
      </w:pPr>
      <w:r>
        <w:rPr>
          <w:rFonts w:hint="eastAsia" w:ascii="宋体" w:hAnsi="宋体"/>
          <w:sz w:val="21"/>
          <w:szCs w:val="21"/>
        </w:rPr>
        <w:t>（13）按《基金合同》的约定确定基金收益分配方案，及时向基金份额持有人分配基金收益；</w:t>
      </w:r>
    </w:p>
    <w:p w14:paraId="11C48085">
      <w:pPr>
        <w:snapToGrid w:val="0"/>
        <w:spacing w:line="360" w:lineRule="auto"/>
        <w:ind w:firstLine="420" w:firstLineChars="200"/>
        <w:rPr>
          <w:rFonts w:hint="eastAsia" w:ascii="宋体" w:hAnsi="宋体"/>
          <w:sz w:val="21"/>
          <w:szCs w:val="21"/>
        </w:rPr>
      </w:pPr>
      <w:r>
        <w:rPr>
          <w:rFonts w:hint="eastAsia" w:ascii="宋体" w:hAnsi="宋体"/>
          <w:sz w:val="21"/>
          <w:szCs w:val="21"/>
        </w:rPr>
        <w:t>（14）按规定受理申购与赎回申请，及时、足额支付赎回对价；</w:t>
      </w:r>
    </w:p>
    <w:p w14:paraId="20136D9B">
      <w:pPr>
        <w:snapToGrid w:val="0"/>
        <w:spacing w:line="360" w:lineRule="auto"/>
        <w:ind w:firstLine="420" w:firstLineChars="200"/>
        <w:rPr>
          <w:rFonts w:hint="eastAsia" w:ascii="宋体" w:hAnsi="宋体"/>
          <w:sz w:val="21"/>
          <w:szCs w:val="21"/>
        </w:rPr>
      </w:pPr>
      <w:r>
        <w:rPr>
          <w:rFonts w:hint="eastAsia" w:ascii="宋体" w:hAnsi="宋体"/>
          <w:sz w:val="21"/>
          <w:szCs w:val="21"/>
        </w:rPr>
        <w:t>（15）依据《基金法》、《基金合同》及其他有关规定召集基金份额持有人大会或配合基金托管人、基金份额持有人依法召集基金份额持有人大会；</w:t>
      </w:r>
    </w:p>
    <w:p w14:paraId="741454D7">
      <w:pPr>
        <w:snapToGrid w:val="0"/>
        <w:spacing w:line="360" w:lineRule="auto"/>
        <w:ind w:firstLine="420" w:firstLineChars="200"/>
        <w:rPr>
          <w:rFonts w:hint="eastAsia" w:ascii="宋体" w:hAnsi="宋体"/>
          <w:sz w:val="21"/>
          <w:szCs w:val="21"/>
        </w:rPr>
      </w:pPr>
      <w:r>
        <w:rPr>
          <w:rFonts w:hint="eastAsia" w:ascii="宋体" w:hAnsi="宋体"/>
          <w:sz w:val="21"/>
          <w:szCs w:val="21"/>
        </w:rPr>
        <w:t>（16）按规定保存基金财产管理业务活动的会计账册、报表、记录和其他相关资料，保存期限不低于法定最低期限；</w:t>
      </w:r>
    </w:p>
    <w:p w14:paraId="3303A516">
      <w:pPr>
        <w:snapToGrid w:val="0"/>
        <w:spacing w:line="360" w:lineRule="auto"/>
        <w:ind w:firstLine="420" w:firstLineChars="200"/>
        <w:rPr>
          <w:rFonts w:hint="eastAsia" w:ascii="宋体" w:hAnsi="宋体"/>
          <w:sz w:val="21"/>
          <w:szCs w:val="21"/>
        </w:rPr>
      </w:pPr>
      <w:r>
        <w:rPr>
          <w:rFonts w:hint="eastAsia" w:ascii="宋体" w:hAnsi="宋体"/>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D104198">
      <w:pPr>
        <w:snapToGrid w:val="0"/>
        <w:spacing w:line="360" w:lineRule="auto"/>
        <w:ind w:firstLine="420" w:firstLineChars="200"/>
        <w:rPr>
          <w:rFonts w:hint="eastAsia" w:ascii="宋体" w:hAnsi="宋体"/>
          <w:sz w:val="21"/>
          <w:szCs w:val="21"/>
        </w:rPr>
      </w:pPr>
      <w:r>
        <w:rPr>
          <w:rFonts w:hint="eastAsia" w:ascii="宋体" w:hAnsi="宋体"/>
          <w:sz w:val="21"/>
          <w:szCs w:val="21"/>
        </w:rPr>
        <w:t>（18）组织并参加基金财产清算小组，参与基金财产的保管、清理、估价、变现和分配；</w:t>
      </w:r>
    </w:p>
    <w:p w14:paraId="1BBC6FF5">
      <w:pPr>
        <w:snapToGrid w:val="0"/>
        <w:spacing w:line="360" w:lineRule="auto"/>
        <w:ind w:firstLine="420" w:firstLineChars="200"/>
        <w:rPr>
          <w:rFonts w:hint="eastAsia" w:ascii="宋体" w:hAnsi="宋体"/>
          <w:sz w:val="21"/>
          <w:szCs w:val="21"/>
        </w:rPr>
      </w:pPr>
      <w:r>
        <w:rPr>
          <w:rFonts w:hint="eastAsia" w:ascii="宋体" w:hAnsi="宋体"/>
          <w:sz w:val="21"/>
          <w:szCs w:val="21"/>
        </w:rPr>
        <w:t>（19）面临解散、依法被撤销或者被依法宣告破产时，及时报告中国证监会，并通知基金托管人；</w:t>
      </w:r>
    </w:p>
    <w:p w14:paraId="60DCA64D">
      <w:pPr>
        <w:snapToGrid w:val="0"/>
        <w:spacing w:line="360" w:lineRule="auto"/>
        <w:ind w:firstLine="420" w:firstLineChars="200"/>
        <w:rPr>
          <w:rFonts w:hint="eastAsia" w:ascii="宋体" w:hAnsi="宋体"/>
          <w:sz w:val="21"/>
          <w:szCs w:val="21"/>
        </w:rPr>
      </w:pPr>
      <w:r>
        <w:rPr>
          <w:rFonts w:hint="eastAsia" w:ascii="宋体" w:hAnsi="宋体"/>
          <w:sz w:val="21"/>
          <w:szCs w:val="21"/>
        </w:rPr>
        <w:t>（20）因违反《基金合同》导致基金财产的损失或损害基金份额持有人合法权益时，应当承担赔偿责任，其赔偿责任不因其退任而免除；</w:t>
      </w:r>
    </w:p>
    <w:p w14:paraId="5B280F4E">
      <w:pPr>
        <w:snapToGrid w:val="0"/>
        <w:spacing w:line="360" w:lineRule="auto"/>
        <w:ind w:firstLine="420" w:firstLineChars="200"/>
        <w:rPr>
          <w:rFonts w:hint="eastAsia" w:ascii="宋体" w:hAnsi="宋体"/>
          <w:sz w:val="21"/>
          <w:szCs w:val="21"/>
        </w:rPr>
      </w:pPr>
      <w:r>
        <w:rPr>
          <w:rFonts w:hint="eastAsia" w:ascii="宋体" w:hAnsi="宋体"/>
          <w:sz w:val="21"/>
          <w:szCs w:val="21"/>
        </w:rPr>
        <w:t>（21）监督基金托管人按法律法规和《基金合同》规定履行自己的义务，基金托管人违反《基金合同》造成基金财产损失时，基金管理人应为基金份额持有人利益向基金托管人追偿；</w:t>
      </w:r>
    </w:p>
    <w:p w14:paraId="5CD9D38D">
      <w:pPr>
        <w:snapToGrid w:val="0"/>
        <w:spacing w:line="360" w:lineRule="auto"/>
        <w:ind w:firstLine="420" w:firstLineChars="200"/>
        <w:rPr>
          <w:rFonts w:hint="eastAsia" w:ascii="宋体" w:hAnsi="宋体"/>
          <w:sz w:val="21"/>
          <w:szCs w:val="21"/>
        </w:rPr>
      </w:pPr>
      <w:r>
        <w:rPr>
          <w:rFonts w:hint="eastAsia" w:ascii="宋体" w:hAnsi="宋体"/>
          <w:sz w:val="21"/>
          <w:szCs w:val="21"/>
        </w:rPr>
        <w:t>（22）当基金管理人将其义务委托第三方处理时，应当对第三方处理有关基金事务的行为承担责任；</w:t>
      </w:r>
    </w:p>
    <w:p w14:paraId="7B3D5E88">
      <w:pPr>
        <w:snapToGrid w:val="0"/>
        <w:spacing w:line="360" w:lineRule="auto"/>
        <w:ind w:firstLine="420" w:firstLineChars="200"/>
        <w:rPr>
          <w:rFonts w:hint="eastAsia" w:ascii="宋体" w:hAnsi="宋体"/>
          <w:sz w:val="21"/>
          <w:szCs w:val="21"/>
        </w:rPr>
      </w:pPr>
      <w:r>
        <w:rPr>
          <w:rFonts w:hint="eastAsia" w:ascii="宋体" w:hAnsi="宋体"/>
          <w:sz w:val="21"/>
          <w:szCs w:val="21"/>
        </w:rPr>
        <w:t>（23）以基金管理人名义，代表基金份额持有人利益行使诉讼权利或实施其他法律行为；</w:t>
      </w:r>
    </w:p>
    <w:p w14:paraId="2200CB23">
      <w:pPr>
        <w:snapToGrid w:val="0"/>
        <w:spacing w:line="360" w:lineRule="auto"/>
        <w:ind w:firstLine="420" w:firstLineChars="200"/>
        <w:rPr>
          <w:rFonts w:hint="eastAsia" w:ascii="宋体" w:hAnsi="宋体"/>
          <w:sz w:val="21"/>
          <w:szCs w:val="21"/>
        </w:rPr>
      </w:pPr>
      <w:r>
        <w:rPr>
          <w:rFonts w:hint="eastAsia" w:ascii="宋体" w:hAnsi="宋体"/>
          <w:sz w:val="21"/>
          <w:szCs w:val="21"/>
        </w:rPr>
        <w:t>（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w:t>
      </w:r>
    </w:p>
    <w:p w14:paraId="703303DD">
      <w:pPr>
        <w:snapToGrid w:val="0"/>
        <w:spacing w:line="360" w:lineRule="auto"/>
        <w:ind w:firstLine="420" w:firstLineChars="200"/>
        <w:rPr>
          <w:rFonts w:hint="eastAsia" w:ascii="宋体" w:hAnsi="宋体"/>
          <w:sz w:val="21"/>
          <w:szCs w:val="21"/>
        </w:rPr>
      </w:pPr>
      <w:r>
        <w:rPr>
          <w:rFonts w:hint="eastAsia" w:ascii="宋体" w:hAnsi="宋体"/>
          <w:sz w:val="21"/>
          <w:szCs w:val="21"/>
        </w:rPr>
        <w:t>（25）执行生效的基金份额持有人大会的决议；</w:t>
      </w:r>
    </w:p>
    <w:p w14:paraId="223760D5">
      <w:pPr>
        <w:snapToGrid w:val="0"/>
        <w:spacing w:line="360" w:lineRule="auto"/>
        <w:ind w:firstLine="420" w:firstLineChars="200"/>
        <w:rPr>
          <w:rFonts w:hint="eastAsia" w:ascii="宋体" w:hAnsi="宋体"/>
          <w:sz w:val="21"/>
          <w:szCs w:val="21"/>
        </w:rPr>
      </w:pPr>
      <w:r>
        <w:rPr>
          <w:rFonts w:hint="eastAsia" w:ascii="宋体" w:hAnsi="宋体"/>
          <w:sz w:val="21"/>
          <w:szCs w:val="21"/>
        </w:rPr>
        <w:t>（26）建立并保存基金份额持有人名册；</w:t>
      </w:r>
    </w:p>
    <w:p w14:paraId="567A62FB">
      <w:pPr>
        <w:snapToGrid w:val="0"/>
        <w:spacing w:line="360" w:lineRule="auto"/>
        <w:ind w:firstLine="420" w:firstLineChars="200"/>
        <w:rPr>
          <w:rFonts w:hint="eastAsia" w:ascii="宋体" w:hAnsi="宋体"/>
          <w:sz w:val="21"/>
          <w:szCs w:val="21"/>
        </w:rPr>
      </w:pPr>
      <w:r>
        <w:rPr>
          <w:rFonts w:hint="eastAsia" w:ascii="宋体" w:hAnsi="宋体"/>
          <w:sz w:val="21"/>
          <w:szCs w:val="21"/>
        </w:rPr>
        <w:t>（27）法律法规及中国证监会规定的和《基金合同》约定的其他义务。</w:t>
      </w:r>
    </w:p>
    <w:p w14:paraId="3BE5EE83">
      <w:pPr>
        <w:snapToGrid w:val="0"/>
        <w:spacing w:line="360" w:lineRule="auto"/>
        <w:ind w:firstLine="420" w:firstLineChars="200"/>
        <w:rPr>
          <w:rFonts w:ascii="宋体" w:hAnsi="宋体"/>
          <w:sz w:val="21"/>
          <w:szCs w:val="21"/>
        </w:rPr>
      </w:pPr>
      <w:r>
        <w:rPr>
          <w:rFonts w:ascii="宋体" w:hAnsi="宋体"/>
          <w:sz w:val="21"/>
          <w:szCs w:val="21"/>
        </w:rPr>
        <w:t>（</w:t>
      </w:r>
      <w:r>
        <w:rPr>
          <w:rFonts w:hint="eastAsia" w:ascii="宋体" w:hAnsi="宋体"/>
          <w:sz w:val="21"/>
          <w:szCs w:val="21"/>
        </w:rPr>
        <w:t>三</w:t>
      </w:r>
      <w:r>
        <w:rPr>
          <w:rFonts w:ascii="宋体" w:hAnsi="宋体"/>
          <w:sz w:val="21"/>
          <w:szCs w:val="21"/>
        </w:rPr>
        <w:t>）</w:t>
      </w:r>
      <w:r>
        <w:rPr>
          <w:rFonts w:ascii="宋体" w:hAnsi="宋体"/>
          <w:sz w:val="21"/>
          <w:szCs w:val="21"/>
        </w:rPr>
        <w:tab/>
      </w:r>
      <w:r>
        <w:rPr>
          <w:rFonts w:ascii="宋体" w:hAnsi="宋体"/>
          <w:sz w:val="21"/>
          <w:szCs w:val="21"/>
        </w:rPr>
        <w:t>基金托管人的权利与义务</w:t>
      </w:r>
    </w:p>
    <w:p w14:paraId="5787535D">
      <w:pPr>
        <w:snapToGrid w:val="0"/>
        <w:spacing w:line="360" w:lineRule="auto"/>
        <w:ind w:firstLine="420" w:firstLineChars="200"/>
        <w:rPr>
          <w:rFonts w:hint="eastAsia" w:ascii="宋体" w:hAnsi="宋体"/>
          <w:sz w:val="21"/>
          <w:szCs w:val="21"/>
        </w:rPr>
      </w:pPr>
      <w:r>
        <w:rPr>
          <w:rFonts w:hint="eastAsia" w:ascii="宋体" w:hAnsi="宋体"/>
          <w:sz w:val="21"/>
          <w:szCs w:val="21"/>
        </w:rPr>
        <w:t>1、根据《基金法》、《运作办法》及其他有关规定，基金托管人的权利包括但不限于：</w:t>
      </w:r>
    </w:p>
    <w:p w14:paraId="1B38E994">
      <w:pPr>
        <w:snapToGrid w:val="0"/>
        <w:spacing w:line="360" w:lineRule="auto"/>
        <w:ind w:firstLine="420" w:firstLineChars="200"/>
        <w:rPr>
          <w:rFonts w:hint="eastAsia" w:ascii="宋体" w:hAnsi="宋体"/>
          <w:sz w:val="21"/>
          <w:szCs w:val="21"/>
        </w:rPr>
      </w:pPr>
      <w:r>
        <w:rPr>
          <w:rFonts w:hint="eastAsia" w:ascii="宋体" w:hAnsi="宋体"/>
          <w:sz w:val="21"/>
          <w:szCs w:val="21"/>
        </w:rPr>
        <w:t>（1）自《基金合同》生效之日起，依法律法规和《基金合同》的规定安全保管基金财产；</w:t>
      </w:r>
    </w:p>
    <w:p w14:paraId="472B9085">
      <w:pPr>
        <w:snapToGrid w:val="0"/>
        <w:spacing w:line="360" w:lineRule="auto"/>
        <w:ind w:firstLine="420" w:firstLineChars="200"/>
        <w:rPr>
          <w:rFonts w:hint="eastAsia" w:ascii="宋体" w:hAnsi="宋体"/>
          <w:sz w:val="21"/>
          <w:szCs w:val="21"/>
        </w:rPr>
      </w:pPr>
      <w:r>
        <w:rPr>
          <w:rFonts w:hint="eastAsia" w:ascii="宋体" w:hAnsi="宋体"/>
          <w:sz w:val="21"/>
          <w:szCs w:val="21"/>
        </w:rPr>
        <w:t>（2）依《基金合同》约定获得基金托管费以及法律法规规定或监管部门批准的其他费用；</w:t>
      </w:r>
    </w:p>
    <w:p w14:paraId="68EDA3F8">
      <w:pPr>
        <w:snapToGrid w:val="0"/>
        <w:spacing w:line="360" w:lineRule="auto"/>
        <w:ind w:firstLine="420" w:firstLineChars="200"/>
        <w:rPr>
          <w:rFonts w:hint="eastAsia" w:ascii="宋体" w:hAnsi="宋体"/>
          <w:sz w:val="21"/>
          <w:szCs w:val="21"/>
        </w:rPr>
      </w:pPr>
      <w:r>
        <w:rPr>
          <w:rFonts w:hint="eastAsia" w:ascii="宋体" w:hAnsi="宋体"/>
          <w:sz w:val="21"/>
          <w:szCs w:val="21"/>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E26C135">
      <w:pPr>
        <w:snapToGrid w:val="0"/>
        <w:spacing w:line="360" w:lineRule="auto"/>
        <w:ind w:firstLine="420" w:firstLineChars="200"/>
        <w:rPr>
          <w:rFonts w:hint="eastAsia" w:ascii="宋体" w:hAnsi="宋体"/>
          <w:sz w:val="21"/>
          <w:szCs w:val="21"/>
        </w:rPr>
      </w:pPr>
      <w:r>
        <w:rPr>
          <w:rFonts w:hint="eastAsia" w:ascii="宋体" w:hAnsi="宋体"/>
          <w:sz w:val="21"/>
          <w:szCs w:val="21"/>
        </w:rPr>
        <w:t>（4）根据相关市场规则，为基金开设资金账户、证券账户等投资所需账户，为基金办理证券、期货交易资金清算；</w:t>
      </w:r>
    </w:p>
    <w:p w14:paraId="45B3DF1E">
      <w:pPr>
        <w:snapToGrid w:val="0"/>
        <w:spacing w:line="360" w:lineRule="auto"/>
        <w:ind w:firstLine="420" w:firstLineChars="200"/>
        <w:rPr>
          <w:rFonts w:hint="eastAsia" w:ascii="宋体" w:hAnsi="宋体"/>
          <w:sz w:val="21"/>
          <w:szCs w:val="21"/>
        </w:rPr>
      </w:pPr>
      <w:r>
        <w:rPr>
          <w:rFonts w:hint="eastAsia" w:ascii="宋体" w:hAnsi="宋体"/>
          <w:sz w:val="21"/>
          <w:szCs w:val="21"/>
        </w:rPr>
        <w:t>（5）提议召开或召集基金份额持有人大会；</w:t>
      </w:r>
    </w:p>
    <w:p w14:paraId="67EF3998">
      <w:pPr>
        <w:snapToGrid w:val="0"/>
        <w:spacing w:line="360" w:lineRule="auto"/>
        <w:ind w:firstLine="420" w:firstLineChars="200"/>
        <w:rPr>
          <w:rFonts w:hint="eastAsia" w:ascii="宋体" w:hAnsi="宋体"/>
          <w:sz w:val="21"/>
          <w:szCs w:val="21"/>
        </w:rPr>
      </w:pPr>
      <w:r>
        <w:rPr>
          <w:rFonts w:hint="eastAsia" w:ascii="宋体" w:hAnsi="宋体"/>
          <w:sz w:val="21"/>
          <w:szCs w:val="21"/>
        </w:rPr>
        <w:t>（6）在基金管理人更换时，提名新的基金管理人；</w:t>
      </w:r>
    </w:p>
    <w:p w14:paraId="421FA57C">
      <w:pPr>
        <w:snapToGrid w:val="0"/>
        <w:spacing w:line="360" w:lineRule="auto"/>
        <w:ind w:firstLine="420" w:firstLineChars="200"/>
        <w:rPr>
          <w:rFonts w:hint="eastAsia" w:ascii="宋体" w:hAnsi="宋体"/>
          <w:sz w:val="21"/>
          <w:szCs w:val="21"/>
        </w:rPr>
      </w:pPr>
      <w:r>
        <w:rPr>
          <w:rFonts w:hint="eastAsia" w:ascii="宋体" w:hAnsi="宋体"/>
          <w:sz w:val="21"/>
          <w:szCs w:val="21"/>
        </w:rPr>
        <w:t>（7）法律法规及中国证监会规定的和《基金合同》约定的其他权利。</w:t>
      </w:r>
    </w:p>
    <w:p w14:paraId="3094303F">
      <w:pPr>
        <w:snapToGrid w:val="0"/>
        <w:spacing w:line="360" w:lineRule="auto"/>
        <w:ind w:firstLine="420" w:firstLineChars="200"/>
        <w:rPr>
          <w:rFonts w:hint="eastAsia" w:ascii="宋体" w:hAnsi="宋体"/>
          <w:sz w:val="21"/>
          <w:szCs w:val="21"/>
        </w:rPr>
      </w:pPr>
      <w:r>
        <w:rPr>
          <w:rFonts w:hint="eastAsia" w:ascii="宋体" w:hAnsi="宋体"/>
          <w:sz w:val="21"/>
          <w:szCs w:val="21"/>
        </w:rPr>
        <w:t>2、根据《基金法》、《运作办法》及其他有关规定，基金托管人的义务包括但不限于：</w:t>
      </w:r>
    </w:p>
    <w:p w14:paraId="170A5B05">
      <w:pPr>
        <w:snapToGrid w:val="0"/>
        <w:spacing w:line="360" w:lineRule="auto"/>
        <w:ind w:firstLine="420" w:firstLineChars="200"/>
        <w:rPr>
          <w:rFonts w:hint="eastAsia" w:ascii="宋体" w:hAnsi="宋体"/>
          <w:sz w:val="21"/>
          <w:szCs w:val="21"/>
        </w:rPr>
      </w:pPr>
      <w:r>
        <w:rPr>
          <w:rFonts w:hint="eastAsia" w:ascii="宋体" w:hAnsi="宋体"/>
          <w:sz w:val="21"/>
          <w:szCs w:val="21"/>
        </w:rPr>
        <w:t>（1）以诚实信用、勤勉尽责的原则持有并安全保管基金财产；</w:t>
      </w:r>
    </w:p>
    <w:p w14:paraId="360610C4">
      <w:pPr>
        <w:snapToGrid w:val="0"/>
        <w:spacing w:line="360" w:lineRule="auto"/>
        <w:ind w:firstLine="420" w:firstLineChars="200"/>
        <w:rPr>
          <w:rFonts w:hint="eastAsia" w:ascii="宋体" w:hAnsi="宋体"/>
          <w:sz w:val="21"/>
          <w:szCs w:val="21"/>
        </w:rPr>
      </w:pPr>
      <w:r>
        <w:rPr>
          <w:rFonts w:hint="eastAsia" w:ascii="宋体" w:hAnsi="宋体"/>
          <w:sz w:val="21"/>
          <w:szCs w:val="21"/>
        </w:rPr>
        <w:t>（2）设立专门的基金托管部门，具有符合要求的营业场所，配备足够的、合格的熟悉基金托管业务的专职人员，负责基金财产托管事宜；</w:t>
      </w:r>
    </w:p>
    <w:p w14:paraId="6FCB1242">
      <w:pPr>
        <w:snapToGrid w:val="0"/>
        <w:spacing w:line="360" w:lineRule="auto"/>
        <w:ind w:firstLine="420" w:firstLineChars="200"/>
        <w:rPr>
          <w:rFonts w:hint="eastAsia" w:ascii="宋体" w:hAnsi="宋体"/>
          <w:sz w:val="21"/>
          <w:szCs w:val="21"/>
        </w:rPr>
      </w:pPr>
      <w:r>
        <w:rPr>
          <w:rFonts w:hint="eastAsia" w:ascii="宋体" w:hAnsi="宋体"/>
          <w:sz w:val="21"/>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5757EF6">
      <w:pPr>
        <w:snapToGrid w:val="0"/>
        <w:spacing w:line="360" w:lineRule="auto"/>
        <w:ind w:firstLine="420" w:firstLineChars="200"/>
        <w:rPr>
          <w:rFonts w:hint="eastAsia" w:ascii="宋体" w:hAnsi="宋体"/>
          <w:sz w:val="21"/>
          <w:szCs w:val="21"/>
        </w:rPr>
      </w:pPr>
      <w:r>
        <w:rPr>
          <w:rFonts w:hint="eastAsia" w:ascii="宋体" w:hAnsi="宋体"/>
          <w:sz w:val="21"/>
          <w:szCs w:val="21"/>
        </w:rPr>
        <w:t>（4）除依据《基金法》、《基金合同》及其他有关规定外，不得利用基金财产为自己及任何第三人谋取利益，不得委托第三人托管基金财产；</w:t>
      </w:r>
    </w:p>
    <w:p w14:paraId="5E67C9C4">
      <w:pPr>
        <w:snapToGrid w:val="0"/>
        <w:spacing w:line="360" w:lineRule="auto"/>
        <w:ind w:firstLine="420" w:firstLineChars="200"/>
        <w:rPr>
          <w:rFonts w:hint="eastAsia" w:ascii="宋体" w:hAnsi="宋体"/>
          <w:sz w:val="21"/>
          <w:szCs w:val="21"/>
        </w:rPr>
      </w:pPr>
      <w:r>
        <w:rPr>
          <w:rFonts w:hint="eastAsia" w:ascii="宋体" w:hAnsi="宋体"/>
          <w:sz w:val="21"/>
          <w:szCs w:val="21"/>
        </w:rPr>
        <w:t>（5）保管由基金管理人代表基金签订的与基金有关的重大合同及有关凭证；</w:t>
      </w:r>
    </w:p>
    <w:p w14:paraId="64DAE876">
      <w:pPr>
        <w:snapToGrid w:val="0"/>
        <w:spacing w:line="360" w:lineRule="auto"/>
        <w:ind w:firstLine="420" w:firstLineChars="200"/>
        <w:rPr>
          <w:rFonts w:hint="eastAsia" w:ascii="宋体" w:hAnsi="宋体"/>
          <w:sz w:val="21"/>
          <w:szCs w:val="21"/>
        </w:rPr>
      </w:pPr>
      <w:r>
        <w:rPr>
          <w:rFonts w:hint="eastAsia" w:ascii="宋体" w:hAnsi="宋体"/>
          <w:sz w:val="21"/>
          <w:szCs w:val="21"/>
        </w:rPr>
        <w:t>（6）按规定开设基金财产的资金账户、证券账户等投资所需账户，按照《基金合同》的约定，根据基金管理人的投资指令，及时办理清算、交割事宜；</w:t>
      </w:r>
    </w:p>
    <w:p w14:paraId="22E672C1">
      <w:pPr>
        <w:snapToGrid w:val="0"/>
        <w:spacing w:line="360" w:lineRule="auto"/>
        <w:ind w:firstLine="420" w:firstLineChars="200"/>
        <w:rPr>
          <w:rFonts w:hint="eastAsia" w:ascii="宋体" w:hAnsi="宋体"/>
          <w:sz w:val="21"/>
          <w:szCs w:val="21"/>
        </w:rPr>
      </w:pPr>
      <w:r>
        <w:rPr>
          <w:rFonts w:hint="eastAsia" w:ascii="宋体" w:hAnsi="宋体"/>
          <w:sz w:val="21"/>
          <w:szCs w:val="21"/>
        </w:rPr>
        <w:t>（7）保守基金商业秘密，除《基金法》、《基金合同》及其他有关规定另</w:t>
      </w:r>
    </w:p>
    <w:p w14:paraId="5D8A2621">
      <w:pPr>
        <w:snapToGrid w:val="0"/>
        <w:spacing w:line="360" w:lineRule="auto"/>
        <w:ind w:firstLine="420" w:firstLineChars="200"/>
        <w:rPr>
          <w:rFonts w:hint="eastAsia" w:ascii="宋体" w:hAnsi="宋体"/>
          <w:sz w:val="21"/>
          <w:szCs w:val="21"/>
        </w:rPr>
      </w:pPr>
      <w:r>
        <w:rPr>
          <w:rFonts w:hint="eastAsia" w:ascii="宋体" w:hAnsi="宋体"/>
          <w:sz w:val="21"/>
          <w:szCs w:val="21"/>
        </w:rPr>
        <w:t>有规定外，在基金信息公开披露前予以保密，向审计、法律等外部专业顾问提供的情况除外；</w:t>
      </w:r>
    </w:p>
    <w:p w14:paraId="534C2D15">
      <w:pPr>
        <w:snapToGrid w:val="0"/>
        <w:spacing w:line="360" w:lineRule="auto"/>
        <w:ind w:firstLine="420" w:firstLineChars="200"/>
        <w:rPr>
          <w:rFonts w:hint="eastAsia" w:ascii="宋体" w:hAnsi="宋体"/>
          <w:sz w:val="21"/>
          <w:szCs w:val="21"/>
        </w:rPr>
      </w:pPr>
      <w:r>
        <w:rPr>
          <w:rFonts w:hint="eastAsia" w:ascii="宋体" w:hAnsi="宋体"/>
          <w:sz w:val="21"/>
          <w:szCs w:val="21"/>
        </w:rPr>
        <w:t>（8）复核、审查基金管理人计算的基金资产净值、基金份额净值、基金份额申购、赎回对价的现金部分；</w:t>
      </w:r>
    </w:p>
    <w:p w14:paraId="4CC002D0">
      <w:pPr>
        <w:snapToGrid w:val="0"/>
        <w:spacing w:line="360" w:lineRule="auto"/>
        <w:ind w:firstLine="420" w:firstLineChars="200"/>
        <w:rPr>
          <w:rFonts w:hint="eastAsia" w:ascii="宋体" w:hAnsi="宋体"/>
          <w:sz w:val="21"/>
          <w:szCs w:val="21"/>
        </w:rPr>
      </w:pPr>
      <w:r>
        <w:rPr>
          <w:rFonts w:hint="eastAsia" w:ascii="宋体" w:hAnsi="宋体"/>
          <w:sz w:val="21"/>
          <w:szCs w:val="21"/>
        </w:rPr>
        <w:t>（9）办理与基金托管业务活动有关的信息披露事项；</w:t>
      </w:r>
    </w:p>
    <w:p w14:paraId="144A5FBC">
      <w:pPr>
        <w:snapToGrid w:val="0"/>
        <w:spacing w:line="360" w:lineRule="auto"/>
        <w:ind w:firstLine="420" w:firstLineChars="200"/>
        <w:rPr>
          <w:rFonts w:hint="eastAsia" w:ascii="宋体" w:hAnsi="宋体"/>
          <w:sz w:val="21"/>
          <w:szCs w:val="21"/>
        </w:rPr>
      </w:pPr>
      <w:r>
        <w:rPr>
          <w:rFonts w:hint="eastAsia" w:ascii="宋体" w:hAnsi="宋体"/>
          <w:sz w:val="21"/>
          <w:szCs w:val="21"/>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47FD97E3">
      <w:pPr>
        <w:snapToGrid w:val="0"/>
        <w:spacing w:line="360" w:lineRule="auto"/>
        <w:ind w:firstLine="420" w:firstLineChars="200"/>
        <w:rPr>
          <w:rFonts w:hint="eastAsia" w:ascii="宋体" w:hAnsi="宋体"/>
          <w:sz w:val="21"/>
          <w:szCs w:val="21"/>
        </w:rPr>
      </w:pPr>
      <w:r>
        <w:rPr>
          <w:rFonts w:hint="eastAsia" w:ascii="宋体" w:hAnsi="宋体"/>
          <w:sz w:val="21"/>
          <w:szCs w:val="21"/>
        </w:rPr>
        <w:t>（11）保存基金托管业务活动的记录、账册、报表和其他相关资料，保存期限按照法律法规的规定执行；</w:t>
      </w:r>
    </w:p>
    <w:p w14:paraId="71922C80">
      <w:pPr>
        <w:snapToGrid w:val="0"/>
        <w:spacing w:line="360" w:lineRule="auto"/>
        <w:ind w:firstLine="420" w:firstLineChars="200"/>
        <w:rPr>
          <w:rFonts w:hint="eastAsia" w:ascii="宋体" w:hAnsi="宋体"/>
          <w:sz w:val="21"/>
          <w:szCs w:val="21"/>
        </w:rPr>
      </w:pPr>
      <w:r>
        <w:rPr>
          <w:rFonts w:hint="eastAsia" w:ascii="宋体" w:hAnsi="宋体"/>
          <w:sz w:val="21"/>
          <w:szCs w:val="21"/>
        </w:rPr>
        <w:t>（12）从基金管理人或其委托的登记机构处接收并保存基金份额持有人名册；</w:t>
      </w:r>
    </w:p>
    <w:p w14:paraId="7D61DC99">
      <w:pPr>
        <w:snapToGrid w:val="0"/>
        <w:spacing w:line="360" w:lineRule="auto"/>
        <w:ind w:firstLine="420" w:firstLineChars="200"/>
        <w:rPr>
          <w:rFonts w:hint="eastAsia" w:ascii="宋体" w:hAnsi="宋体"/>
          <w:sz w:val="21"/>
          <w:szCs w:val="21"/>
        </w:rPr>
      </w:pPr>
      <w:r>
        <w:rPr>
          <w:rFonts w:hint="eastAsia" w:ascii="宋体" w:hAnsi="宋体"/>
          <w:sz w:val="21"/>
          <w:szCs w:val="21"/>
        </w:rPr>
        <w:t>（13）按规定制作相关账册并与基金管理人核对；</w:t>
      </w:r>
    </w:p>
    <w:p w14:paraId="30A6EE3D">
      <w:pPr>
        <w:snapToGrid w:val="0"/>
        <w:spacing w:line="360" w:lineRule="auto"/>
        <w:ind w:firstLine="420" w:firstLineChars="200"/>
        <w:rPr>
          <w:rFonts w:hint="eastAsia" w:ascii="宋体" w:hAnsi="宋体"/>
          <w:sz w:val="21"/>
          <w:szCs w:val="21"/>
        </w:rPr>
      </w:pPr>
      <w:r>
        <w:rPr>
          <w:rFonts w:hint="eastAsia" w:ascii="宋体" w:hAnsi="宋体"/>
          <w:sz w:val="21"/>
          <w:szCs w:val="21"/>
        </w:rPr>
        <w:t>（14）依据基金管理人的指令或有关规定向基金份额持有人支付基金收益和赎回对价的现金部分；</w:t>
      </w:r>
    </w:p>
    <w:p w14:paraId="7DC4442E">
      <w:pPr>
        <w:snapToGrid w:val="0"/>
        <w:spacing w:line="360" w:lineRule="auto"/>
        <w:ind w:firstLine="420" w:firstLineChars="200"/>
        <w:rPr>
          <w:rFonts w:hint="eastAsia" w:ascii="宋体" w:hAnsi="宋体"/>
          <w:sz w:val="21"/>
          <w:szCs w:val="21"/>
        </w:rPr>
      </w:pPr>
      <w:r>
        <w:rPr>
          <w:rFonts w:hint="eastAsia" w:ascii="宋体" w:hAnsi="宋体"/>
          <w:sz w:val="21"/>
          <w:szCs w:val="21"/>
        </w:rPr>
        <w:t>（15）依据《基金法》、《基金合同》及其他有关规定，召集基金份额持有人大会或配合基金管理人、基金份额持有人依法召集基金份额持有人大会；</w:t>
      </w:r>
    </w:p>
    <w:p w14:paraId="3C4C60E1">
      <w:pPr>
        <w:snapToGrid w:val="0"/>
        <w:spacing w:line="360" w:lineRule="auto"/>
        <w:ind w:firstLine="420" w:firstLineChars="200"/>
        <w:rPr>
          <w:rFonts w:hint="eastAsia" w:ascii="宋体" w:hAnsi="宋体"/>
          <w:sz w:val="21"/>
          <w:szCs w:val="21"/>
        </w:rPr>
      </w:pPr>
      <w:r>
        <w:rPr>
          <w:rFonts w:hint="eastAsia" w:ascii="宋体" w:hAnsi="宋体"/>
          <w:sz w:val="21"/>
          <w:szCs w:val="21"/>
        </w:rPr>
        <w:t>（16）按照法律法规和《基金合同》和托管协议的规定监督基金管理人的投资运作；</w:t>
      </w:r>
    </w:p>
    <w:p w14:paraId="2DB56D23">
      <w:pPr>
        <w:snapToGrid w:val="0"/>
        <w:spacing w:line="360" w:lineRule="auto"/>
        <w:ind w:firstLine="420" w:firstLineChars="200"/>
        <w:rPr>
          <w:rFonts w:hint="eastAsia" w:ascii="宋体" w:hAnsi="宋体"/>
          <w:sz w:val="21"/>
          <w:szCs w:val="21"/>
        </w:rPr>
      </w:pPr>
      <w:r>
        <w:rPr>
          <w:rFonts w:hint="eastAsia" w:ascii="宋体" w:hAnsi="宋体"/>
          <w:sz w:val="21"/>
          <w:szCs w:val="21"/>
        </w:rPr>
        <w:t>（17）参加基金财产清算小组，参与基金财产的保管、清理、估价、变现和分配；</w:t>
      </w:r>
    </w:p>
    <w:p w14:paraId="1E5AC379">
      <w:pPr>
        <w:snapToGrid w:val="0"/>
        <w:spacing w:line="360" w:lineRule="auto"/>
        <w:ind w:firstLine="420" w:firstLineChars="200"/>
        <w:rPr>
          <w:rFonts w:hint="eastAsia" w:ascii="宋体" w:hAnsi="宋体"/>
          <w:sz w:val="21"/>
          <w:szCs w:val="21"/>
        </w:rPr>
      </w:pPr>
      <w:r>
        <w:rPr>
          <w:rFonts w:hint="eastAsia" w:ascii="宋体" w:hAnsi="宋体"/>
          <w:sz w:val="21"/>
          <w:szCs w:val="21"/>
        </w:rPr>
        <w:t>（18）面临解散、依法被撤销或者被依法宣告破产时，及时报告中国证监会，并通知基金管理人；</w:t>
      </w:r>
    </w:p>
    <w:p w14:paraId="1C75F2DB">
      <w:pPr>
        <w:snapToGrid w:val="0"/>
        <w:spacing w:line="360" w:lineRule="auto"/>
        <w:ind w:firstLine="420" w:firstLineChars="200"/>
        <w:rPr>
          <w:rFonts w:hint="eastAsia" w:ascii="宋体" w:hAnsi="宋体"/>
          <w:sz w:val="21"/>
          <w:szCs w:val="21"/>
        </w:rPr>
      </w:pPr>
      <w:r>
        <w:rPr>
          <w:rFonts w:hint="eastAsia" w:ascii="宋体" w:hAnsi="宋体"/>
          <w:sz w:val="21"/>
          <w:szCs w:val="21"/>
        </w:rPr>
        <w:t>（19）因违反《基金合同》导致基金财产损失时，应承担赔偿责任，其赔偿责任不因其退任而免除；</w:t>
      </w:r>
    </w:p>
    <w:p w14:paraId="20880539">
      <w:pPr>
        <w:snapToGrid w:val="0"/>
        <w:spacing w:line="360" w:lineRule="auto"/>
        <w:ind w:firstLine="420" w:firstLineChars="200"/>
        <w:rPr>
          <w:rFonts w:hint="eastAsia" w:ascii="宋体" w:hAnsi="宋体"/>
          <w:sz w:val="21"/>
          <w:szCs w:val="21"/>
        </w:rPr>
      </w:pPr>
      <w:r>
        <w:rPr>
          <w:rFonts w:hint="eastAsia" w:ascii="宋体" w:hAnsi="宋体"/>
          <w:sz w:val="21"/>
          <w:szCs w:val="21"/>
        </w:rPr>
        <w:t>（20）按规定监督基金管理人按法律法规和《基金合同》规定履行自己的义务，基金管理人因违反《基金合同》造成基金财产损失时，应为基金份额持有人利益向基金管理人追偿；</w:t>
      </w:r>
    </w:p>
    <w:p w14:paraId="64DB48F7">
      <w:pPr>
        <w:snapToGrid w:val="0"/>
        <w:spacing w:line="360" w:lineRule="auto"/>
        <w:ind w:firstLine="420" w:firstLineChars="200"/>
        <w:rPr>
          <w:rFonts w:hint="eastAsia" w:ascii="宋体" w:hAnsi="宋体"/>
          <w:sz w:val="21"/>
          <w:szCs w:val="21"/>
        </w:rPr>
      </w:pPr>
      <w:r>
        <w:rPr>
          <w:rFonts w:hint="eastAsia" w:ascii="宋体" w:hAnsi="宋体"/>
          <w:sz w:val="21"/>
          <w:szCs w:val="21"/>
        </w:rPr>
        <w:t>（21）执行生效的基金份额持有人大会的决议；</w:t>
      </w:r>
    </w:p>
    <w:p w14:paraId="17B0515A">
      <w:pPr>
        <w:snapToGrid w:val="0"/>
        <w:spacing w:line="360" w:lineRule="auto"/>
        <w:ind w:firstLine="420" w:firstLineChars="200"/>
        <w:rPr>
          <w:rFonts w:hint="eastAsia" w:ascii="宋体" w:hAnsi="宋体"/>
          <w:sz w:val="21"/>
          <w:szCs w:val="21"/>
        </w:rPr>
      </w:pPr>
      <w:r>
        <w:rPr>
          <w:rFonts w:hint="eastAsia" w:ascii="宋体" w:hAnsi="宋体"/>
          <w:sz w:val="21"/>
          <w:szCs w:val="21"/>
        </w:rPr>
        <w:t>（22）法律法规及中国证监会规定的和《基金合同》约定的其他义务。</w:t>
      </w:r>
    </w:p>
    <w:p w14:paraId="3B0B8E0F">
      <w:pPr>
        <w:snapToGrid w:val="0"/>
        <w:spacing w:line="360" w:lineRule="auto"/>
        <w:ind w:firstLine="420" w:firstLineChars="200"/>
        <w:rPr>
          <w:rFonts w:ascii="宋体" w:hAnsi="宋体"/>
          <w:sz w:val="21"/>
          <w:szCs w:val="21"/>
        </w:rPr>
      </w:pPr>
      <w:r>
        <w:rPr>
          <w:rFonts w:hint="eastAsia" w:ascii="宋体" w:hAnsi="宋体"/>
          <w:sz w:val="21"/>
          <w:szCs w:val="21"/>
        </w:rPr>
        <w:t>二、基金份额持有人大会召集、议事及表决的程序和规则</w:t>
      </w:r>
    </w:p>
    <w:p w14:paraId="2F34368F">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基金份额持有人大会由基金份额持有人组成，基金份额持有人的合法授权代表有权代表基金份额持有人出席会议并表决。基金份额持有人持有的每一基金份额拥有平等的投票权。</w:t>
      </w:r>
    </w:p>
    <w:p w14:paraId="6EE4501A">
      <w:pPr>
        <w:snapToGrid w:val="0"/>
        <w:spacing w:line="360" w:lineRule="auto"/>
        <w:ind w:firstLine="420" w:firstLineChars="200"/>
        <w:rPr>
          <w:rFonts w:hint="eastAsia" w:ascii="宋体" w:hAnsi="宋体"/>
          <w:sz w:val="21"/>
          <w:szCs w:val="21"/>
        </w:rPr>
      </w:pPr>
      <w:r>
        <w:rPr>
          <w:rFonts w:hint="eastAsia" w:ascii="宋体" w:hAnsi="宋体"/>
          <w:sz w:val="21"/>
          <w:szCs w:val="21"/>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359DE044">
      <w:pPr>
        <w:snapToGrid w:val="0"/>
        <w:spacing w:line="360" w:lineRule="auto"/>
        <w:ind w:firstLine="420" w:firstLineChars="200"/>
        <w:rPr>
          <w:rFonts w:hint="eastAsia" w:ascii="宋体" w:hAnsi="宋体"/>
          <w:sz w:val="21"/>
          <w:szCs w:val="21"/>
        </w:rPr>
      </w:pPr>
      <w:r>
        <w:rPr>
          <w:rFonts w:hint="eastAsia" w:ascii="宋体" w:hAnsi="宋体"/>
          <w:sz w:val="21"/>
          <w:szCs w:val="21"/>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39B5A5F8">
      <w:pPr>
        <w:snapToGrid w:val="0"/>
        <w:spacing w:line="360" w:lineRule="auto"/>
        <w:ind w:firstLine="420" w:firstLineChars="200"/>
        <w:rPr>
          <w:rFonts w:hint="eastAsia" w:ascii="宋体" w:hAnsi="宋体"/>
          <w:sz w:val="21"/>
          <w:szCs w:val="21"/>
        </w:rPr>
      </w:pPr>
      <w:r>
        <w:rPr>
          <w:rFonts w:hint="eastAsia" w:ascii="宋体" w:hAnsi="宋体"/>
          <w:sz w:val="21"/>
          <w:szCs w:val="21"/>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09A9DC11">
      <w:pPr>
        <w:snapToGrid w:val="0"/>
        <w:spacing w:line="360" w:lineRule="auto"/>
        <w:ind w:firstLine="420" w:firstLineChars="200"/>
        <w:rPr>
          <w:rFonts w:hint="eastAsia" w:ascii="宋体" w:hAnsi="宋体"/>
          <w:sz w:val="21"/>
          <w:szCs w:val="21"/>
        </w:rPr>
      </w:pPr>
      <w:r>
        <w:rPr>
          <w:rFonts w:hint="eastAsia" w:ascii="宋体" w:hAnsi="宋体"/>
          <w:sz w:val="21"/>
          <w:szCs w:val="21"/>
        </w:rPr>
        <w:t>本基金份额持有人大会不设日常机构。</w:t>
      </w:r>
    </w:p>
    <w:p w14:paraId="68B011DD">
      <w:pPr>
        <w:snapToGrid w:val="0"/>
        <w:spacing w:line="360" w:lineRule="auto"/>
        <w:ind w:firstLine="420" w:firstLineChars="200"/>
        <w:rPr>
          <w:rFonts w:hint="eastAsia" w:ascii="宋体" w:hAnsi="宋体"/>
          <w:sz w:val="21"/>
          <w:szCs w:val="21"/>
        </w:rPr>
      </w:pPr>
      <w:r>
        <w:rPr>
          <w:rFonts w:hint="eastAsia" w:ascii="宋体" w:hAnsi="宋体"/>
          <w:sz w:val="21"/>
          <w:szCs w:val="21"/>
        </w:rPr>
        <w:t>法律法规或监管机构对基金份额持有人大会另有规定的，从其规定。</w:t>
      </w:r>
    </w:p>
    <w:p w14:paraId="612F3C6D">
      <w:pPr>
        <w:snapToGrid w:val="0"/>
        <w:spacing w:line="360" w:lineRule="auto"/>
        <w:ind w:firstLine="420" w:firstLineChars="200"/>
        <w:rPr>
          <w:rFonts w:hint="eastAsia" w:ascii="宋体" w:hAnsi="宋体"/>
          <w:sz w:val="21"/>
          <w:szCs w:val="21"/>
        </w:rPr>
      </w:pPr>
      <w:r>
        <w:rPr>
          <w:rFonts w:hint="eastAsia" w:ascii="宋体" w:hAnsi="宋体"/>
          <w:sz w:val="21"/>
          <w:szCs w:val="21"/>
        </w:rPr>
        <w:t>（一）召开事由</w:t>
      </w:r>
    </w:p>
    <w:p w14:paraId="743C3B67">
      <w:pPr>
        <w:snapToGrid w:val="0"/>
        <w:spacing w:line="360" w:lineRule="auto"/>
        <w:ind w:firstLine="420" w:firstLineChars="200"/>
        <w:rPr>
          <w:rFonts w:hint="eastAsia" w:ascii="宋体" w:hAnsi="宋体"/>
          <w:sz w:val="21"/>
          <w:szCs w:val="21"/>
        </w:rPr>
      </w:pPr>
      <w:r>
        <w:rPr>
          <w:rFonts w:hint="eastAsia" w:ascii="宋体" w:hAnsi="宋体"/>
          <w:sz w:val="21"/>
          <w:szCs w:val="21"/>
        </w:rPr>
        <w:t>1、除法律法规、中国证监会另有规定外，当出现或需要决定下列事由之一的，应当召开基金份额持有人大会：</w:t>
      </w:r>
    </w:p>
    <w:p w14:paraId="4E42245F">
      <w:pPr>
        <w:snapToGrid w:val="0"/>
        <w:spacing w:line="360" w:lineRule="auto"/>
        <w:ind w:firstLine="420" w:firstLineChars="200"/>
        <w:rPr>
          <w:rFonts w:hint="eastAsia" w:ascii="宋体" w:hAnsi="宋体"/>
          <w:sz w:val="21"/>
          <w:szCs w:val="21"/>
        </w:rPr>
      </w:pPr>
      <w:r>
        <w:rPr>
          <w:rFonts w:hint="eastAsia" w:ascii="宋体" w:hAnsi="宋体"/>
          <w:sz w:val="21"/>
          <w:szCs w:val="21"/>
        </w:rPr>
        <w:t>（1）终止《基金合同》，《基金合同》另有约定的除外；</w:t>
      </w:r>
    </w:p>
    <w:p w14:paraId="387E5973">
      <w:pPr>
        <w:snapToGrid w:val="0"/>
        <w:spacing w:line="360" w:lineRule="auto"/>
        <w:ind w:firstLine="420" w:firstLineChars="200"/>
        <w:rPr>
          <w:rFonts w:hint="eastAsia" w:ascii="宋体" w:hAnsi="宋体"/>
          <w:sz w:val="21"/>
          <w:szCs w:val="21"/>
        </w:rPr>
      </w:pPr>
      <w:r>
        <w:rPr>
          <w:rFonts w:hint="eastAsia" w:ascii="宋体" w:hAnsi="宋体"/>
          <w:sz w:val="21"/>
          <w:szCs w:val="21"/>
        </w:rPr>
        <w:t>（2）更换基金管理人；</w:t>
      </w:r>
    </w:p>
    <w:p w14:paraId="793C3BE0">
      <w:pPr>
        <w:snapToGrid w:val="0"/>
        <w:spacing w:line="360" w:lineRule="auto"/>
        <w:ind w:firstLine="420" w:firstLineChars="200"/>
        <w:rPr>
          <w:rFonts w:hint="eastAsia" w:ascii="宋体" w:hAnsi="宋体"/>
          <w:sz w:val="21"/>
          <w:szCs w:val="21"/>
        </w:rPr>
      </w:pPr>
      <w:r>
        <w:rPr>
          <w:rFonts w:hint="eastAsia" w:ascii="宋体" w:hAnsi="宋体"/>
          <w:sz w:val="21"/>
          <w:szCs w:val="21"/>
        </w:rPr>
        <w:t>（3）更换基金托管人；</w:t>
      </w:r>
    </w:p>
    <w:p w14:paraId="15418E31">
      <w:pPr>
        <w:snapToGrid w:val="0"/>
        <w:spacing w:line="360" w:lineRule="auto"/>
        <w:ind w:firstLine="420" w:firstLineChars="200"/>
        <w:rPr>
          <w:rFonts w:hint="eastAsia" w:ascii="宋体" w:hAnsi="宋体"/>
          <w:sz w:val="21"/>
          <w:szCs w:val="21"/>
        </w:rPr>
      </w:pPr>
      <w:r>
        <w:rPr>
          <w:rFonts w:hint="eastAsia" w:ascii="宋体" w:hAnsi="宋体"/>
          <w:sz w:val="21"/>
          <w:szCs w:val="21"/>
        </w:rPr>
        <w:t>（4）转换基金运作方式；</w:t>
      </w:r>
    </w:p>
    <w:p w14:paraId="26961B8C">
      <w:pPr>
        <w:snapToGrid w:val="0"/>
        <w:spacing w:line="360" w:lineRule="auto"/>
        <w:ind w:firstLine="420" w:firstLineChars="200"/>
        <w:rPr>
          <w:rFonts w:hint="eastAsia" w:ascii="宋体" w:hAnsi="宋体"/>
          <w:sz w:val="21"/>
          <w:szCs w:val="21"/>
        </w:rPr>
      </w:pPr>
      <w:r>
        <w:rPr>
          <w:rFonts w:hint="eastAsia" w:ascii="宋体" w:hAnsi="宋体"/>
          <w:sz w:val="21"/>
          <w:szCs w:val="21"/>
        </w:rPr>
        <w:t>（5）调整基金管理人、基金托管人的报酬标准；</w:t>
      </w:r>
    </w:p>
    <w:p w14:paraId="3E93F6D2">
      <w:pPr>
        <w:snapToGrid w:val="0"/>
        <w:spacing w:line="360" w:lineRule="auto"/>
        <w:ind w:firstLine="420" w:firstLineChars="200"/>
        <w:rPr>
          <w:rFonts w:hint="eastAsia" w:ascii="宋体" w:hAnsi="宋体"/>
          <w:sz w:val="21"/>
          <w:szCs w:val="21"/>
        </w:rPr>
      </w:pPr>
      <w:r>
        <w:rPr>
          <w:rFonts w:hint="eastAsia" w:ascii="宋体" w:hAnsi="宋体"/>
          <w:sz w:val="21"/>
          <w:szCs w:val="21"/>
        </w:rPr>
        <w:t>（6）变更基金类别；</w:t>
      </w:r>
    </w:p>
    <w:p w14:paraId="5B552301">
      <w:pPr>
        <w:snapToGrid w:val="0"/>
        <w:spacing w:line="360" w:lineRule="auto"/>
        <w:ind w:firstLine="420" w:firstLineChars="200"/>
        <w:rPr>
          <w:rFonts w:hint="eastAsia" w:ascii="宋体" w:hAnsi="宋体"/>
          <w:sz w:val="21"/>
          <w:szCs w:val="21"/>
        </w:rPr>
      </w:pPr>
      <w:r>
        <w:rPr>
          <w:rFonts w:hint="eastAsia" w:ascii="宋体" w:hAnsi="宋体"/>
          <w:sz w:val="21"/>
          <w:szCs w:val="21"/>
        </w:rPr>
        <w:t>（7）本基金与其他基金的合并；</w:t>
      </w:r>
    </w:p>
    <w:p w14:paraId="70ED705B">
      <w:pPr>
        <w:snapToGrid w:val="0"/>
        <w:spacing w:line="360" w:lineRule="auto"/>
        <w:ind w:firstLine="420" w:firstLineChars="200"/>
        <w:rPr>
          <w:rFonts w:hint="eastAsia" w:ascii="宋体" w:hAnsi="宋体"/>
          <w:sz w:val="21"/>
          <w:szCs w:val="21"/>
        </w:rPr>
      </w:pPr>
      <w:r>
        <w:rPr>
          <w:rFonts w:hint="eastAsia" w:ascii="宋体" w:hAnsi="宋体"/>
          <w:sz w:val="21"/>
          <w:szCs w:val="21"/>
        </w:rPr>
        <w:t>（8）变更基金投资目标、范围或策略；</w:t>
      </w:r>
    </w:p>
    <w:p w14:paraId="1A68D70D">
      <w:pPr>
        <w:snapToGrid w:val="0"/>
        <w:spacing w:line="360" w:lineRule="auto"/>
        <w:ind w:firstLine="420" w:firstLineChars="200"/>
        <w:rPr>
          <w:rFonts w:hint="eastAsia" w:ascii="宋体" w:hAnsi="宋体"/>
          <w:sz w:val="21"/>
          <w:szCs w:val="21"/>
        </w:rPr>
      </w:pPr>
      <w:r>
        <w:rPr>
          <w:rFonts w:hint="eastAsia" w:ascii="宋体" w:hAnsi="宋体"/>
          <w:sz w:val="21"/>
          <w:szCs w:val="21"/>
        </w:rPr>
        <w:t>（9）变更基金份额持有人大会程序；</w:t>
      </w:r>
    </w:p>
    <w:p w14:paraId="423C06A4">
      <w:pPr>
        <w:snapToGrid w:val="0"/>
        <w:spacing w:line="360" w:lineRule="auto"/>
        <w:ind w:firstLine="420" w:firstLineChars="200"/>
        <w:rPr>
          <w:rFonts w:hint="eastAsia" w:ascii="宋体" w:hAnsi="宋体"/>
          <w:sz w:val="21"/>
          <w:szCs w:val="21"/>
        </w:rPr>
      </w:pPr>
      <w:r>
        <w:rPr>
          <w:rFonts w:hint="eastAsia" w:ascii="宋体" w:hAnsi="宋体"/>
          <w:sz w:val="21"/>
          <w:szCs w:val="21"/>
        </w:rPr>
        <w:t>（10）基金管理人或基金托管人要求召开基金份额持有人大会；</w:t>
      </w:r>
    </w:p>
    <w:p w14:paraId="0813AA1A">
      <w:pPr>
        <w:snapToGrid w:val="0"/>
        <w:spacing w:line="360" w:lineRule="auto"/>
        <w:ind w:firstLine="420" w:firstLineChars="200"/>
        <w:rPr>
          <w:rFonts w:hint="eastAsia" w:ascii="宋体" w:hAnsi="宋体"/>
          <w:sz w:val="21"/>
          <w:szCs w:val="21"/>
        </w:rPr>
      </w:pPr>
      <w:r>
        <w:rPr>
          <w:rFonts w:hint="eastAsia" w:ascii="宋体" w:hAnsi="宋体"/>
          <w:sz w:val="21"/>
          <w:szCs w:val="21"/>
        </w:rPr>
        <w:t>（11）单独或合计持有本基金总份额10%以上（含10%）基金份额的基金份额持有人（以基金管理人收到提议当日的基金份额计算，下同）就同一事项书面要求召开基金份额持有人大会；</w:t>
      </w:r>
    </w:p>
    <w:p w14:paraId="4CAC128C">
      <w:pPr>
        <w:snapToGrid w:val="0"/>
        <w:spacing w:line="360" w:lineRule="auto"/>
        <w:ind w:firstLine="420" w:firstLineChars="200"/>
        <w:rPr>
          <w:rFonts w:hint="eastAsia" w:ascii="宋体" w:hAnsi="宋体"/>
          <w:sz w:val="21"/>
          <w:szCs w:val="21"/>
        </w:rPr>
      </w:pPr>
      <w:r>
        <w:rPr>
          <w:rFonts w:hint="eastAsia" w:ascii="宋体" w:hAnsi="宋体"/>
          <w:sz w:val="21"/>
          <w:szCs w:val="21"/>
        </w:rPr>
        <w:t>（12）对基金合同当事人权利和义务产生重大影响的其他事项；</w:t>
      </w:r>
    </w:p>
    <w:p w14:paraId="0B8F3B2B">
      <w:pPr>
        <w:snapToGrid w:val="0"/>
        <w:spacing w:line="360" w:lineRule="auto"/>
        <w:ind w:firstLine="420" w:firstLineChars="200"/>
        <w:rPr>
          <w:rFonts w:hint="eastAsia" w:ascii="宋体" w:hAnsi="宋体"/>
          <w:sz w:val="21"/>
          <w:szCs w:val="21"/>
        </w:rPr>
      </w:pPr>
      <w:r>
        <w:rPr>
          <w:rFonts w:hint="eastAsia" w:ascii="宋体" w:hAnsi="宋体"/>
          <w:sz w:val="21"/>
          <w:szCs w:val="21"/>
        </w:rPr>
        <w:t>（13）终止基金上市，但因基金不再具备上市条件而被上海证券交易所终止上市的除外；</w:t>
      </w:r>
    </w:p>
    <w:p w14:paraId="4C56FADD">
      <w:pPr>
        <w:snapToGrid w:val="0"/>
        <w:spacing w:line="360" w:lineRule="auto"/>
        <w:ind w:firstLine="420" w:firstLineChars="200"/>
        <w:rPr>
          <w:rFonts w:hint="eastAsia" w:ascii="宋体" w:hAnsi="宋体"/>
          <w:sz w:val="21"/>
          <w:szCs w:val="21"/>
        </w:rPr>
      </w:pPr>
      <w:r>
        <w:rPr>
          <w:rFonts w:hint="eastAsia" w:ascii="宋体" w:hAnsi="宋体"/>
          <w:sz w:val="21"/>
          <w:szCs w:val="21"/>
        </w:rPr>
        <w:t>（14）法律法规、《基金合同》或中国证监会规定的其他应当召开基金份额持有人大会的事项。</w:t>
      </w:r>
    </w:p>
    <w:p w14:paraId="3F90E552">
      <w:pPr>
        <w:snapToGrid w:val="0"/>
        <w:spacing w:line="360" w:lineRule="auto"/>
        <w:ind w:firstLine="420" w:firstLineChars="200"/>
        <w:rPr>
          <w:rFonts w:hint="eastAsia" w:ascii="宋体" w:hAnsi="宋体"/>
          <w:sz w:val="21"/>
          <w:szCs w:val="21"/>
        </w:rPr>
      </w:pPr>
      <w:r>
        <w:rPr>
          <w:rFonts w:hint="eastAsia" w:ascii="宋体" w:hAnsi="宋体"/>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51133C17">
      <w:pPr>
        <w:snapToGrid w:val="0"/>
        <w:spacing w:line="360" w:lineRule="auto"/>
        <w:ind w:firstLine="420" w:firstLineChars="200"/>
        <w:rPr>
          <w:rFonts w:hint="eastAsia" w:ascii="宋体" w:hAnsi="宋体"/>
          <w:sz w:val="21"/>
          <w:szCs w:val="21"/>
        </w:rPr>
      </w:pPr>
      <w:r>
        <w:rPr>
          <w:rFonts w:hint="eastAsia" w:ascii="宋体" w:hAnsi="宋体"/>
          <w:sz w:val="21"/>
          <w:szCs w:val="21"/>
        </w:rPr>
        <w:t>（1）法律法规要求增加的基金费用的收取；</w:t>
      </w:r>
    </w:p>
    <w:p w14:paraId="054637CD">
      <w:pPr>
        <w:snapToGrid w:val="0"/>
        <w:spacing w:line="360" w:lineRule="auto"/>
        <w:ind w:firstLine="420" w:firstLineChars="200"/>
        <w:rPr>
          <w:rFonts w:hint="eastAsia" w:ascii="宋体" w:hAnsi="宋体"/>
          <w:sz w:val="21"/>
          <w:szCs w:val="21"/>
        </w:rPr>
      </w:pPr>
      <w:r>
        <w:rPr>
          <w:rFonts w:hint="eastAsia" w:ascii="宋体" w:hAnsi="宋体"/>
          <w:sz w:val="21"/>
          <w:szCs w:val="21"/>
        </w:rPr>
        <w:t>（2）调整本基金的申购费率、变更收费方式或调整基金份额类别设置、对基金份额分类办法及规则进行调整；</w:t>
      </w:r>
    </w:p>
    <w:p w14:paraId="57860A13">
      <w:pPr>
        <w:snapToGrid w:val="0"/>
        <w:spacing w:line="360" w:lineRule="auto"/>
        <w:ind w:firstLine="420" w:firstLineChars="200"/>
        <w:rPr>
          <w:rFonts w:hint="eastAsia" w:ascii="宋体" w:hAnsi="宋体"/>
          <w:sz w:val="21"/>
          <w:szCs w:val="21"/>
        </w:rPr>
      </w:pPr>
      <w:r>
        <w:rPr>
          <w:rFonts w:hint="eastAsia" w:ascii="宋体" w:hAnsi="宋体"/>
          <w:sz w:val="21"/>
          <w:szCs w:val="21"/>
        </w:rPr>
        <w:t>（3）因相应的法律法规、上海证券交易所或者登记机构的相关业务规则发生变动而应当对《基金合同》进行修改；</w:t>
      </w:r>
    </w:p>
    <w:p w14:paraId="3DCFFC2D">
      <w:pPr>
        <w:snapToGrid w:val="0"/>
        <w:spacing w:line="360" w:lineRule="auto"/>
        <w:ind w:firstLine="420" w:firstLineChars="200"/>
        <w:rPr>
          <w:rFonts w:hint="eastAsia" w:ascii="宋体" w:hAnsi="宋体"/>
          <w:sz w:val="21"/>
          <w:szCs w:val="21"/>
        </w:rPr>
      </w:pPr>
      <w:r>
        <w:rPr>
          <w:rFonts w:hint="eastAsia" w:ascii="宋体" w:hAnsi="宋体"/>
          <w:sz w:val="21"/>
          <w:szCs w:val="21"/>
        </w:rPr>
        <w:t>（4）对《基金合同》的修改对基金份额持有人利益无实质性不利影响或修改不涉及《基金合同》当事人权利义务关系发生重大变化；</w:t>
      </w:r>
    </w:p>
    <w:p w14:paraId="1C2DE902">
      <w:pPr>
        <w:snapToGrid w:val="0"/>
        <w:spacing w:line="360" w:lineRule="auto"/>
        <w:ind w:firstLine="420" w:firstLineChars="200"/>
        <w:rPr>
          <w:rFonts w:hint="eastAsia" w:ascii="宋体" w:hAnsi="宋体"/>
          <w:sz w:val="21"/>
          <w:szCs w:val="21"/>
        </w:rPr>
      </w:pPr>
      <w:r>
        <w:rPr>
          <w:rFonts w:hint="eastAsia" w:ascii="宋体" w:hAnsi="宋体"/>
          <w:sz w:val="21"/>
          <w:szCs w:val="21"/>
        </w:rPr>
        <w:t>（5）基金管理人、相关证券交易所和登记机构等调整有关基金申购、赎回、交易、转托管、非交易过户等业务的规则；</w:t>
      </w:r>
    </w:p>
    <w:p w14:paraId="451D10C9">
      <w:pPr>
        <w:snapToGrid w:val="0"/>
        <w:spacing w:line="360" w:lineRule="auto"/>
        <w:ind w:firstLine="420" w:firstLineChars="200"/>
        <w:rPr>
          <w:rFonts w:hint="eastAsia" w:ascii="宋体" w:hAnsi="宋体"/>
          <w:sz w:val="21"/>
          <w:szCs w:val="21"/>
        </w:rPr>
      </w:pPr>
      <w:r>
        <w:rPr>
          <w:rFonts w:hint="eastAsia" w:ascii="宋体" w:hAnsi="宋体"/>
          <w:sz w:val="21"/>
          <w:szCs w:val="21"/>
        </w:rPr>
        <w:t>（6）经履行相关程序后，基金推出新业务或服务；</w:t>
      </w:r>
    </w:p>
    <w:p w14:paraId="103E7097">
      <w:pPr>
        <w:snapToGrid w:val="0"/>
        <w:spacing w:line="360" w:lineRule="auto"/>
        <w:ind w:firstLine="420" w:firstLineChars="200"/>
        <w:rPr>
          <w:rFonts w:hint="eastAsia" w:ascii="宋体" w:hAnsi="宋体"/>
          <w:sz w:val="21"/>
          <w:szCs w:val="21"/>
        </w:rPr>
      </w:pPr>
      <w:r>
        <w:rPr>
          <w:rFonts w:hint="eastAsia" w:ascii="宋体" w:hAnsi="宋体"/>
          <w:sz w:val="21"/>
          <w:szCs w:val="21"/>
        </w:rPr>
        <w:t>（7）调整基金的申购赎回方式及申购对价、赎回对价组成；调整申购赎回清单的内容，调整申购赎回清单计算和公告时间或频率；</w:t>
      </w:r>
    </w:p>
    <w:p w14:paraId="5D582578">
      <w:pPr>
        <w:snapToGrid w:val="0"/>
        <w:spacing w:line="360" w:lineRule="auto"/>
        <w:ind w:firstLine="420" w:firstLineChars="200"/>
        <w:rPr>
          <w:rFonts w:hint="eastAsia" w:ascii="宋体" w:hAnsi="宋体"/>
          <w:sz w:val="21"/>
          <w:szCs w:val="21"/>
        </w:rPr>
      </w:pPr>
      <w:r>
        <w:rPr>
          <w:rFonts w:hint="eastAsia" w:ascii="宋体" w:hAnsi="宋体"/>
          <w:sz w:val="21"/>
          <w:szCs w:val="21"/>
        </w:rPr>
        <w:t>（8）按照法律法规和《基金合同》规定不需召开基金份额持有人大会的其他情形。</w:t>
      </w:r>
    </w:p>
    <w:p w14:paraId="18194AC4">
      <w:pPr>
        <w:snapToGrid w:val="0"/>
        <w:spacing w:line="360" w:lineRule="auto"/>
        <w:ind w:firstLine="420" w:firstLineChars="200"/>
        <w:rPr>
          <w:rFonts w:hint="eastAsia" w:ascii="宋体" w:hAnsi="宋体"/>
          <w:sz w:val="21"/>
          <w:szCs w:val="21"/>
        </w:rPr>
      </w:pPr>
      <w:r>
        <w:rPr>
          <w:rFonts w:hint="eastAsia" w:ascii="宋体" w:hAnsi="宋体"/>
          <w:sz w:val="21"/>
          <w:szCs w:val="21"/>
        </w:rPr>
        <w:t>（二）会议召集人及召集方式</w:t>
      </w:r>
    </w:p>
    <w:p w14:paraId="08DDD077">
      <w:pPr>
        <w:snapToGrid w:val="0"/>
        <w:spacing w:line="360" w:lineRule="auto"/>
        <w:ind w:firstLine="420" w:firstLineChars="200"/>
        <w:rPr>
          <w:rFonts w:hint="eastAsia" w:ascii="宋体" w:hAnsi="宋体"/>
          <w:sz w:val="21"/>
          <w:szCs w:val="21"/>
        </w:rPr>
      </w:pPr>
      <w:r>
        <w:rPr>
          <w:rFonts w:hint="eastAsia" w:ascii="宋体" w:hAnsi="宋体"/>
          <w:sz w:val="21"/>
          <w:szCs w:val="21"/>
        </w:rPr>
        <w:t>1、除法律法规规定或《基金合同》另有约定外，基金份额持有人大会由基金管理人召集。</w:t>
      </w:r>
    </w:p>
    <w:p w14:paraId="7FFC51EC">
      <w:pPr>
        <w:snapToGrid w:val="0"/>
        <w:spacing w:line="360" w:lineRule="auto"/>
        <w:ind w:firstLine="420" w:firstLineChars="200"/>
        <w:rPr>
          <w:rFonts w:hint="eastAsia" w:ascii="宋体" w:hAnsi="宋体"/>
          <w:sz w:val="21"/>
          <w:szCs w:val="21"/>
        </w:rPr>
      </w:pPr>
      <w:r>
        <w:rPr>
          <w:rFonts w:hint="eastAsia" w:ascii="宋体" w:hAnsi="宋体"/>
          <w:sz w:val="21"/>
          <w:szCs w:val="21"/>
        </w:rPr>
        <w:t>2、基金管理人未按规定召集或不能召集时，由基金托管人召集。</w:t>
      </w:r>
    </w:p>
    <w:p w14:paraId="62AC8D03">
      <w:pPr>
        <w:snapToGrid w:val="0"/>
        <w:spacing w:line="360" w:lineRule="auto"/>
        <w:ind w:firstLine="420" w:firstLineChars="200"/>
        <w:rPr>
          <w:rFonts w:hint="eastAsia" w:ascii="宋体" w:hAnsi="宋体"/>
          <w:sz w:val="21"/>
          <w:szCs w:val="21"/>
        </w:rPr>
      </w:pPr>
      <w:r>
        <w:rPr>
          <w:rFonts w:hint="eastAsia" w:ascii="宋体" w:hAnsi="宋体"/>
          <w:sz w:val="21"/>
          <w:szCs w:val="21"/>
        </w:rPr>
        <w:t>3、基金托管人认为有必要召开基金份额持有人大会的，应当向基金管理人提出书面提议。基金管理人应当自收到书面提议之日起 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0106DBAF">
      <w:pPr>
        <w:snapToGrid w:val="0"/>
        <w:spacing w:line="360" w:lineRule="auto"/>
        <w:ind w:firstLine="420" w:firstLineChars="200"/>
        <w:rPr>
          <w:rFonts w:hint="eastAsia" w:ascii="宋体" w:hAnsi="宋体"/>
          <w:sz w:val="21"/>
          <w:szCs w:val="21"/>
        </w:rPr>
      </w:pPr>
      <w:r>
        <w:rPr>
          <w:rFonts w:hint="eastAsia" w:ascii="宋体" w:hAnsi="宋体"/>
          <w:sz w:val="21"/>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434AC379">
      <w:pPr>
        <w:snapToGrid w:val="0"/>
        <w:spacing w:line="360" w:lineRule="auto"/>
        <w:ind w:firstLine="420" w:firstLineChars="200"/>
        <w:rPr>
          <w:rFonts w:hint="eastAsia" w:ascii="宋体" w:hAnsi="宋体"/>
          <w:sz w:val="21"/>
          <w:szCs w:val="21"/>
        </w:rPr>
      </w:pPr>
      <w:r>
        <w:rPr>
          <w:rFonts w:hint="eastAsia" w:ascii="宋体" w:hAnsi="宋体"/>
          <w:sz w:val="21"/>
          <w:szCs w:val="21"/>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10A60179">
      <w:pPr>
        <w:snapToGrid w:val="0"/>
        <w:spacing w:line="360" w:lineRule="auto"/>
        <w:ind w:firstLine="420" w:firstLineChars="200"/>
        <w:rPr>
          <w:rFonts w:hint="eastAsia" w:ascii="宋体" w:hAnsi="宋体"/>
          <w:sz w:val="21"/>
          <w:szCs w:val="21"/>
        </w:rPr>
      </w:pPr>
      <w:r>
        <w:rPr>
          <w:rFonts w:hint="eastAsia" w:ascii="宋体" w:hAnsi="宋体"/>
          <w:sz w:val="21"/>
          <w:szCs w:val="21"/>
        </w:rPr>
        <w:t>6、基金份额持有人会议的召集人负责选择确定开会时间、地点、方式和权益登记日。</w:t>
      </w:r>
    </w:p>
    <w:p w14:paraId="2549D478">
      <w:pPr>
        <w:snapToGrid w:val="0"/>
        <w:spacing w:line="360" w:lineRule="auto"/>
        <w:ind w:firstLine="420" w:firstLineChars="200"/>
        <w:rPr>
          <w:rFonts w:hint="eastAsia" w:ascii="宋体" w:hAnsi="宋体"/>
          <w:sz w:val="21"/>
          <w:szCs w:val="21"/>
        </w:rPr>
      </w:pPr>
      <w:r>
        <w:rPr>
          <w:rFonts w:hint="eastAsia" w:ascii="宋体" w:hAnsi="宋体"/>
          <w:sz w:val="21"/>
          <w:szCs w:val="21"/>
        </w:rPr>
        <w:t>（三）召开基金份额持有人大会的通知时间、通知内容、通知方式</w:t>
      </w:r>
    </w:p>
    <w:p w14:paraId="420F09B3">
      <w:pPr>
        <w:snapToGrid w:val="0"/>
        <w:spacing w:line="360" w:lineRule="auto"/>
        <w:ind w:firstLine="420" w:firstLineChars="200"/>
        <w:rPr>
          <w:rFonts w:hint="eastAsia" w:ascii="宋体" w:hAnsi="宋体"/>
          <w:sz w:val="21"/>
          <w:szCs w:val="21"/>
        </w:rPr>
      </w:pPr>
      <w:r>
        <w:rPr>
          <w:rFonts w:hint="eastAsia" w:ascii="宋体" w:hAnsi="宋体"/>
          <w:sz w:val="21"/>
          <w:szCs w:val="21"/>
        </w:rPr>
        <w:t>1、召开基金份额持有人大会，召集人应于会议召开前30日，在规定媒介公告。基金份额持有人大会通知应至少载明以下内容：</w:t>
      </w:r>
    </w:p>
    <w:p w14:paraId="319F491C">
      <w:pPr>
        <w:snapToGrid w:val="0"/>
        <w:spacing w:line="360" w:lineRule="auto"/>
        <w:ind w:firstLine="420" w:firstLineChars="200"/>
        <w:rPr>
          <w:rFonts w:hint="eastAsia" w:ascii="宋体" w:hAnsi="宋体"/>
          <w:sz w:val="21"/>
          <w:szCs w:val="21"/>
        </w:rPr>
      </w:pPr>
      <w:r>
        <w:rPr>
          <w:rFonts w:hint="eastAsia" w:ascii="宋体" w:hAnsi="宋体"/>
          <w:sz w:val="21"/>
          <w:szCs w:val="21"/>
        </w:rPr>
        <w:t>（1）会议召开的时间、地点和会议形式；</w:t>
      </w:r>
    </w:p>
    <w:p w14:paraId="17673FBD">
      <w:pPr>
        <w:snapToGrid w:val="0"/>
        <w:spacing w:line="360" w:lineRule="auto"/>
        <w:ind w:firstLine="420" w:firstLineChars="200"/>
        <w:rPr>
          <w:rFonts w:hint="eastAsia" w:ascii="宋体" w:hAnsi="宋体"/>
          <w:sz w:val="21"/>
          <w:szCs w:val="21"/>
        </w:rPr>
      </w:pPr>
      <w:r>
        <w:rPr>
          <w:rFonts w:hint="eastAsia" w:ascii="宋体" w:hAnsi="宋体"/>
          <w:sz w:val="21"/>
          <w:szCs w:val="21"/>
        </w:rPr>
        <w:t>（2）会议拟审议的事项、议事程序和表决方式；</w:t>
      </w:r>
    </w:p>
    <w:p w14:paraId="77C9D5FD">
      <w:pPr>
        <w:snapToGrid w:val="0"/>
        <w:spacing w:line="360" w:lineRule="auto"/>
        <w:ind w:firstLine="420" w:firstLineChars="200"/>
        <w:rPr>
          <w:rFonts w:hint="eastAsia" w:ascii="宋体" w:hAnsi="宋体"/>
          <w:sz w:val="21"/>
          <w:szCs w:val="21"/>
        </w:rPr>
      </w:pPr>
      <w:r>
        <w:rPr>
          <w:rFonts w:hint="eastAsia" w:ascii="宋体" w:hAnsi="宋体"/>
          <w:sz w:val="21"/>
          <w:szCs w:val="21"/>
        </w:rPr>
        <w:t>（3）有权出席基金份额持有人大会的基金份额持有人的权益登记日；</w:t>
      </w:r>
    </w:p>
    <w:p w14:paraId="34BD2754">
      <w:pPr>
        <w:snapToGrid w:val="0"/>
        <w:spacing w:line="360" w:lineRule="auto"/>
        <w:ind w:firstLine="420" w:firstLineChars="200"/>
        <w:rPr>
          <w:rFonts w:hint="eastAsia" w:ascii="宋体" w:hAnsi="宋体"/>
          <w:sz w:val="21"/>
          <w:szCs w:val="21"/>
        </w:rPr>
      </w:pPr>
      <w:r>
        <w:rPr>
          <w:rFonts w:hint="eastAsia" w:ascii="宋体" w:hAnsi="宋体"/>
          <w:sz w:val="21"/>
          <w:szCs w:val="21"/>
        </w:rPr>
        <w:t>（4）授权委托证明的内容要求（包括但不限于代理人身份，代理权限和代理有效期限等）、送达时间和地点；</w:t>
      </w:r>
    </w:p>
    <w:p w14:paraId="6575F1E7">
      <w:pPr>
        <w:snapToGrid w:val="0"/>
        <w:spacing w:line="360" w:lineRule="auto"/>
        <w:ind w:firstLine="420" w:firstLineChars="200"/>
        <w:rPr>
          <w:rFonts w:hint="eastAsia" w:ascii="宋体" w:hAnsi="宋体"/>
          <w:sz w:val="21"/>
          <w:szCs w:val="21"/>
        </w:rPr>
      </w:pPr>
      <w:r>
        <w:rPr>
          <w:rFonts w:hint="eastAsia" w:ascii="宋体" w:hAnsi="宋体"/>
          <w:sz w:val="21"/>
          <w:szCs w:val="21"/>
        </w:rPr>
        <w:t>（5）会务常设联系人姓名及联系电话；</w:t>
      </w:r>
    </w:p>
    <w:p w14:paraId="7E7283CC">
      <w:pPr>
        <w:snapToGrid w:val="0"/>
        <w:spacing w:line="360" w:lineRule="auto"/>
        <w:ind w:firstLine="420" w:firstLineChars="200"/>
        <w:rPr>
          <w:rFonts w:hint="eastAsia" w:ascii="宋体" w:hAnsi="宋体"/>
          <w:sz w:val="21"/>
          <w:szCs w:val="21"/>
        </w:rPr>
      </w:pPr>
      <w:r>
        <w:rPr>
          <w:rFonts w:hint="eastAsia" w:ascii="宋体" w:hAnsi="宋体"/>
          <w:sz w:val="21"/>
          <w:szCs w:val="21"/>
        </w:rPr>
        <w:t>（6）出席会议者必须准备的文件和必须履行的手续；</w:t>
      </w:r>
    </w:p>
    <w:p w14:paraId="00298A36">
      <w:pPr>
        <w:snapToGrid w:val="0"/>
        <w:spacing w:line="360" w:lineRule="auto"/>
        <w:ind w:firstLine="420" w:firstLineChars="200"/>
        <w:rPr>
          <w:rFonts w:hint="eastAsia" w:ascii="宋体" w:hAnsi="宋体"/>
          <w:sz w:val="21"/>
          <w:szCs w:val="21"/>
        </w:rPr>
      </w:pPr>
      <w:r>
        <w:rPr>
          <w:rFonts w:hint="eastAsia" w:ascii="宋体" w:hAnsi="宋体"/>
          <w:sz w:val="21"/>
          <w:szCs w:val="21"/>
        </w:rPr>
        <w:t>（7）召集人需要通知的其他事项。</w:t>
      </w:r>
    </w:p>
    <w:p w14:paraId="09B74FAE">
      <w:pPr>
        <w:snapToGrid w:val="0"/>
        <w:spacing w:line="360" w:lineRule="auto"/>
        <w:ind w:firstLine="420" w:firstLineChars="200"/>
        <w:rPr>
          <w:rFonts w:hint="eastAsia" w:ascii="宋体" w:hAnsi="宋体"/>
          <w:sz w:val="21"/>
          <w:szCs w:val="21"/>
        </w:rPr>
      </w:pPr>
      <w:r>
        <w:rPr>
          <w:rFonts w:hint="eastAsia" w:ascii="宋体" w:hAnsi="宋体"/>
          <w:sz w:val="21"/>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3BE27C96">
      <w:pPr>
        <w:snapToGrid w:val="0"/>
        <w:spacing w:line="360" w:lineRule="auto"/>
        <w:ind w:firstLine="420" w:firstLineChars="200"/>
        <w:rPr>
          <w:rFonts w:hint="eastAsia" w:ascii="宋体" w:hAnsi="宋体"/>
          <w:sz w:val="21"/>
          <w:szCs w:val="21"/>
        </w:rPr>
      </w:pPr>
      <w:r>
        <w:rPr>
          <w:rFonts w:hint="eastAsia" w:ascii="宋体" w:hAnsi="宋体"/>
          <w:sz w:val="21"/>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0906CF76">
      <w:pPr>
        <w:snapToGrid w:val="0"/>
        <w:spacing w:line="360" w:lineRule="auto"/>
        <w:ind w:firstLine="420" w:firstLineChars="200"/>
        <w:rPr>
          <w:rFonts w:hint="eastAsia" w:ascii="宋体" w:hAnsi="宋体"/>
          <w:sz w:val="21"/>
          <w:szCs w:val="21"/>
        </w:rPr>
      </w:pPr>
      <w:r>
        <w:rPr>
          <w:rFonts w:hint="eastAsia" w:ascii="宋体" w:hAnsi="宋体"/>
          <w:sz w:val="21"/>
          <w:szCs w:val="21"/>
        </w:rPr>
        <w:t>（四）基金份额持有人出席会议的方式</w:t>
      </w:r>
    </w:p>
    <w:p w14:paraId="009266B9">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基金份额持有人大会可通过现场开会方式、通讯开会方式或法律法规、监管机构允许的其他方式召开，会议的召开方式由会议召集人确定。</w:t>
      </w:r>
    </w:p>
    <w:p w14:paraId="687AA8F6">
      <w:pPr>
        <w:snapToGrid w:val="0"/>
        <w:spacing w:line="360" w:lineRule="auto"/>
        <w:ind w:firstLine="420" w:firstLineChars="200"/>
        <w:rPr>
          <w:rFonts w:hint="eastAsia" w:ascii="宋体" w:hAnsi="宋体"/>
          <w:sz w:val="21"/>
          <w:szCs w:val="21"/>
        </w:rPr>
      </w:pPr>
      <w:r>
        <w:rPr>
          <w:rFonts w:hint="eastAsia" w:ascii="宋体" w:hAnsi="宋体"/>
          <w:sz w:val="21"/>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696F94DB">
      <w:pPr>
        <w:snapToGrid w:val="0"/>
        <w:spacing w:line="360" w:lineRule="auto"/>
        <w:ind w:firstLine="420" w:firstLineChars="200"/>
        <w:rPr>
          <w:rFonts w:hint="eastAsia" w:ascii="宋体" w:hAnsi="宋体"/>
          <w:sz w:val="21"/>
          <w:szCs w:val="21"/>
        </w:rPr>
      </w:pPr>
      <w:r>
        <w:rPr>
          <w:rFonts w:hint="eastAsia" w:ascii="宋体" w:hAnsi="宋体"/>
          <w:sz w:val="21"/>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675BFC7B">
      <w:pPr>
        <w:snapToGrid w:val="0"/>
        <w:spacing w:line="360" w:lineRule="auto"/>
        <w:ind w:firstLine="420" w:firstLineChars="200"/>
        <w:rPr>
          <w:rFonts w:hint="eastAsia" w:ascii="宋体" w:hAnsi="宋体"/>
          <w:sz w:val="21"/>
          <w:szCs w:val="21"/>
        </w:rPr>
      </w:pPr>
      <w:r>
        <w:rPr>
          <w:rFonts w:hint="eastAsia" w:ascii="宋体" w:hAnsi="宋体"/>
          <w:sz w:val="21"/>
          <w:szCs w:val="21"/>
        </w:rPr>
        <w:t>（2）经核对，汇总到会者出示的在权益登记日持有基金份额的凭证显示，有效的基金份额不少于本基金在权益登记日基金总份额的二分之一（含二分之一）。</w:t>
      </w:r>
    </w:p>
    <w:p w14:paraId="2D0F22DD">
      <w:pPr>
        <w:snapToGrid w:val="0"/>
        <w:spacing w:line="360" w:lineRule="auto"/>
        <w:ind w:firstLine="420" w:firstLineChars="200"/>
        <w:rPr>
          <w:rFonts w:hint="eastAsia" w:ascii="宋体" w:hAnsi="宋体"/>
          <w:sz w:val="21"/>
          <w:szCs w:val="21"/>
        </w:rPr>
      </w:pPr>
      <w:r>
        <w:rPr>
          <w:rFonts w:hint="eastAsia" w:ascii="宋体" w:hAnsi="宋体"/>
          <w:sz w:val="21"/>
          <w:szCs w:val="21"/>
        </w:rPr>
        <w:t>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5F546A44">
      <w:pPr>
        <w:snapToGrid w:val="0"/>
        <w:spacing w:line="360" w:lineRule="auto"/>
        <w:ind w:firstLine="420" w:firstLineChars="200"/>
        <w:rPr>
          <w:rFonts w:hint="eastAsia" w:ascii="宋体" w:hAnsi="宋体"/>
          <w:sz w:val="21"/>
          <w:szCs w:val="21"/>
        </w:rPr>
      </w:pPr>
      <w:r>
        <w:rPr>
          <w:rFonts w:hint="eastAsia" w:ascii="宋体" w:hAnsi="宋体"/>
          <w:sz w:val="21"/>
          <w:szCs w:val="21"/>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1E915216">
      <w:pPr>
        <w:snapToGrid w:val="0"/>
        <w:spacing w:line="360" w:lineRule="auto"/>
        <w:ind w:firstLine="420" w:firstLineChars="200"/>
        <w:rPr>
          <w:rFonts w:hint="eastAsia" w:ascii="宋体" w:hAnsi="宋体"/>
          <w:sz w:val="21"/>
          <w:szCs w:val="21"/>
        </w:rPr>
      </w:pPr>
      <w:r>
        <w:rPr>
          <w:rFonts w:hint="eastAsia" w:ascii="宋体" w:hAnsi="宋体"/>
          <w:sz w:val="21"/>
          <w:szCs w:val="21"/>
        </w:rPr>
        <w:t>在同时符合以下条件时，通讯开会的方式视为有效：</w:t>
      </w:r>
    </w:p>
    <w:p w14:paraId="11EF2FA5">
      <w:pPr>
        <w:snapToGrid w:val="0"/>
        <w:spacing w:line="360" w:lineRule="auto"/>
        <w:ind w:firstLine="420" w:firstLineChars="200"/>
        <w:rPr>
          <w:rFonts w:hint="eastAsia" w:ascii="宋体" w:hAnsi="宋体"/>
          <w:sz w:val="21"/>
          <w:szCs w:val="21"/>
        </w:rPr>
      </w:pPr>
      <w:r>
        <w:rPr>
          <w:rFonts w:hint="eastAsia" w:ascii="宋体" w:hAnsi="宋体"/>
          <w:sz w:val="21"/>
          <w:szCs w:val="21"/>
        </w:rPr>
        <w:t>（1）会议召集人按《基金合同》约定公布会议通知后，在 2个工作日内连续公布相关提示性公告；</w:t>
      </w:r>
    </w:p>
    <w:p w14:paraId="16A73122">
      <w:pPr>
        <w:snapToGrid w:val="0"/>
        <w:spacing w:line="360" w:lineRule="auto"/>
        <w:ind w:firstLine="420" w:firstLineChars="200"/>
        <w:rPr>
          <w:rFonts w:hint="eastAsia" w:ascii="宋体" w:hAnsi="宋体"/>
          <w:sz w:val="21"/>
          <w:szCs w:val="21"/>
        </w:rPr>
      </w:pPr>
      <w:r>
        <w:rPr>
          <w:rFonts w:hint="eastAsia" w:ascii="宋体" w:hAnsi="宋体"/>
          <w:sz w:val="21"/>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E6F9474">
      <w:pPr>
        <w:snapToGrid w:val="0"/>
        <w:spacing w:line="360" w:lineRule="auto"/>
        <w:ind w:firstLine="420" w:firstLineChars="200"/>
        <w:rPr>
          <w:rFonts w:hint="eastAsia" w:ascii="宋体" w:hAnsi="宋体"/>
          <w:sz w:val="21"/>
          <w:szCs w:val="21"/>
        </w:rPr>
      </w:pPr>
      <w:r>
        <w:rPr>
          <w:rFonts w:hint="eastAsia" w:ascii="宋体" w:hAnsi="宋体"/>
          <w:sz w:val="21"/>
          <w:szCs w:val="21"/>
        </w:rPr>
        <w:t>（3）本人直接出具表决意见或授权他人代表出具表决意见的，基金份额持有人所持有的基金份额不小于在权益登记日基金总份额的二分之一（含二分之一）；</w:t>
      </w:r>
    </w:p>
    <w:p w14:paraId="3F315758">
      <w:pPr>
        <w:snapToGrid w:val="0"/>
        <w:spacing w:line="360" w:lineRule="auto"/>
        <w:ind w:firstLine="420" w:firstLineChars="200"/>
        <w:rPr>
          <w:rFonts w:hint="eastAsia" w:ascii="宋体" w:hAnsi="宋体"/>
          <w:sz w:val="21"/>
          <w:szCs w:val="21"/>
        </w:rPr>
      </w:pPr>
      <w:r>
        <w:rPr>
          <w:rFonts w:hint="eastAsia" w:ascii="宋体" w:hAnsi="宋体"/>
          <w:sz w:val="21"/>
          <w:szCs w:val="21"/>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1F4D9D05">
      <w:pPr>
        <w:snapToGrid w:val="0"/>
        <w:spacing w:line="360" w:lineRule="auto"/>
        <w:ind w:firstLine="420" w:firstLineChars="200"/>
        <w:rPr>
          <w:rFonts w:hint="eastAsia" w:ascii="宋体" w:hAnsi="宋体"/>
          <w:sz w:val="21"/>
          <w:szCs w:val="21"/>
        </w:rPr>
      </w:pPr>
      <w:r>
        <w:rPr>
          <w:rFonts w:hint="eastAsia" w:ascii="宋体" w:hAnsi="宋体"/>
          <w:sz w:val="21"/>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7D089545">
      <w:pPr>
        <w:snapToGrid w:val="0"/>
        <w:spacing w:line="360" w:lineRule="auto"/>
        <w:ind w:firstLine="420" w:firstLineChars="200"/>
        <w:rPr>
          <w:rFonts w:hint="eastAsia" w:ascii="宋体" w:hAnsi="宋体"/>
          <w:sz w:val="21"/>
          <w:szCs w:val="21"/>
        </w:rPr>
      </w:pPr>
      <w:r>
        <w:rPr>
          <w:rFonts w:hint="eastAsia" w:ascii="宋体" w:hAnsi="宋体"/>
          <w:sz w:val="21"/>
          <w:szCs w:val="21"/>
        </w:rPr>
        <w:t xml:space="preserve"> 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1D76C5A4">
      <w:pPr>
        <w:snapToGrid w:val="0"/>
        <w:spacing w:line="360" w:lineRule="auto"/>
        <w:ind w:firstLine="420" w:firstLineChars="200"/>
        <w:rPr>
          <w:rFonts w:hint="eastAsia" w:ascii="宋体" w:hAnsi="宋体"/>
          <w:sz w:val="21"/>
          <w:szCs w:val="21"/>
        </w:rPr>
      </w:pPr>
      <w:r>
        <w:rPr>
          <w:rFonts w:hint="eastAsia" w:ascii="宋体" w:hAnsi="宋体"/>
          <w:sz w:val="21"/>
          <w:szCs w:val="21"/>
        </w:rPr>
        <w:t>（五）议事内容与程序</w:t>
      </w:r>
    </w:p>
    <w:p w14:paraId="7A6C4047">
      <w:pPr>
        <w:snapToGrid w:val="0"/>
        <w:spacing w:line="360" w:lineRule="auto"/>
        <w:ind w:firstLine="420" w:firstLineChars="200"/>
        <w:rPr>
          <w:rFonts w:hint="eastAsia" w:ascii="宋体" w:hAnsi="宋体"/>
          <w:sz w:val="21"/>
          <w:szCs w:val="21"/>
        </w:rPr>
      </w:pPr>
      <w:r>
        <w:rPr>
          <w:rFonts w:hint="eastAsia" w:ascii="宋体" w:hAnsi="宋体"/>
          <w:sz w:val="21"/>
          <w:szCs w:val="21"/>
        </w:rPr>
        <w:t>1、议事内容及提案权</w:t>
      </w:r>
    </w:p>
    <w:p w14:paraId="449A0829">
      <w:pPr>
        <w:snapToGrid w:val="0"/>
        <w:spacing w:line="360" w:lineRule="auto"/>
        <w:ind w:firstLine="420" w:firstLineChars="200"/>
        <w:rPr>
          <w:rFonts w:hint="eastAsia" w:ascii="宋体" w:hAnsi="宋体"/>
          <w:sz w:val="21"/>
          <w:szCs w:val="21"/>
        </w:rPr>
      </w:pPr>
      <w:r>
        <w:rPr>
          <w:rFonts w:hint="eastAsia" w:ascii="宋体" w:hAnsi="宋体"/>
          <w:sz w:val="21"/>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77574EF4">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基金份额持有人大会的召集人发出召集会议的通知后，对原有提案的修改应当在基金份额持有人大会召开前及时公告。</w:t>
      </w:r>
    </w:p>
    <w:p w14:paraId="510AAEF6">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基金份额持有人大会不得对未事先公告的议事内容进行表决。</w:t>
      </w:r>
    </w:p>
    <w:p w14:paraId="33A12419">
      <w:pPr>
        <w:snapToGrid w:val="0"/>
        <w:spacing w:line="360" w:lineRule="auto"/>
        <w:ind w:firstLine="420" w:firstLineChars="200"/>
        <w:rPr>
          <w:rFonts w:hint="eastAsia" w:ascii="宋体" w:hAnsi="宋体"/>
          <w:sz w:val="21"/>
          <w:szCs w:val="21"/>
        </w:rPr>
      </w:pPr>
      <w:r>
        <w:rPr>
          <w:rFonts w:hint="eastAsia" w:ascii="宋体" w:hAnsi="宋体"/>
          <w:sz w:val="21"/>
          <w:szCs w:val="21"/>
        </w:rPr>
        <w:t>2、议事程序</w:t>
      </w:r>
    </w:p>
    <w:p w14:paraId="6919E7F8">
      <w:pPr>
        <w:snapToGrid w:val="0"/>
        <w:spacing w:line="360" w:lineRule="auto"/>
        <w:ind w:firstLine="420" w:firstLineChars="200"/>
        <w:rPr>
          <w:rFonts w:hint="eastAsia" w:ascii="宋体" w:hAnsi="宋体"/>
          <w:sz w:val="21"/>
          <w:szCs w:val="21"/>
        </w:rPr>
      </w:pPr>
      <w:r>
        <w:rPr>
          <w:rFonts w:hint="eastAsia" w:ascii="宋体" w:hAnsi="宋体"/>
          <w:sz w:val="21"/>
          <w:szCs w:val="21"/>
        </w:rPr>
        <w:t>（1）现场开会</w:t>
      </w:r>
    </w:p>
    <w:p w14:paraId="391BD5FB">
      <w:pPr>
        <w:snapToGrid w:val="0"/>
        <w:spacing w:line="360" w:lineRule="auto"/>
        <w:ind w:firstLine="420" w:firstLineChars="200"/>
        <w:rPr>
          <w:rFonts w:hint="eastAsia" w:ascii="宋体" w:hAnsi="宋体"/>
          <w:sz w:val="21"/>
          <w:szCs w:val="21"/>
        </w:rPr>
      </w:pPr>
      <w:r>
        <w:rPr>
          <w:rFonts w:hint="eastAsia" w:ascii="宋体" w:hAnsi="宋体"/>
          <w:sz w:val="21"/>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3692B80C">
      <w:pPr>
        <w:snapToGrid w:val="0"/>
        <w:spacing w:line="360" w:lineRule="auto"/>
        <w:ind w:firstLine="420" w:firstLineChars="200"/>
        <w:rPr>
          <w:rFonts w:hint="eastAsia" w:ascii="宋体" w:hAnsi="宋体"/>
          <w:sz w:val="21"/>
          <w:szCs w:val="21"/>
        </w:rPr>
      </w:pPr>
      <w:r>
        <w:rPr>
          <w:rFonts w:hint="eastAsia" w:ascii="宋体" w:hAnsi="宋体"/>
          <w:sz w:val="21"/>
          <w:szCs w:val="21"/>
        </w:rPr>
        <w:t>会议召集人应当制作出席会议人员的签名册。签名册载明参加会议人员姓名（或单位名称）、身份证明文件号码、持有或代表有表决权的基金份额、委托人姓名（或单位名称）和联系方式等事项。</w:t>
      </w:r>
    </w:p>
    <w:p w14:paraId="414E857F">
      <w:pPr>
        <w:snapToGrid w:val="0"/>
        <w:spacing w:line="360" w:lineRule="auto"/>
        <w:ind w:firstLine="420" w:firstLineChars="200"/>
        <w:rPr>
          <w:rFonts w:hint="eastAsia" w:ascii="宋体" w:hAnsi="宋体"/>
          <w:sz w:val="21"/>
          <w:szCs w:val="21"/>
        </w:rPr>
      </w:pPr>
      <w:r>
        <w:rPr>
          <w:rFonts w:hint="eastAsia" w:ascii="宋体" w:hAnsi="宋体"/>
          <w:sz w:val="21"/>
          <w:szCs w:val="21"/>
        </w:rPr>
        <w:t>（2）通讯开会</w:t>
      </w:r>
    </w:p>
    <w:p w14:paraId="1DF9ECC9">
      <w:pPr>
        <w:snapToGrid w:val="0"/>
        <w:spacing w:line="360" w:lineRule="auto"/>
        <w:ind w:firstLine="420" w:firstLineChars="200"/>
        <w:rPr>
          <w:rFonts w:hint="eastAsia" w:ascii="宋体" w:hAnsi="宋体"/>
          <w:sz w:val="21"/>
          <w:szCs w:val="21"/>
        </w:rPr>
      </w:pPr>
      <w:r>
        <w:rPr>
          <w:rFonts w:hint="eastAsia" w:ascii="宋体" w:hAnsi="宋体"/>
          <w:sz w:val="21"/>
          <w:szCs w:val="21"/>
        </w:rPr>
        <w:t>在通讯开会的情况下，首先由召集人提前30日公布提案，在所通知的表决截止日期后2个工作日内在公证机关监督下由召集人统计全部有效表决，在公证机关监督下形成决议。</w:t>
      </w:r>
    </w:p>
    <w:p w14:paraId="7E151AE0">
      <w:pPr>
        <w:snapToGrid w:val="0"/>
        <w:spacing w:line="360" w:lineRule="auto"/>
        <w:ind w:firstLine="420" w:firstLineChars="200"/>
        <w:rPr>
          <w:rFonts w:hint="eastAsia" w:ascii="宋体" w:hAnsi="宋体"/>
          <w:sz w:val="21"/>
          <w:szCs w:val="21"/>
        </w:rPr>
      </w:pPr>
      <w:r>
        <w:rPr>
          <w:rFonts w:hint="eastAsia" w:ascii="宋体" w:hAnsi="宋体"/>
          <w:sz w:val="21"/>
          <w:szCs w:val="21"/>
        </w:rPr>
        <w:t>（六）表决</w:t>
      </w:r>
    </w:p>
    <w:p w14:paraId="0442B628">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基金份额持有人所持每份基金份额有一票表决权。</w:t>
      </w:r>
    </w:p>
    <w:p w14:paraId="7067E2FE">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基金份额持有人大会决议分为一般决议和特别决议：</w:t>
      </w:r>
    </w:p>
    <w:p w14:paraId="6874F2FA">
      <w:pPr>
        <w:snapToGrid w:val="0"/>
        <w:spacing w:line="360" w:lineRule="auto"/>
        <w:ind w:firstLine="420" w:firstLineChars="200"/>
        <w:rPr>
          <w:rFonts w:hint="eastAsia" w:ascii="宋体" w:hAnsi="宋体"/>
          <w:sz w:val="21"/>
          <w:szCs w:val="21"/>
        </w:rPr>
      </w:pPr>
      <w:r>
        <w:rPr>
          <w:rFonts w:hint="eastAsia" w:ascii="宋体" w:hAnsi="宋体"/>
          <w:sz w:val="21"/>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194E1D78">
      <w:pPr>
        <w:snapToGrid w:val="0"/>
        <w:spacing w:line="360" w:lineRule="auto"/>
        <w:ind w:firstLine="420" w:firstLineChars="200"/>
        <w:rPr>
          <w:rFonts w:hint="eastAsia" w:ascii="宋体" w:hAnsi="宋体"/>
          <w:sz w:val="21"/>
          <w:szCs w:val="21"/>
        </w:rPr>
      </w:pPr>
      <w:r>
        <w:rPr>
          <w:rFonts w:hint="eastAsia" w:ascii="宋体" w:hAnsi="宋体"/>
          <w:sz w:val="21"/>
          <w:szCs w:val="21"/>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4E2E4DA8">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基金份额持有人大会采取记名方式进行投票表决。</w:t>
      </w:r>
    </w:p>
    <w:p w14:paraId="32B2934F">
      <w:pPr>
        <w:snapToGrid w:val="0"/>
        <w:spacing w:line="360" w:lineRule="auto"/>
        <w:ind w:firstLine="420" w:firstLineChars="200"/>
        <w:rPr>
          <w:rFonts w:hint="eastAsia" w:ascii="宋体" w:hAnsi="宋体"/>
          <w:sz w:val="21"/>
          <w:szCs w:val="21"/>
        </w:rPr>
      </w:pPr>
      <w:r>
        <w:rPr>
          <w:rFonts w:hint="eastAsia" w:ascii="宋体" w:hAnsi="宋体"/>
          <w:sz w:val="21"/>
          <w:szCs w:val="21"/>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0A056C90">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基金份额持有人大会的各项提案或同一项提案内并列的各项议题应当分开审议、逐项表决。</w:t>
      </w:r>
    </w:p>
    <w:p w14:paraId="28A8EC11">
      <w:pPr>
        <w:snapToGrid w:val="0"/>
        <w:spacing w:line="360" w:lineRule="auto"/>
        <w:ind w:firstLine="420" w:firstLineChars="200"/>
        <w:rPr>
          <w:rFonts w:hint="eastAsia" w:ascii="宋体" w:hAnsi="宋体"/>
          <w:sz w:val="21"/>
          <w:szCs w:val="21"/>
        </w:rPr>
      </w:pPr>
      <w:r>
        <w:rPr>
          <w:rFonts w:hint="eastAsia" w:ascii="宋体" w:hAnsi="宋体"/>
          <w:sz w:val="21"/>
          <w:szCs w:val="21"/>
        </w:rPr>
        <w:t>在上述规则的前提下，具体规则以召集人发布的基金份额持有人大会通知为准。</w:t>
      </w:r>
    </w:p>
    <w:p w14:paraId="536D0A2D">
      <w:pPr>
        <w:snapToGrid w:val="0"/>
        <w:spacing w:line="360" w:lineRule="auto"/>
        <w:ind w:firstLine="420" w:firstLineChars="200"/>
        <w:rPr>
          <w:rFonts w:hint="eastAsia" w:ascii="宋体" w:hAnsi="宋体"/>
          <w:sz w:val="21"/>
          <w:szCs w:val="21"/>
        </w:rPr>
      </w:pPr>
      <w:r>
        <w:rPr>
          <w:rFonts w:hint="eastAsia" w:ascii="宋体" w:hAnsi="宋体"/>
          <w:sz w:val="21"/>
          <w:szCs w:val="21"/>
        </w:rPr>
        <w:t>（七）计票</w:t>
      </w:r>
    </w:p>
    <w:p w14:paraId="3BAAE20F">
      <w:pPr>
        <w:snapToGrid w:val="0"/>
        <w:spacing w:line="360" w:lineRule="auto"/>
        <w:ind w:firstLine="420" w:firstLineChars="200"/>
        <w:rPr>
          <w:rFonts w:hint="eastAsia" w:ascii="宋体" w:hAnsi="宋体"/>
          <w:sz w:val="21"/>
          <w:szCs w:val="21"/>
        </w:rPr>
      </w:pPr>
      <w:r>
        <w:rPr>
          <w:rFonts w:hint="eastAsia" w:ascii="宋体" w:hAnsi="宋体"/>
          <w:sz w:val="21"/>
          <w:szCs w:val="21"/>
        </w:rPr>
        <w:t>1、现场开会</w:t>
      </w:r>
    </w:p>
    <w:p w14:paraId="49FCF31F">
      <w:pPr>
        <w:snapToGrid w:val="0"/>
        <w:spacing w:line="360" w:lineRule="auto"/>
        <w:ind w:firstLine="420" w:firstLineChars="200"/>
        <w:rPr>
          <w:rFonts w:hint="eastAsia" w:ascii="宋体" w:hAnsi="宋体"/>
          <w:sz w:val="21"/>
          <w:szCs w:val="21"/>
        </w:rPr>
      </w:pPr>
      <w:r>
        <w:rPr>
          <w:rFonts w:hint="eastAsia" w:ascii="宋体" w:hAnsi="宋体"/>
          <w:sz w:val="21"/>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321701C6">
      <w:pPr>
        <w:snapToGrid w:val="0"/>
        <w:spacing w:line="360" w:lineRule="auto"/>
        <w:ind w:firstLine="420" w:firstLineChars="200"/>
        <w:rPr>
          <w:rFonts w:hint="eastAsia" w:ascii="宋体" w:hAnsi="宋体"/>
          <w:sz w:val="21"/>
          <w:szCs w:val="21"/>
        </w:rPr>
      </w:pPr>
      <w:r>
        <w:rPr>
          <w:rFonts w:hint="eastAsia" w:ascii="宋体" w:hAnsi="宋体"/>
          <w:sz w:val="21"/>
          <w:szCs w:val="21"/>
        </w:rPr>
        <w:t>（2）监票人应当在基金份额持有人表决后立即进行清点并由大会主持人当场公布计票结果。</w:t>
      </w:r>
    </w:p>
    <w:p w14:paraId="340CF78E">
      <w:pPr>
        <w:snapToGrid w:val="0"/>
        <w:spacing w:line="360" w:lineRule="auto"/>
        <w:ind w:firstLine="420" w:firstLineChars="200"/>
        <w:rPr>
          <w:rFonts w:hint="eastAsia" w:ascii="宋体" w:hAnsi="宋体"/>
          <w:sz w:val="21"/>
          <w:szCs w:val="21"/>
        </w:rPr>
      </w:pPr>
      <w:r>
        <w:rPr>
          <w:rFonts w:hint="eastAsia" w:ascii="宋体" w:hAnsi="宋体"/>
          <w:sz w:val="21"/>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50F7C47C">
      <w:pPr>
        <w:snapToGrid w:val="0"/>
        <w:spacing w:line="360" w:lineRule="auto"/>
        <w:ind w:firstLine="420" w:firstLineChars="200"/>
        <w:rPr>
          <w:rFonts w:hint="eastAsia" w:ascii="宋体" w:hAnsi="宋体"/>
          <w:sz w:val="21"/>
          <w:szCs w:val="21"/>
        </w:rPr>
      </w:pPr>
      <w:r>
        <w:rPr>
          <w:rFonts w:hint="eastAsia" w:ascii="宋体" w:hAnsi="宋体"/>
          <w:sz w:val="21"/>
          <w:szCs w:val="21"/>
        </w:rPr>
        <w:t>（4）计票过程应由公证机关予以公证，基金管理人或基金托管人拒不出席大会的，不影响计票的效力。</w:t>
      </w:r>
    </w:p>
    <w:p w14:paraId="26558FB2">
      <w:pPr>
        <w:snapToGrid w:val="0"/>
        <w:spacing w:line="360" w:lineRule="auto"/>
        <w:ind w:firstLine="420" w:firstLineChars="200"/>
        <w:rPr>
          <w:rFonts w:hint="eastAsia" w:ascii="宋体" w:hAnsi="宋体"/>
          <w:sz w:val="21"/>
          <w:szCs w:val="21"/>
        </w:rPr>
      </w:pPr>
      <w:r>
        <w:rPr>
          <w:rFonts w:hint="eastAsia" w:ascii="宋体" w:hAnsi="宋体"/>
          <w:sz w:val="21"/>
          <w:szCs w:val="21"/>
        </w:rPr>
        <w:t>2、通讯开会</w:t>
      </w:r>
    </w:p>
    <w:p w14:paraId="32E279E0">
      <w:pPr>
        <w:snapToGrid w:val="0"/>
        <w:spacing w:line="360" w:lineRule="auto"/>
        <w:ind w:firstLine="420" w:firstLineChars="200"/>
        <w:rPr>
          <w:rFonts w:hint="eastAsia" w:ascii="宋体" w:hAnsi="宋体"/>
          <w:sz w:val="21"/>
          <w:szCs w:val="21"/>
        </w:rPr>
      </w:pPr>
      <w:r>
        <w:rPr>
          <w:rFonts w:hint="eastAsia" w:ascii="宋体" w:hAnsi="宋体"/>
          <w:sz w:val="21"/>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748C0C32">
      <w:pPr>
        <w:snapToGrid w:val="0"/>
        <w:spacing w:line="360" w:lineRule="auto"/>
        <w:ind w:firstLine="420" w:firstLineChars="200"/>
        <w:rPr>
          <w:rFonts w:hint="eastAsia" w:ascii="宋体" w:hAnsi="宋体"/>
          <w:sz w:val="21"/>
          <w:szCs w:val="21"/>
        </w:rPr>
      </w:pPr>
      <w:r>
        <w:rPr>
          <w:rFonts w:hint="eastAsia" w:ascii="宋体" w:hAnsi="宋体"/>
          <w:sz w:val="21"/>
          <w:szCs w:val="21"/>
        </w:rPr>
        <w:t>（八）生效与公告</w:t>
      </w:r>
    </w:p>
    <w:p w14:paraId="78639E71">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基金份额持有人大会的决议，召集人应当自通过之日起5日内报中国证监会备案。</w:t>
      </w:r>
    </w:p>
    <w:p w14:paraId="58914EA9">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基金份额持有人大会的决议自表决通过之日起生效。</w:t>
      </w:r>
    </w:p>
    <w:p w14:paraId="73BE2E0D">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基金份额持有人大会决议自生效之日起依照《信息披露办法》在规定媒介上公告。如果采用通讯方式进行表决，在公告基金份额持有人大会决议时，必须将公证书全文、公证机构、公证员姓名等一同公告。</w:t>
      </w:r>
    </w:p>
    <w:p w14:paraId="6A310ADA">
      <w:pPr>
        <w:snapToGrid w:val="0"/>
        <w:spacing w:line="360" w:lineRule="auto"/>
        <w:ind w:firstLine="420" w:firstLineChars="200"/>
        <w:rPr>
          <w:rFonts w:hint="eastAsia" w:ascii="宋体" w:hAnsi="宋体"/>
          <w:sz w:val="21"/>
          <w:szCs w:val="21"/>
        </w:rPr>
      </w:pPr>
      <w:r>
        <w:rPr>
          <w:rFonts w:hint="eastAsia" w:ascii="宋体" w:hAnsi="宋体"/>
          <w:sz w:val="21"/>
          <w:szCs w:val="21"/>
        </w:rPr>
        <w:t>基金管理人、基金托管人和基金份额持有人应当执行生效的基金份额持有人大会的决议。生效的基金份额持有人大会决议对全体基金份额持有人、基金管理人、基金托管人均有约束力。</w:t>
      </w:r>
    </w:p>
    <w:p w14:paraId="4C297A7D">
      <w:pPr>
        <w:numPr>
          <w:ilvl w:val="0"/>
          <w:numId w:val="3"/>
        </w:numPr>
        <w:snapToGrid w:val="0"/>
        <w:spacing w:line="360" w:lineRule="auto"/>
        <w:ind w:firstLine="420" w:firstLineChars="200"/>
        <w:rPr>
          <w:rFonts w:hint="eastAsia" w:ascii="宋体" w:hAnsi="宋体"/>
          <w:sz w:val="21"/>
          <w:szCs w:val="21"/>
        </w:rPr>
      </w:pPr>
      <w:r>
        <w:rPr>
          <w:rFonts w:hint="eastAsia" w:ascii="宋体" w:hAnsi="宋体"/>
          <w:sz w:val="21"/>
          <w:szCs w:val="21"/>
        </w:rPr>
        <w:t>本部分关于基金份额持有人大会召开事由、召开条件、议事程序、表决条件等规定，凡是直接引用法律法规的部分，如将来法律法规修改导致相关内容被取消或变更的，基金管理人与基金托管人协商一致并履行适当程序后，可直接对本部分内容进行修改和调整，无需召开基金份额持有人大会审议。</w:t>
      </w:r>
    </w:p>
    <w:p w14:paraId="6B758226">
      <w:pPr>
        <w:numPr>
          <w:ilvl w:val="0"/>
          <w:numId w:val="4"/>
        </w:numPr>
        <w:snapToGrid w:val="0"/>
        <w:spacing w:line="360" w:lineRule="auto"/>
        <w:ind w:firstLine="420" w:firstLineChars="200"/>
        <w:rPr>
          <w:rFonts w:hint="eastAsia" w:ascii="宋体" w:hAnsi="宋体"/>
          <w:sz w:val="21"/>
          <w:szCs w:val="21"/>
        </w:rPr>
      </w:pPr>
      <w:r>
        <w:rPr>
          <w:rFonts w:hint="eastAsia" w:ascii="宋体" w:hAnsi="宋体"/>
          <w:sz w:val="21"/>
          <w:szCs w:val="21"/>
        </w:rPr>
        <w:t>基金收益分配原则、执行方式</w:t>
      </w:r>
    </w:p>
    <w:p w14:paraId="2BF37835">
      <w:pPr>
        <w:numPr>
          <w:ilvl w:val="0"/>
          <w:numId w:val="0"/>
        </w:numPr>
        <w:snapToGrid w:val="0"/>
        <w:spacing w:line="360" w:lineRule="auto"/>
        <w:ind w:firstLine="420" w:firstLineChars="200"/>
        <w:rPr>
          <w:rFonts w:hint="default" w:ascii="宋体" w:hAnsi="宋体" w:eastAsiaTheme="minorEastAsia"/>
          <w:sz w:val="21"/>
          <w:szCs w:val="21"/>
          <w:lang w:val="en-US" w:eastAsia="zh-CN"/>
        </w:rPr>
      </w:pPr>
      <w:r>
        <w:rPr>
          <w:rFonts w:hint="eastAsia" w:ascii="宋体" w:hAnsi="宋体"/>
          <w:sz w:val="21"/>
          <w:szCs w:val="21"/>
          <w:lang w:val="en-US" w:eastAsia="zh-CN"/>
        </w:rPr>
        <w:t>（一）基金收益分配原则</w:t>
      </w:r>
    </w:p>
    <w:p w14:paraId="147A5F3D">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1、本基金基金份额的收益分配方式采用现金分红；</w:t>
      </w:r>
    </w:p>
    <w:p w14:paraId="75A3F148">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2、当收益评价日核定的基金份额净值增长率超过标的指数同期增长率或者基金可供分配利润金额大于零时，基金管理人可进行收益分配；</w:t>
      </w:r>
    </w:p>
    <w:p w14:paraId="237613F5">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3、当基金收益分配根据基金相对标的指数的超额收益率决定时，基于本基金的特点，本基金收益分配无需以弥补亏损为前提，收益分配后基金份额净值有可能低于面值；当基金收益分配根据基金可供分配利润金额决定时，本基金收益分配后基金份额净值不能低于面值，即基金收益分配基准日的基金份额净值减去每单位基金份额收益分配金额后不能低于面值；</w:t>
      </w:r>
    </w:p>
    <w:p w14:paraId="6253CFAE">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4、在符合上述基金分红条件的前提下，本基金可进行收益分配。评价时间、分配时间、分配方案及每次基金收益分配数额等内容，基金管理人可以根据实际情况确定并按照有关规定公告；</w:t>
      </w:r>
    </w:p>
    <w:p w14:paraId="48115023">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5、每一基金份额享有同等分配权；</w:t>
      </w:r>
    </w:p>
    <w:p w14:paraId="5437EA63">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6、法律法规或监管机关、证券交易所、登记机构另有规定的，从其规定。</w:t>
      </w:r>
    </w:p>
    <w:p w14:paraId="12BD5B74">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在不违反法律法规且对基金份额持有人利益无实质性不利影响的前提下，基金管理人经与基金托管人协商一致后可对基金收益分配原则进行调整，并及时公告。</w:t>
      </w:r>
    </w:p>
    <w:p w14:paraId="38D305CD">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（二）基金收益分配比例及金额的确定原则</w:t>
      </w:r>
    </w:p>
    <w:p w14:paraId="605CBEDF">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1、在收益评价日，基金管理人计算基金份额净值增长率、标的指数同期增长率。</w:t>
      </w:r>
    </w:p>
    <w:p w14:paraId="75DD205B">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基金收益评价日本基金相对标的指数的超额收益率＝基金份额净值增长率－标的指数同期增长率。</w:t>
      </w:r>
    </w:p>
    <w:p w14:paraId="459C21D3">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70ED5C62">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期间如发生基金份额折算、拆分或合并，则以基金份额折算日、经拆分或合并调整后的基金份额折算日为初始日重新计算上述指标。</w:t>
      </w:r>
    </w:p>
    <w:p w14:paraId="77BB9488">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收益评价日日期以基金管理人相关公告为准。</w:t>
      </w:r>
    </w:p>
    <w:p w14:paraId="05EA4097">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2、基金可供分配利润指截至收益分配基准日基金未分配利润与未分配利润中已实现收益的孰低数。</w:t>
      </w:r>
    </w:p>
    <w:p w14:paraId="3433391C">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3、根据前述收益分配原则计算截至基金收益评价日本基金的超额收益率及基金可供分配利润，并确定收益分配比例。</w:t>
      </w:r>
    </w:p>
    <w:p w14:paraId="401EE567">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4、根据前述超额收益率、可供分配利润及收益分配比例计算收益分配金额。</w:t>
      </w:r>
    </w:p>
    <w:p w14:paraId="4E03F7F2">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（三）收益分配方案</w:t>
      </w:r>
    </w:p>
    <w:p w14:paraId="6D13E07E">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基金收益分配方案中应载明基金收益分配对象、分配时间、分配数额及比例、分配方式等内容。</w:t>
      </w:r>
    </w:p>
    <w:p w14:paraId="37887D92">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（四）收益分配方案的确定、公告与实施</w:t>
      </w:r>
    </w:p>
    <w:p w14:paraId="7378F551">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本基金收益分配方案由基金管理人拟定，并由基金托管人复核，依照《信息披露办法》的有关规定在规定媒介公告。</w:t>
      </w:r>
    </w:p>
    <w:p w14:paraId="22C6C361">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（五）基金收益分配中发生的费用</w:t>
      </w:r>
    </w:p>
    <w:p w14:paraId="4C49B6E2">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基金收益分配时所发生的银行转账或其他手续费用由投资者自行承担。</w:t>
      </w:r>
    </w:p>
    <w:p w14:paraId="01C88987">
      <w:pPr>
        <w:snapToGrid w:val="0"/>
        <w:spacing w:line="360" w:lineRule="auto"/>
        <w:ind w:firstLine="420" w:firstLineChars="200"/>
        <w:rPr>
          <w:rFonts w:ascii="宋体" w:hAnsi="宋体"/>
          <w:sz w:val="21"/>
          <w:szCs w:val="21"/>
        </w:rPr>
      </w:pPr>
      <w:r>
        <w:rPr>
          <w:rFonts w:hint="eastAsia" w:ascii="宋体" w:hAnsi="宋体"/>
          <w:sz w:val="21"/>
          <w:szCs w:val="21"/>
        </w:rPr>
        <w:t>四、与基金财产管理、运作有关费用的提取、支付方式与比例</w:t>
      </w:r>
    </w:p>
    <w:p w14:paraId="35B4FD16">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（一）基金费用的种类</w:t>
      </w:r>
    </w:p>
    <w:p w14:paraId="7D92A5EB">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1、基金管理人的管理费；</w:t>
      </w:r>
    </w:p>
    <w:p w14:paraId="55D19CD1">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2、基金托管人的托管费；</w:t>
      </w:r>
    </w:p>
    <w:p w14:paraId="1BB46CD7">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3、基金的证券、期货、股票期权交易费用；</w:t>
      </w:r>
    </w:p>
    <w:p w14:paraId="5CFC8A2B">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4、《基金合同》生效后与基金相关的信息披露费用，但法律法规、中国证监会另有规定的除外；</w:t>
      </w:r>
    </w:p>
    <w:p w14:paraId="5453938D">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5、《基金合同》生效后与基金相关的会计师费、公证费、律师费、审计费、仲裁费和诉讼费；</w:t>
      </w:r>
    </w:p>
    <w:p w14:paraId="143F4EA4">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6、基金份额持有人大会费用；</w:t>
      </w:r>
    </w:p>
    <w:p w14:paraId="5C151E99">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7、基金银行汇划费用、账户开户及维护费用、场内注册登记费用、IOPV计算与发布费用、收益分配中发生的费用（银行转账或其他手续费用除外）；</w:t>
      </w:r>
    </w:p>
    <w:p w14:paraId="1CB73BBE">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8、基金上市初费及年费；</w:t>
      </w:r>
    </w:p>
    <w:p w14:paraId="1F6906E4">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9、按照国家有关规定和《基金合同》约定，可以在基金财产中列支的其他费用。</w:t>
      </w:r>
    </w:p>
    <w:p w14:paraId="00C56B9D">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（二）基金费用计提方法、计提标准和支付方式</w:t>
      </w:r>
    </w:p>
    <w:p w14:paraId="3E5E553B">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1、基金管理人的管理费</w:t>
      </w:r>
    </w:p>
    <w:p w14:paraId="2FA1F31F">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本基金的管理费按前一日基金资产净值的0.50%年费率计提。管理费的计算方法如下：</w:t>
      </w:r>
    </w:p>
    <w:p w14:paraId="7E5025F1">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H＝E×0.50%÷当年天数</w:t>
      </w:r>
    </w:p>
    <w:p w14:paraId="22D28123">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H为每日应计提的基金管理费</w:t>
      </w:r>
    </w:p>
    <w:p w14:paraId="5EB293AF">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E为前一日的基金资产净值</w:t>
      </w:r>
    </w:p>
    <w:p w14:paraId="7063596E">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基金管理费每日计提，逐日累计至每个月月末，按月支付。经基金管理人与基金托管人核对一致后，由基金托管人按照与基金管理人协商一致的方式于次月首日起5个工作日内从基金财产中一次性支付给基金管理人。若遇法定节假日、公休假或不可抗力等致使无法按时支付的，支付日期顺延。</w:t>
      </w:r>
    </w:p>
    <w:p w14:paraId="371CD0FD">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2、基金托管人的托管费</w:t>
      </w:r>
    </w:p>
    <w:p w14:paraId="41F5ACF5">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本基金的托管费按前一日基金资产净值的0.10%年费率计提。托管费的计算方法如下：</w:t>
      </w:r>
    </w:p>
    <w:p w14:paraId="6DFB7CFA">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H＝E×0.10%÷当年天数</w:t>
      </w:r>
    </w:p>
    <w:p w14:paraId="6296B786">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H为每日应计提的基金托管费</w:t>
      </w:r>
    </w:p>
    <w:p w14:paraId="44A97E7E">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E为前一日的基金资产净值</w:t>
      </w:r>
    </w:p>
    <w:p w14:paraId="7F1B30BF">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基金托管费每日计提，按月支付。经基金管理人与基金托管人双方核对一致后，由基金托管人按照与基金管理人协商一致的方式于次月首日起5个工作日内从基金财产中一次性支取。若遇法定节假日、公休假或不可抗力等致使无法按时支付的，支付日期顺延。</w:t>
      </w:r>
    </w:p>
    <w:p w14:paraId="14AD1743">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上述“</w:t>
      </w:r>
      <w:r>
        <w:rPr>
          <w:rFonts w:hint="eastAsia" w:ascii="宋体" w:hAnsi="宋体"/>
          <w:color w:val="0C0C0C"/>
          <w:sz w:val="21"/>
          <w:szCs w:val="21"/>
          <w:lang w:eastAsia="zh-CN"/>
        </w:rPr>
        <w:t>（</w:t>
      </w:r>
      <w:r>
        <w:rPr>
          <w:rFonts w:hint="eastAsia" w:ascii="宋体" w:hAnsi="宋体"/>
          <w:color w:val="0C0C0C"/>
          <w:sz w:val="21"/>
          <w:szCs w:val="21"/>
          <w:lang w:val="en-US" w:eastAsia="zh-CN"/>
        </w:rPr>
        <w:t>一</w:t>
      </w:r>
      <w:r>
        <w:rPr>
          <w:rFonts w:hint="eastAsia" w:ascii="宋体" w:hAnsi="宋体"/>
          <w:color w:val="0C0C0C"/>
          <w:sz w:val="21"/>
          <w:szCs w:val="21"/>
          <w:lang w:eastAsia="zh-CN"/>
        </w:rPr>
        <w:t>）</w:t>
      </w:r>
      <w:r>
        <w:rPr>
          <w:rFonts w:hint="eastAsia" w:ascii="宋体" w:hAnsi="宋体"/>
          <w:color w:val="0C0C0C"/>
          <w:sz w:val="21"/>
          <w:szCs w:val="21"/>
        </w:rPr>
        <w:t>基金费用的种类”中第3－9项费用，根据有关法规及相应协议规定，按费用实际支出金额列入当期费用，由基金托管人从基金财产中支付。</w:t>
      </w:r>
    </w:p>
    <w:p w14:paraId="7A0EDF61">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（三）不列入基金费用的项目</w:t>
      </w:r>
    </w:p>
    <w:p w14:paraId="1CED9958">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下列费用不列入基金费用：</w:t>
      </w:r>
    </w:p>
    <w:p w14:paraId="7C9E63C6">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1、基金管理人和基金托管人因未履行或未完全履行义务导致的费用支出或基金财产的损失；</w:t>
      </w:r>
    </w:p>
    <w:p w14:paraId="6DAFEFDE">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2、基金管理人和基金托管人处理与基金运作无关的事项发生的费用；</w:t>
      </w:r>
    </w:p>
    <w:p w14:paraId="11B4BCBC">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3、《基金合同》生效前的相关费用；</w:t>
      </w:r>
    </w:p>
    <w:p w14:paraId="513798EC">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4、指数许可使用费；</w:t>
      </w:r>
    </w:p>
    <w:p w14:paraId="30B7ACCB">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本基金按照基金管理人与标的指数许可方所签订的指数使用许可协议中所规定的指数许可使用费计提方法支付指数许可使用费，该指数许可使用费由基金管理人承担，不得从基金财产中列支。</w:t>
      </w:r>
    </w:p>
    <w:p w14:paraId="75EB9509">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如果指数许可使用费的计算方法、费率、支付方式和费用承担方等发生调整，本基金将采用调整后的方法或费率计算指数许可使用费；</w:t>
      </w:r>
    </w:p>
    <w:p w14:paraId="1A27618F">
      <w:pPr>
        <w:numPr>
          <w:ilvl w:val="0"/>
          <w:numId w:val="5"/>
        </w:num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其他根据相关法律法规及中国证监会的有关规定不得列入基金费用的项目。</w:t>
      </w:r>
    </w:p>
    <w:p w14:paraId="2917C9ED">
      <w:pPr>
        <w:numPr>
          <w:ilvl w:val="-1"/>
          <w:numId w:val="0"/>
        </w:num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（四）基金税收</w:t>
      </w:r>
    </w:p>
    <w:p w14:paraId="00729D51">
      <w:pPr>
        <w:adjustRightInd w:val="0"/>
        <w:snapToGrid w:val="0"/>
        <w:spacing w:line="360" w:lineRule="auto"/>
        <w:ind w:firstLine="420" w:firstLineChars="200"/>
        <w:rPr>
          <w:rFonts w:ascii="宋体" w:hAnsi="宋体"/>
          <w:color w:val="0C0C0C"/>
          <w:sz w:val="21"/>
          <w:szCs w:val="21"/>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07DC75F3">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五、基金资产的投资范围和投资限制</w:t>
      </w:r>
    </w:p>
    <w:p w14:paraId="187526B6">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（一）投资范围</w:t>
      </w:r>
    </w:p>
    <w:p w14:paraId="71630C5B">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本基金主要投资于标的指数成份股和备选成份股（含存托凭证）。</w:t>
      </w:r>
    </w:p>
    <w:p w14:paraId="3F8E3126">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为更好地实现基金的投资目标，本基金可能会少量投资于依法发行上市的非成份股（包括创业板及其他经中国证监会核准或注册上市的股票和存托凭证）、债券（包括国债、金融债、地方政府债、政府支持债券、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6116A82F">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本基金可根据法律法规的规定参与融资和转融通证券出借业务。</w:t>
      </w:r>
    </w:p>
    <w:p w14:paraId="70946279">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如法律法规或中国证监会以后允许基金投资其他品种，本基金管理人在履行适当程序后，可以将其纳入本基金的投资范围。</w:t>
      </w:r>
    </w:p>
    <w:p w14:paraId="55EC7852">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763484C8">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若法律法规的相关规定发生变更或监管机构允许，本基金管理人在履行适当程序后，可对上述资产配置比例进行调整。</w:t>
      </w:r>
    </w:p>
    <w:p w14:paraId="57F1B5D1">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（二）投资限制</w:t>
      </w:r>
    </w:p>
    <w:p w14:paraId="11D1659F">
      <w:pPr>
        <w:snapToGrid w:val="0"/>
        <w:spacing w:line="360" w:lineRule="auto"/>
        <w:ind w:firstLine="420" w:firstLineChars="200"/>
        <w:rPr>
          <w:rFonts w:hint="eastAsia" w:ascii="宋体" w:hAnsi="宋体"/>
          <w:sz w:val="21"/>
          <w:szCs w:val="21"/>
        </w:rPr>
      </w:pPr>
      <w:r>
        <w:rPr>
          <w:rFonts w:hint="eastAsia" w:ascii="宋体" w:hAnsi="宋体"/>
          <w:sz w:val="21"/>
          <w:szCs w:val="21"/>
        </w:rPr>
        <w:t>1、组合限制</w:t>
      </w:r>
    </w:p>
    <w:p w14:paraId="4628EBD7">
      <w:pPr>
        <w:snapToGrid w:val="0"/>
        <w:spacing w:line="360" w:lineRule="auto"/>
        <w:ind w:firstLine="420" w:firstLineChars="200"/>
        <w:rPr>
          <w:rFonts w:hint="eastAsia" w:ascii="宋体" w:hAnsi="宋体"/>
          <w:sz w:val="21"/>
          <w:szCs w:val="21"/>
        </w:rPr>
      </w:pPr>
      <w:r>
        <w:rPr>
          <w:rFonts w:hint="eastAsia" w:ascii="宋体" w:hAnsi="宋体"/>
          <w:sz w:val="21"/>
          <w:szCs w:val="21"/>
        </w:rPr>
        <w:t>基金的投资组合应遵循以下限制：</w:t>
      </w:r>
    </w:p>
    <w:p w14:paraId="3F61B847">
      <w:pPr>
        <w:snapToGrid w:val="0"/>
        <w:spacing w:line="360" w:lineRule="auto"/>
        <w:ind w:firstLine="420" w:firstLineChars="200"/>
        <w:rPr>
          <w:rFonts w:hint="eastAsia" w:ascii="宋体" w:hAnsi="宋体"/>
          <w:sz w:val="21"/>
          <w:szCs w:val="21"/>
        </w:rPr>
      </w:pPr>
      <w:r>
        <w:rPr>
          <w:rFonts w:hint="eastAsia" w:ascii="宋体" w:hAnsi="宋体"/>
          <w:sz w:val="21"/>
          <w:szCs w:val="21"/>
        </w:rPr>
        <w:t>（1）本基金投资于标的指数成份股和备选成份股（含存托凭证）的资产比例不低于基金资产净值的90%，且不低于非现金基金资产的80%；</w:t>
      </w:r>
    </w:p>
    <w:p w14:paraId="59142E40">
      <w:pPr>
        <w:snapToGrid w:val="0"/>
        <w:spacing w:line="360" w:lineRule="auto"/>
        <w:ind w:firstLine="420" w:firstLineChars="200"/>
        <w:rPr>
          <w:rFonts w:hint="eastAsia" w:ascii="宋体" w:hAnsi="宋体"/>
          <w:sz w:val="21"/>
          <w:szCs w:val="21"/>
        </w:rPr>
      </w:pPr>
      <w:r>
        <w:rPr>
          <w:rFonts w:hint="eastAsia" w:ascii="宋体" w:hAnsi="宋体"/>
          <w:sz w:val="21"/>
          <w:szCs w:val="21"/>
        </w:rPr>
        <w:t>（2）本基金每个交易日日终在扣除股指期货、股票期权和国债期货合约需缴纳的交易保证金后，应当保持不低于交易保证金一倍的现金，其中现金不包括结算备付金、存出保证金和应收申购款等；</w:t>
      </w:r>
    </w:p>
    <w:p w14:paraId="4DB8D1F6">
      <w:pPr>
        <w:snapToGrid w:val="0"/>
        <w:spacing w:line="360" w:lineRule="auto"/>
        <w:ind w:firstLine="420" w:firstLineChars="200"/>
        <w:rPr>
          <w:rFonts w:hint="eastAsia" w:ascii="宋体" w:hAnsi="宋体"/>
          <w:sz w:val="21"/>
          <w:szCs w:val="21"/>
        </w:rPr>
      </w:pPr>
      <w:r>
        <w:rPr>
          <w:rFonts w:hint="eastAsia" w:ascii="宋体" w:hAnsi="宋体"/>
          <w:sz w:val="21"/>
          <w:szCs w:val="21"/>
        </w:rPr>
        <w:t>（3）本基金持有的全部资产支持证券，其市值不得超过基金资产净值的20％；</w:t>
      </w:r>
    </w:p>
    <w:p w14:paraId="46BA39B0">
      <w:pPr>
        <w:snapToGrid w:val="0"/>
        <w:spacing w:line="360" w:lineRule="auto"/>
        <w:ind w:firstLine="420" w:firstLineChars="200"/>
        <w:rPr>
          <w:rFonts w:hint="eastAsia" w:ascii="宋体" w:hAnsi="宋体"/>
          <w:sz w:val="21"/>
          <w:szCs w:val="21"/>
        </w:rPr>
      </w:pPr>
      <w:r>
        <w:rPr>
          <w:rFonts w:hint="eastAsia" w:ascii="宋体" w:hAnsi="宋体"/>
          <w:sz w:val="21"/>
          <w:szCs w:val="21"/>
        </w:rPr>
        <w:t>（4）本基金投资于同一原始权益人的各类资产支持证券的比例，不得超过基金资产净值的10％；</w:t>
      </w:r>
    </w:p>
    <w:p w14:paraId="07F42F4E">
      <w:pPr>
        <w:snapToGrid w:val="0"/>
        <w:spacing w:line="360" w:lineRule="auto"/>
        <w:ind w:firstLine="420" w:firstLineChars="200"/>
        <w:rPr>
          <w:rFonts w:hint="eastAsia" w:ascii="宋体" w:hAnsi="宋体"/>
          <w:sz w:val="21"/>
          <w:szCs w:val="21"/>
        </w:rPr>
      </w:pPr>
      <w:r>
        <w:rPr>
          <w:rFonts w:hint="eastAsia" w:ascii="宋体" w:hAnsi="宋体"/>
          <w:sz w:val="21"/>
          <w:szCs w:val="21"/>
        </w:rPr>
        <w:t>（5）本基金持有的同一(指同一信用级别)资产支持证券的比例，不得超过该资产支持证券规模的10％；</w:t>
      </w:r>
    </w:p>
    <w:p w14:paraId="168A0BC1">
      <w:pPr>
        <w:snapToGrid w:val="0"/>
        <w:spacing w:line="360" w:lineRule="auto"/>
        <w:ind w:firstLine="420" w:firstLineChars="200"/>
        <w:rPr>
          <w:rFonts w:hint="eastAsia" w:ascii="宋体" w:hAnsi="宋体"/>
          <w:sz w:val="21"/>
          <w:szCs w:val="21"/>
        </w:rPr>
      </w:pPr>
      <w:r>
        <w:rPr>
          <w:rFonts w:hint="eastAsia" w:ascii="宋体" w:hAnsi="宋体"/>
          <w:sz w:val="21"/>
          <w:szCs w:val="21"/>
        </w:rPr>
        <w:t>（6）本基金管理人管理的全部基金投资于同一原始权益人的各类资产支持证券，不得超过其各类资产支持证券合计规模的10％；</w:t>
      </w:r>
    </w:p>
    <w:p w14:paraId="3B382013">
      <w:pPr>
        <w:snapToGrid w:val="0"/>
        <w:spacing w:line="360" w:lineRule="auto"/>
        <w:ind w:firstLine="420" w:firstLineChars="200"/>
        <w:rPr>
          <w:rFonts w:hint="eastAsia" w:ascii="宋体" w:hAnsi="宋体"/>
          <w:sz w:val="21"/>
          <w:szCs w:val="21"/>
        </w:rPr>
      </w:pPr>
      <w:r>
        <w:rPr>
          <w:rFonts w:hint="eastAsia" w:ascii="宋体" w:hAnsi="宋体"/>
          <w:sz w:val="21"/>
          <w:szCs w:val="21"/>
        </w:rPr>
        <w:t>（7）本基金应投资于信用级别评级为BBB以上(含BBB)的资产支持证券。基金持有资产支持证券期间，如果其信用等级下降、不再符合投资标准，应在评级报告发布之日起3个月内予以全部卖出；</w:t>
      </w:r>
    </w:p>
    <w:p w14:paraId="215B6E1A">
      <w:pPr>
        <w:snapToGrid w:val="0"/>
        <w:spacing w:line="360" w:lineRule="auto"/>
        <w:ind w:firstLine="420" w:firstLineChars="200"/>
        <w:rPr>
          <w:rFonts w:hint="eastAsia" w:ascii="宋体" w:hAnsi="宋体"/>
          <w:sz w:val="21"/>
          <w:szCs w:val="21"/>
        </w:rPr>
      </w:pPr>
      <w:r>
        <w:rPr>
          <w:rFonts w:hint="eastAsia" w:ascii="宋体" w:hAnsi="宋体"/>
          <w:sz w:val="21"/>
          <w:szCs w:val="21"/>
        </w:rPr>
        <w:t>（8）基金财产参与股票发行申购，本基金所申报的金额不超过本基金的总资产，本基金所申报的股票数量不超过拟发行股票公司本次发行股票的总量；</w:t>
      </w:r>
    </w:p>
    <w:p w14:paraId="3A58855B">
      <w:pPr>
        <w:snapToGrid w:val="0"/>
        <w:spacing w:line="360" w:lineRule="auto"/>
        <w:ind w:firstLine="420" w:firstLineChars="200"/>
        <w:rPr>
          <w:rFonts w:hint="eastAsia" w:ascii="宋体" w:hAnsi="宋体"/>
          <w:sz w:val="21"/>
          <w:szCs w:val="21"/>
        </w:rPr>
      </w:pPr>
      <w:r>
        <w:rPr>
          <w:rFonts w:hint="eastAsia" w:ascii="宋体" w:hAnsi="宋体"/>
          <w:sz w:val="21"/>
          <w:szCs w:val="21"/>
        </w:rPr>
        <w:t>（9）本基金资产总值不得超过基金资产净值的140%；</w:t>
      </w:r>
    </w:p>
    <w:p w14:paraId="48F39986">
      <w:pPr>
        <w:snapToGrid w:val="0"/>
        <w:spacing w:line="360" w:lineRule="auto"/>
        <w:ind w:firstLine="420" w:firstLineChars="200"/>
        <w:rPr>
          <w:rFonts w:hint="eastAsia" w:ascii="宋体" w:hAnsi="宋体"/>
          <w:sz w:val="21"/>
          <w:szCs w:val="21"/>
        </w:rPr>
      </w:pPr>
      <w:r>
        <w:rPr>
          <w:rFonts w:hint="eastAsia" w:ascii="宋体" w:hAnsi="宋体"/>
          <w:sz w:val="21"/>
          <w:szCs w:val="21"/>
        </w:rPr>
        <w:t>（10）本基金参与融资的，在任何交易日日终，本基金持有的融资买入股票与其他有价证券市值之和，不得超过基金资产净值的95%；</w:t>
      </w:r>
    </w:p>
    <w:p w14:paraId="406222AC">
      <w:pPr>
        <w:snapToGrid w:val="0"/>
        <w:spacing w:line="360" w:lineRule="auto"/>
        <w:ind w:firstLine="420" w:firstLineChars="200"/>
        <w:rPr>
          <w:rFonts w:hint="eastAsia" w:ascii="宋体" w:hAnsi="宋体"/>
          <w:sz w:val="21"/>
          <w:szCs w:val="21"/>
        </w:rPr>
      </w:pPr>
      <w:r>
        <w:rPr>
          <w:rFonts w:hint="eastAsia" w:ascii="宋体" w:hAnsi="宋体"/>
          <w:sz w:val="21"/>
          <w:szCs w:val="21"/>
        </w:rPr>
        <w:t>（11）本基金参与转融通证券出借交易应当符合以下要求：</w:t>
      </w:r>
    </w:p>
    <w:p w14:paraId="5A4E489C">
      <w:pPr>
        <w:snapToGrid w:val="0"/>
        <w:spacing w:line="360" w:lineRule="auto"/>
        <w:ind w:firstLine="420" w:firstLineChars="200"/>
        <w:rPr>
          <w:rFonts w:hint="eastAsia" w:ascii="宋体" w:hAnsi="宋体"/>
          <w:sz w:val="21"/>
          <w:szCs w:val="21"/>
        </w:rPr>
      </w:pPr>
      <w:r>
        <w:rPr>
          <w:rFonts w:hint="eastAsia" w:ascii="宋体" w:hAnsi="宋体"/>
          <w:sz w:val="21"/>
          <w:szCs w:val="21"/>
        </w:rPr>
        <w:t>1）出借证券资产不得超过基金资产净值的30%，出借期限在10个交易日以上的出借证券应纳入《流动性风险管理规定》所述流动性受限证券的范围；</w:t>
      </w:r>
    </w:p>
    <w:p w14:paraId="47BDBFAD">
      <w:pPr>
        <w:snapToGrid w:val="0"/>
        <w:spacing w:line="360" w:lineRule="auto"/>
        <w:ind w:firstLine="420" w:firstLineChars="200"/>
        <w:rPr>
          <w:rFonts w:hint="eastAsia" w:ascii="宋体" w:hAnsi="宋体"/>
          <w:sz w:val="21"/>
          <w:szCs w:val="21"/>
        </w:rPr>
      </w:pPr>
      <w:r>
        <w:rPr>
          <w:rFonts w:hint="eastAsia" w:ascii="宋体" w:hAnsi="宋体"/>
          <w:sz w:val="21"/>
          <w:szCs w:val="21"/>
        </w:rPr>
        <w:t>2）参与出借业务的单只证券不得超过基金持有该证券总量的30%；</w:t>
      </w:r>
    </w:p>
    <w:p w14:paraId="1B0BF7DA">
      <w:pPr>
        <w:snapToGrid w:val="0"/>
        <w:spacing w:line="360" w:lineRule="auto"/>
        <w:ind w:firstLine="420" w:firstLineChars="200"/>
        <w:rPr>
          <w:rFonts w:hint="eastAsia" w:ascii="宋体" w:hAnsi="宋体"/>
          <w:sz w:val="21"/>
          <w:szCs w:val="21"/>
        </w:rPr>
      </w:pPr>
      <w:r>
        <w:rPr>
          <w:rFonts w:hint="eastAsia" w:ascii="宋体" w:hAnsi="宋体"/>
          <w:sz w:val="21"/>
          <w:szCs w:val="21"/>
        </w:rPr>
        <w:t>3）最近6个月内日均基金资产净值不得低于2亿元；</w:t>
      </w:r>
    </w:p>
    <w:p w14:paraId="73812AE8">
      <w:pPr>
        <w:snapToGrid w:val="0"/>
        <w:spacing w:line="360" w:lineRule="auto"/>
        <w:ind w:firstLine="420" w:firstLineChars="200"/>
        <w:rPr>
          <w:rFonts w:hint="eastAsia" w:ascii="宋体" w:hAnsi="宋体"/>
          <w:sz w:val="21"/>
          <w:szCs w:val="21"/>
        </w:rPr>
      </w:pPr>
      <w:r>
        <w:rPr>
          <w:rFonts w:hint="eastAsia" w:ascii="宋体" w:hAnsi="宋体"/>
          <w:sz w:val="21"/>
          <w:szCs w:val="21"/>
        </w:rPr>
        <w:t>4）证券出借的平均剩余期限不得超过30天，平均剩余期限按照市值加权平均计算；</w:t>
      </w:r>
    </w:p>
    <w:p w14:paraId="298CCCE6">
      <w:pPr>
        <w:snapToGrid w:val="0"/>
        <w:spacing w:line="360" w:lineRule="auto"/>
        <w:ind w:firstLine="420" w:firstLineChars="200"/>
        <w:rPr>
          <w:rFonts w:hint="eastAsia" w:ascii="宋体" w:hAnsi="宋体"/>
          <w:sz w:val="21"/>
          <w:szCs w:val="21"/>
        </w:rPr>
      </w:pPr>
      <w:r>
        <w:rPr>
          <w:rFonts w:hint="eastAsia" w:ascii="宋体" w:hAnsi="宋体"/>
          <w:sz w:val="21"/>
          <w:szCs w:val="21"/>
        </w:rPr>
        <w:t>因证券市场波动、上市公司合并、基金规模变动等基金管理人之外的因素致使基金投资不符合上述规定的，基金管理人不得新增出借业务；</w:t>
      </w:r>
    </w:p>
    <w:p w14:paraId="524064F5">
      <w:pPr>
        <w:snapToGrid w:val="0"/>
        <w:spacing w:line="360" w:lineRule="auto"/>
        <w:ind w:firstLine="420" w:firstLineChars="200"/>
        <w:rPr>
          <w:rFonts w:hint="eastAsia" w:ascii="宋体" w:hAnsi="宋体"/>
          <w:sz w:val="21"/>
          <w:szCs w:val="21"/>
        </w:rPr>
      </w:pPr>
      <w:r>
        <w:rPr>
          <w:rFonts w:hint="eastAsia" w:ascii="宋体" w:hAnsi="宋体"/>
          <w:sz w:val="21"/>
          <w:szCs w:val="21"/>
        </w:rPr>
        <w:t>（12）本基金参与股指期货、国债期货交易的，应当依据下列标准建构组合：</w:t>
      </w:r>
    </w:p>
    <w:p w14:paraId="202874C5">
      <w:pPr>
        <w:snapToGrid w:val="0"/>
        <w:spacing w:line="360" w:lineRule="auto"/>
        <w:ind w:firstLine="420" w:firstLineChars="200"/>
        <w:rPr>
          <w:rFonts w:hint="eastAsia" w:ascii="宋体" w:hAnsi="宋体"/>
          <w:sz w:val="21"/>
          <w:szCs w:val="21"/>
        </w:rPr>
      </w:pPr>
      <w:r>
        <w:rPr>
          <w:rFonts w:hint="eastAsia" w:ascii="宋体" w:hAnsi="宋体"/>
          <w:sz w:val="21"/>
          <w:szCs w:val="21"/>
        </w:rPr>
        <w:t>1）在任何交易日日终，持有的买入股指期货合约价值，不得超过基金资产净值的10%；在任何交易日日终，持有的买入国债期货合约价值，不得超过基金资产净值的15%；</w:t>
      </w:r>
    </w:p>
    <w:p w14:paraId="718E6C96">
      <w:pPr>
        <w:snapToGrid w:val="0"/>
        <w:spacing w:line="360" w:lineRule="auto"/>
        <w:ind w:firstLine="420" w:firstLineChars="200"/>
        <w:rPr>
          <w:rFonts w:hint="eastAsia" w:ascii="宋体" w:hAnsi="宋体"/>
          <w:sz w:val="21"/>
          <w:szCs w:val="21"/>
        </w:rPr>
      </w:pPr>
      <w:r>
        <w:rPr>
          <w:rFonts w:hint="eastAsia" w:ascii="宋体" w:hAnsi="宋体"/>
          <w:sz w:val="21"/>
          <w:szCs w:val="21"/>
        </w:rPr>
        <w:t>2）在任何交易日日终，持有的买入期货合约价值与有价证券市值之和，不得超过基金资产净值的100%，其中，有价证券指股票、债券（不含到期日在一年以内的政府债券）、资产支持证券、买入返售金融资产（不含质押式回购）等；</w:t>
      </w:r>
    </w:p>
    <w:p w14:paraId="446B6EBF">
      <w:pPr>
        <w:snapToGrid w:val="0"/>
        <w:spacing w:line="360" w:lineRule="auto"/>
        <w:ind w:firstLine="420" w:firstLineChars="200"/>
        <w:rPr>
          <w:rFonts w:hint="eastAsia" w:ascii="宋体" w:hAnsi="宋体"/>
          <w:sz w:val="21"/>
          <w:szCs w:val="21"/>
        </w:rPr>
      </w:pPr>
      <w:r>
        <w:rPr>
          <w:rFonts w:hint="eastAsia" w:ascii="宋体" w:hAnsi="宋体"/>
          <w:sz w:val="21"/>
          <w:szCs w:val="21"/>
        </w:rPr>
        <w:t>3）在任何交易日日终，持有的卖出股指期货合约价值不得超过基金持有的股票总市值的20%；在任何交易日日终，持有的卖出国债期货合约价值不得超过基金持有的债券总市值的30%；</w:t>
      </w:r>
    </w:p>
    <w:p w14:paraId="1E2FFD14">
      <w:pPr>
        <w:snapToGrid w:val="0"/>
        <w:spacing w:line="360" w:lineRule="auto"/>
        <w:ind w:firstLine="420" w:firstLineChars="200"/>
        <w:rPr>
          <w:rFonts w:hint="eastAsia" w:ascii="宋体" w:hAnsi="宋体"/>
          <w:sz w:val="21"/>
          <w:szCs w:val="21"/>
        </w:rPr>
      </w:pPr>
      <w:r>
        <w:rPr>
          <w:rFonts w:hint="eastAsia" w:ascii="宋体" w:hAnsi="宋体"/>
          <w:sz w:val="21"/>
          <w:szCs w:val="21"/>
        </w:rPr>
        <w:t>4）在任何交易日内交易（不包括平仓）的股指期货合约的成交金额不得超过上一交易日基金资产净值的20%；在任何交易日内交易（不包括平仓）的国债期货合约的成交金额不得超过上一交易日基金资产净值的30%；</w:t>
      </w:r>
    </w:p>
    <w:p w14:paraId="20B60100">
      <w:pPr>
        <w:snapToGrid w:val="0"/>
        <w:spacing w:line="360" w:lineRule="auto"/>
        <w:ind w:firstLine="420" w:firstLineChars="200"/>
        <w:rPr>
          <w:rFonts w:hint="eastAsia" w:ascii="宋体" w:hAnsi="宋体"/>
          <w:sz w:val="21"/>
          <w:szCs w:val="21"/>
        </w:rPr>
      </w:pPr>
      <w:r>
        <w:rPr>
          <w:rFonts w:hint="eastAsia" w:ascii="宋体" w:hAnsi="宋体"/>
          <w:sz w:val="21"/>
          <w:szCs w:val="21"/>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088F00A5">
      <w:pPr>
        <w:snapToGrid w:val="0"/>
        <w:spacing w:line="360" w:lineRule="auto"/>
        <w:ind w:firstLine="420" w:firstLineChars="200"/>
        <w:rPr>
          <w:rFonts w:hint="eastAsia" w:ascii="宋体" w:hAnsi="宋体"/>
          <w:sz w:val="21"/>
          <w:szCs w:val="21"/>
        </w:rPr>
      </w:pPr>
      <w:r>
        <w:rPr>
          <w:rFonts w:hint="eastAsia" w:ascii="宋体" w:hAnsi="宋体"/>
          <w:sz w:val="21"/>
          <w:szCs w:val="21"/>
        </w:rPr>
        <w:t>（13）本基金投资股票期权应当符合以下要求：</w:t>
      </w:r>
    </w:p>
    <w:p w14:paraId="5128B9D9">
      <w:pPr>
        <w:snapToGrid w:val="0"/>
        <w:spacing w:line="360" w:lineRule="auto"/>
        <w:ind w:firstLine="420" w:firstLineChars="200"/>
        <w:rPr>
          <w:rFonts w:hint="eastAsia" w:ascii="宋体" w:hAnsi="宋体"/>
          <w:sz w:val="21"/>
          <w:szCs w:val="21"/>
        </w:rPr>
      </w:pPr>
      <w:r>
        <w:rPr>
          <w:rFonts w:hint="eastAsia" w:ascii="宋体" w:hAnsi="宋体"/>
          <w:sz w:val="21"/>
          <w:szCs w:val="21"/>
        </w:rPr>
        <w:t>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w:t>
      </w:r>
    </w:p>
    <w:p w14:paraId="301D0296">
      <w:pPr>
        <w:snapToGrid w:val="0"/>
        <w:spacing w:line="360" w:lineRule="auto"/>
        <w:ind w:firstLine="420" w:firstLineChars="200"/>
        <w:rPr>
          <w:rFonts w:hint="eastAsia" w:ascii="宋体" w:hAnsi="宋体"/>
          <w:sz w:val="21"/>
          <w:szCs w:val="21"/>
        </w:rPr>
      </w:pPr>
      <w:r>
        <w:rPr>
          <w:rFonts w:hint="eastAsia" w:ascii="宋体" w:hAnsi="宋体"/>
          <w:sz w:val="21"/>
          <w:szCs w:val="21"/>
        </w:rPr>
        <w:t>（14）本基金投资流通受限证券，基金管理人应制订严格的投资决策流程和风险控制制度，防范流动性风险、法律风险和操作风险等各种风险；</w:t>
      </w:r>
    </w:p>
    <w:p w14:paraId="071A9D78">
      <w:pPr>
        <w:snapToGrid w:val="0"/>
        <w:spacing w:line="360" w:lineRule="auto"/>
        <w:ind w:firstLine="420" w:firstLineChars="200"/>
        <w:rPr>
          <w:rFonts w:hint="eastAsia" w:ascii="宋体" w:hAnsi="宋体"/>
          <w:sz w:val="21"/>
          <w:szCs w:val="21"/>
        </w:rPr>
      </w:pPr>
      <w:r>
        <w:rPr>
          <w:rFonts w:hint="eastAsia" w:ascii="宋体" w:hAnsi="宋体"/>
          <w:sz w:val="21"/>
          <w:szCs w:val="21"/>
        </w:rPr>
        <w:t>（15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6B5D188C">
      <w:pPr>
        <w:snapToGrid w:val="0"/>
        <w:spacing w:line="360" w:lineRule="auto"/>
        <w:ind w:firstLine="420" w:firstLineChars="200"/>
        <w:rPr>
          <w:rFonts w:hint="eastAsia" w:ascii="宋体" w:hAnsi="宋体"/>
          <w:sz w:val="21"/>
          <w:szCs w:val="21"/>
        </w:rPr>
      </w:pPr>
      <w:r>
        <w:rPr>
          <w:rFonts w:hint="eastAsia" w:ascii="宋体" w:hAnsi="宋体"/>
          <w:sz w:val="21"/>
          <w:szCs w:val="21"/>
        </w:rPr>
        <w:t>（16）本基金与私募类证券资管产品及中国证监会认定的其他主体为交易对手开展逆回购交易的，可接受质押品的资质要求应当与本基金合同约定的投资范围保持一致；</w:t>
      </w:r>
    </w:p>
    <w:p w14:paraId="47ECDBC6">
      <w:pPr>
        <w:snapToGrid w:val="0"/>
        <w:spacing w:line="360" w:lineRule="auto"/>
        <w:ind w:firstLine="420" w:firstLineChars="200"/>
        <w:rPr>
          <w:rFonts w:hint="eastAsia" w:ascii="宋体" w:hAnsi="宋体"/>
          <w:sz w:val="21"/>
          <w:szCs w:val="21"/>
        </w:rPr>
      </w:pPr>
      <w:r>
        <w:rPr>
          <w:rFonts w:hint="eastAsia" w:ascii="宋体" w:hAnsi="宋体"/>
          <w:sz w:val="21"/>
          <w:szCs w:val="21"/>
        </w:rPr>
        <w:t>（17）本基金投资存托凭证的比例限制依照境内上市交易的股票执行，与境内上市交易的股票合并计算；</w:t>
      </w:r>
    </w:p>
    <w:p w14:paraId="6CAC8DC2">
      <w:pPr>
        <w:snapToGrid w:val="0"/>
        <w:spacing w:line="360" w:lineRule="auto"/>
        <w:ind w:firstLine="420" w:firstLineChars="200"/>
        <w:rPr>
          <w:rFonts w:hint="eastAsia" w:ascii="宋体" w:hAnsi="宋体"/>
          <w:sz w:val="21"/>
          <w:szCs w:val="21"/>
        </w:rPr>
      </w:pPr>
      <w:r>
        <w:rPr>
          <w:rFonts w:hint="eastAsia" w:ascii="宋体" w:hAnsi="宋体"/>
          <w:sz w:val="21"/>
          <w:szCs w:val="21"/>
        </w:rPr>
        <w:t>（18）法律法规及中国证监会规定的和《基金合同》约定的其他投资限制。</w:t>
      </w:r>
    </w:p>
    <w:p w14:paraId="7B103E11">
      <w:pPr>
        <w:snapToGrid w:val="0"/>
        <w:spacing w:line="360" w:lineRule="auto"/>
        <w:ind w:firstLine="420" w:firstLineChars="200"/>
        <w:rPr>
          <w:rFonts w:hint="eastAsia" w:ascii="宋体" w:hAnsi="宋体"/>
          <w:sz w:val="21"/>
          <w:szCs w:val="21"/>
        </w:rPr>
      </w:pPr>
      <w:r>
        <w:rPr>
          <w:rFonts w:hint="eastAsia" w:ascii="宋体" w:hAnsi="宋体"/>
          <w:sz w:val="21"/>
          <w:szCs w:val="21"/>
        </w:rPr>
        <w:t>除第（2）、（7）、（11）、（15）、（16）条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6C02A087">
      <w:pPr>
        <w:snapToGrid w:val="0"/>
        <w:spacing w:line="360" w:lineRule="auto"/>
        <w:ind w:firstLine="420" w:firstLineChars="200"/>
        <w:rPr>
          <w:rFonts w:hint="eastAsia" w:ascii="宋体" w:hAnsi="宋体"/>
          <w:sz w:val="21"/>
          <w:szCs w:val="21"/>
        </w:rPr>
      </w:pPr>
      <w:r>
        <w:rPr>
          <w:rFonts w:hint="eastAsia" w:ascii="宋体" w:hAnsi="宋体"/>
          <w:sz w:val="21"/>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7FCB9F93">
      <w:pPr>
        <w:snapToGrid w:val="0"/>
        <w:spacing w:line="360" w:lineRule="auto"/>
        <w:ind w:firstLine="420" w:firstLineChars="200"/>
        <w:rPr>
          <w:rFonts w:hint="eastAsia" w:ascii="宋体" w:hAnsi="宋体"/>
          <w:sz w:val="21"/>
          <w:szCs w:val="21"/>
        </w:rPr>
      </w:pPr>
      <w:r>
        <w:rPr>
          <w:rFonts w:hint="eastAsia" w:ascii="宋体" w:hAnsi="宋体"/>
          <w:sz w:val="21"/>
          <w:szCs w:val="21"/>
        </w:rPr>
        <w:t>法律法规或监管部门取消或调整上述限制，如适用于本基金，基金管理人在与基金托管人协商一致并履行适当程序后，则本基金投资不再受相关限制或按照调整后的规定执行。</w:t>
      </w:r>
    </w:p>
    <w:p w14:paraId="28308C91">
      <w:pPr>
        <w:snapToGrid w:val="0"/>
        <w:spacing w:line="360" w:lineRule="auto"/>
        <w:ind w:firstLine="420" w:firstLineChars="200"/>
        <w:rPr>
          <w:rFonts w:hint="eastAsia" w:ascii="宋体" w:hAnsi="宋体"/>
          <w:sz w:val="21"/>
          <w:szCs w:val="21"/>
        </w:rPr>
      </w:pPr>
      <w:r>
        <w:rPr>
          <w:rFonts w:hint="eastAsia" w:ascii="宋体" w:hAnsi="宋体"/>
          <w:sz w:val="21"/>
          <w:szCs w:val="21"/>
        </w:rPr>
        <w:t>2、禁止行为</w:t>
      </w:r>
    </w:p>
    <w:p w14:paraId="752BE36C">
      <w:pPr>
        <w:snapToGrid w:val="0"/>
        <w:spacing w:line="360" w:lineRule="auto"/>
        <w:ind w:firstLine="420" w:firstLineChars="200"/>
        <w:rPr>
          <w:rFonts w:hint="eastAsia" w:ascii="宋体" w:hAnsi="宋体"/>
          <w:sz w:val="21"/>
          <w:szCs w:val="21"/>
        </w:rPr>
      </w:pPr>
      <w:r>
        <w:rPr>
          <w:rFonts w:hint="eastAsia" w:ascii="宋体" w:hAnsi="宋体"/>
          <w:sz w:val="21"/>
          <w:szCs w:val="21"/>
        </w:rPr>
        <w:t>为维护基金份额持有人的合法权益，基金财产不得用于下列投资或者活动：</w:t>
      </w:r>
    </w:p>
    <w:p w14:paraId="1DCF7432">
      <w:pPr>
        <w:snapToGrid w:val="0"/>
        <w:spacing w:line="360" w:lineRule="auto"/>
        <w:ind w:firstLine="420" w:firstLineChars="200"/>
        <w:rPr>
          <w:rFonts w:hint="eastAsia" w:ascii="宋体" w:hAnsi="宋体"/>
          <w:sz w:val="21"/>
          <w:szCs w:val="21"/>
        </w:rPr>
      </w:pPr>
      <w:r>
        <w:rPr>
          <w:rFonts w:hint="eastAsia" w:ascii="宋体" w:hAnsi="宋体"/>
          <w:sz w:val="21"/>
          <w:szCs w:val="21"/>
        </w:rPr>
        <w:t>（1）承销证券；</w:t>
      </w:r>
    </w:p>
    <w:p w14:paraId="745B0583">
      <w:pPr>
        <w:snapToGrid w:val="0"/>
        <w:spacing w:line="360" w:lineRule="auto"/>
        <w:ind w:firstLine="420" w:firstLineChars="200"/>
        <w:rPr>
          <w:rFonts w:hint="eastAsia" w:ascii="宋体" w:hAnsi="宋体"/>
          <w:sz w:val="21"/>
          <w:szCs w:val="21"/>
        </w:rPr>
      </w:pPr>
      <w:r>
        <w:rPr>
          <w:rFonts w:hint="eastAsia" w:ascii="宋体" w:hAnsi="宋体"/>
          <w:sz w:val="21"/>
          <w:szCs w:val="21"/>
        </w:rPr>
        <w:t>（2）违反规定向他人贷款或者提供担保；</w:t>
      </w:r>
    </w:p>
    <w:p w14:paraId="5C71BBDA">
      <w:pPr>
        <w:snapToGrid w:val="0"/>
        <w:spacing w:line="360" w:lineRule="auto"/>
        <w:ind w:firstLine="420" w:firstLineChars="200"/>
        <w:rPr>
          <w:rFonts w:hint="eastAsia" w:ascii="宋体" w:hAnsi="宋体"/>
          <w:sz w:val="21"/>
          <w:szCs w:val="21"/>
        </w:rPr>
      </w:pPr>
      <w:r>
        <w:rPr>
          <w:rFonts w:hint="eastAsia" w:ascii="宋体" w:hAnsi="宋体"/>
          <w:sz w:val="21"/>
          <w:szCs w:val="21"/>
        </w:rPr>
        <w:t>（3）从事承担无限责任的投资；</w:t>
      </w:r>
    </w:p>
    <w:p w14:paraId="4CFDA759">
      <w:pPr>
        <w:snapToGrid w:val="0"/>
        <w:spacing w:line="360" w:lineRule="auto"/>
        <w:ind w:firstLine="420" w:firstLineChars="200"/>
        <w:rPr>
          <w:rFonts w:hint="eastAsia" w:ascii="宋体" w:hAnsi="宋体"/>
          <w:sz w:val="21"/>
          <w:szCs w:val="21"/>
        </w:rPr>
      </w:pPr>
      <w:r>
        <w:rPr>
          <w:rFonts w:hint="eastAsia" w:ascii="宋体" w:hAnsi="宋体"/>
          <w:sz w:val="21"/>
          <w:szCs w:val="21"/>
        </w:rPr>
        <w:t>（4）买卖其他基金份额，但是中国证监会另有规定的除外；</w:t>
      </w:r>
    </w:p>
    <w:p w14:paraId="31074E09">
      <w:pPr>
        <w:snapToGrid w:val="0"/>
        <w:spacing w:line="360" w:lineRule="auto"/>
        <w:ind w:firstLine="420" w:firstLineChars="200"/>
        <w:rPr>
          <w:rFonts w:hint="eastAsia" w:ascii="宋体" w:hAnsi="宋体"/>
          <w:sz w:val="21"/>
          <w:szCs w:val="21"/>
        </w:rPr>
      </w:pPr>
      <w:r>
        <w:rPr>
          <w:rFonts w:hint="eastAsia" w:ascii="宋体" w:hAnsi="宋体"/>
          <w:sz w:val="21"/>
          <w:szCs w:val="21"/>
        </w:rPr>
        <w:t>（5）向其基金管理人、基金托管人出资；</w:t>
      </w:r>
    </w:p>
    <w:p w14:paraId="3CF88471">
      <w:pPr>
        <w:snapToGrid w:val="0"/>
        <w:spacing w:line="360" w:lineRule="auto"/>
        <w:ind w:firstLine="420" w:firstLineChars="200"/>
        <w:rPr>
          <w:rFonts w:hint="eastAsia" w:ascii="宋体" w:hAnsi="宋体"/>
          <w:sz w:val="21"/>
          <w:szCs w:val="21"/>
        </w:rPr>
      </w:pPr>
      <w:r>
        <w:rPr>
          <w:rFonts w:hint="eastAsia" w:ascii="宋体" w:hAnsi="宋体"/>
          <w:sz w:val="21"/>
          <w:szCs w:val="21"/>
        </w:rPr>
        <w:t>（6）从事内幕交易、操纵证券交易价格及其他不正当的证券交易活动；</w:t>
      </w:r>
    </w:p>
    <w:p w14:paraId="63588DC2">
      <w:pPr>
        <w:snapToGrid w:val="0"/>
        <w:spacing w:line="360" w:lineRule="auto"/>
        <w:ind w:firstLine="420" w:firstLineChars="200"/>
        <w:rPr>
          <w:rFonts w:hint="eastAsia" w:ascii="宋体" w:hAnsi="宋体"/>
          <w:sz w:val="21"/>
          <w:szCs w:val="21"/>
        </w:rPr>
      </w:pPr>
      <w:r>
        <w:rPr>
          <w:rFonts w:hint="eastAsia" w:ascii="宋体" w:hAnsi="宋体"/>
          <w:sz w:val="21"/>
          <w:szCs w:val="21"/>
        </w:rPr>
        <w:t>（7）法律、行政法规和中国证监会规定禁止的其他活动。</w:t>
      </w:r>
    </w:p>
    <w:p w14:paraId="10BB1322">
      <w:pPr>
        <w:snapToGrid w:val="0"/>
        <w:spacing w:line="360" w:lineRule="auto"/>
        <w:ind w:firstLine="420" w:firstLineChars="200"/>
        <w:rPr>
          <w:rFonts w:hint="eastAsia" w:ascii="宋体" w:hAnsi="宋体"/>
          <w:sz w:val="21"/>
          <w:szCs w:val="21"/>
        </w:rPr>
      </w:pPr>
      <w:r>
        <w:rPr>
          <w:rFonts w:hint="eastAsia" w:ascii="宋体" w:hAnsi="宋体"/>
          <w:sz w:val="21"/>
          <w:szCs w:val="21"/>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47354D6C">
      <w:pPr>
        <w:snapToGrid w:val="0"/>
        <w:spacing w:line="360" w:lineRule="auto"/>
        <w:ind w:firstLine="420" w:firstLineChars="200"/>
        <w:rPr>
          <w:rFonts w:hint="eastAsia" w:ascii="宋体" w:hAnsi="宋体"/>
          <w:sz w:val="21"/>
          <w:szCs w:val="21"/>
        </w:rPr>
      </w:pPr>
      <w:r>
        <w:rPr>
          <w:rFonts w:hint="eastAsia" w:ascii="宋体" w:hAnsi="宋体"/>
          <w:sz w:val="21"/>
          <w:szCs w:val="21"/>
        </w:rPr>
        <w:t>法律、行政法规或监管部门取消或调整上述限制，如适用于本基金，基金管理人在履行适当程序后，则本基金投资不再受相关限制或按照调整后的规定执行。</w:t>
      </w:r>
    </w:p>
    <w:p w14:paraId="47485DDB">
      <w:pPr>
        <w:snapToGrid w:val="0"/>
        <w:spacing w:line="360" w:lineRule="auto"/>
        <w:ind w:firstLine="420" w:firstLineChars="200"/>
        <w:rPr>
          <w:rFonts w:ascii="宋体" w:hAnsi="宋体"/>
          <w:sz w:val="21"/>
          <w:szCs w:val="21"/>
        </w:rPr>
      </w:pPr>
      <w:r>
        <w:rPr>
          <w:rFonts w:hint="eastAsia" w:ascii="宋体" w:hAnsi="宋体"/>
          <w:sz w:val="21"/>
          <w:szCs w:val="21"/>
        </w:rPr>
        <w:t>六、基金资产净值的计算方法和公告方式</w:t>
      </w:r>
    </w:p>
    <w:p w14:paraId="491A3089">
      <w:pPr>
        <w:snapToGrid w:val="0"/>
        <w:spacing w:line="360" w:lineRule="auto"/>
        <w:ind w:firstLine="420" w:firstLineChars="200"/>
        <w:rPr>
          <w:rFonts w:ascii="宋体" w:hAnsi="宋体"/>
          <w:sz w:val="21"/>
          <w:szCs w:val="21"/>
        </w:rPr>
      </w:pPr>
      <w:r>
        <w:rPr>
          <w:rFonts w:hint="eastAsia" w:ascii="宋体" w:hAnsi="宋体"/>
          <w:sz w:val="21"/>
          <w:szCs w:val="21"/>
        </w:rPr>
        <w:t>（一）基金资产净值的计算方式</w:t>
      </w:r>
    </w:p>
    <w:p w14:paraId="6D82D6A0">
      <w:pPr>
        <w:snapToGrid w:val="0"/>
        <w:spacing w:line="360" w:lineRule="auto"/>
        <w:ind w:firstLine="420" w:firstLineChars="200"/>
        <w:rPr>
          <w:rFonts w:ascii="宋体" w:hAnsi="宋体"/>
          <w:sz w:val="21"/>
          <w:szCs w:val="21"/>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基金资产净值是指基金资产总值减去基金负债后的价值。</w:t>
      </w:r>
    </w:p>
    <w:p w14:paraId="277DCEEB">
      <w:pPr>
        <w:snapToGrid w:val="0"/>
        <w:spacing w:line="360" w:lineRule="auto"/>
        <w:ind w:firstLine="420" w:firstLineChars="200"/>
        <w:rPr>
          <w:rFonts w:ascii="宋体" w:hAnsi="宋体"/>
          <w:sz w:val="21"/>
          <w:szCs w:val="21"/>
        </w:rPr>
      </w:pPr>
      <w:r>
        <w:rPr>
          <w:rFonts w:ascii="宋体" w:hAnsi="宋体"/>
          <w:sz w:val="21"/>
          <w:szCs w:val="21"/>
        </w:rPr>
        <w:t>（</w:t>
      </w:r>
      <w:r>
        <w:rPr>
          <w:rFonts w:hint="eastAsia" w:ascii="宋体" w:hAnsi="宋体"/>
          <w:sz w:val="21"/>
          <w:szCs w:val="21"/>
        </w:rPr>
        <w:t>二</w:t>
      </w:r>
      <w:r>
        <w:rPr>
          <w:rFonts w:ascii="宋体" w:hAnsi="宋体"/>
          <w:sz w:val="21"/>
          <w:szCs w:val="21"/>
        </w:rPr>
        <w:t>）</w:t>
      </w:r>
      <w:r>
        <w:rPr>
          <w:rFonts w:hint="eastAsia" w:ascii="宋体" w:hAnsi="宋体"/>
          <w:sz w:val="21"/>
          <w:szCs w:val="21"/>
        </w:rPr>
        <w:t>估值方法</w:t>
      </w:r>
    </w:p>
    <w:p w14:paraId="01709E93">
      <w:pPr>
        <w:snapToGrid w:val="0"/>
        <w:spacing w:line="360" w:lineRule="auto"/>
        <w:ind w:firstLine="420" w:firstLineChars="200"/>
        <w:rPr>
          <w:rFonts w:hint="eastAsia" w:ascii="宋体" w:hAnsi="宋体"/>
          <w:sz w:val="21"/>
          <w:szCs w:val="21"/>
        </w:rPr>
      </w:pPr>
      <w:r>
        <w:rPr>
          <w:rFonts w:hint="eastAsia" w:ascii="宋体" w:hAnsi="宋体"/>
          <w:sz w:val="21"/>
          <w:szCs w:val="21"/>
        </w:rPr>
        <w:t>1、交易所上市或挂牌转让的有价证券（包括股票等，本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3C52F31C">
      <w:pPr>
        <w:snapToGrid w:val="0"/>
        <w:spacing w:line="360" w:lineRule="auto"/>
        <w:ind w:firstLine="420" w:firstLineChars="200"/>
        <w:rPr>
          <w:rFonts w:hint="eastAsia" w:ascii="宋体" w:hAnsi="宋体"/>
          <w:sz w:val="21"/>
          <w:szCs w:val="21"/>
        </w:rPr>
      </w:pPr>
      <w:r>
        <w:rPr>
          <w:rFonts w:hint="eastAsia" w:ascii="宋体" w:hAnsi="宋体"/>
          <w:sz w:val="21"/>
          <w:szCs w:val="21"/>
        </w:rPr>
        <w:t>2、对于已上市或已挂牌转让的不含权固定收益品种，选取估值日第三方估值基准服务机构提供的相应品种当日的估值全价进行估值。</w:t>
      </w:r>
    </w:p>
    <w:p w14:paraId="2DB24996">
      <w:pPr>
        <w:snapToGrid w:val="0"/>
        <w:spacing w:line="360" w:lineRule="auto"/>
        <w:ind w:firstLine="420" w:firstLineChars="200"/>
        <w:rPr>
          <w:rFonts w:hint="eastAsia" w:ascii="宋体" w:hAnsi="宋体"/>
          <w:sz w:val="21"/>
          <w:szCs w:val="21"/>
        </w:rPr>
      </w:pPr>
      <w:r>
        <w:rPr>
          <w:rFonts w:hint="eastAsia" w:ascii="宋体" w:hAnsi="宋体"/>
          <w:sz w:val="21"/>
          <w:szCs w:val="21"/>
        </w:rPr>
        <w:t>3、对于已上市或已挂牌转让的含权固定收益品种，选取估值日第三方估值基准服务机构提供的相应品种当日的唯一估值全价或推荐估值全价进行估值。</w:t>
      </w:r>
    </w:p>
    <w:p w14:paraId="6C5E3961">
      <w:pPr>
        <w:snapToGrid w:val="0"/>
        <w:spacing w:line="360" w:lineRule="auto"/>
        <w:ind w:firstLine="420" w:firstLineChars="200"/>
        <w:rPr>
          <w:rFonts w:hint="eastAsia" w:ascii="宋体" w:hAnsi="宋体"/>
          <w:sz w:val="21"/>
          <w:szCs w:val="21"/>
        </w:rPr>
      </w:pPr>
      <w:r>
        <w:rPr>
          <w:rFonts w:hint="eastAsia" w:ascii="宋体" w:hAnsi="宋体"/>
          <w:sz w:val="21"/>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26013E51">
      <w:pPr>
        <w:snapToGrid w:val="0"/>
        <w:spacing w:line="360" w:lineRule="auto"/>
        <w:ind w:firstLine="420" w:firstLineChars="200"/>
        <w:rPr>
          <w:rFonts w:hint="eastAsia" w:ascii="宋体" w:hAnsi="宋体"/>
          <w:sz w:val="21"/>
          <w:szCs w:val="21"/>
        </w:rPr>
      </w:pPr>
      <w:r>
        <w:rPr>
          <w:rFonts w:hint="eastAsia" w:ascii="宋体" w:hAnsi="宋体"/>
          <w:sz w:val="21"/>
          <w:szCs w:val="21"/>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2A03D7AB">
      <w:pPr>
        <w:snapToGrid w:val="0"/>
        <w:spacing w:line="360" w:lineRule="auto"/>
        <w:ind w:firstLine="420" w:firstLineChars="200"/>
        <w:rPr>
          <w:rFonts w:hint="eastAsia" w:ascii="宋体" w:hAnsi="宋体"/>
          <w:sz w:val="21"/>
          <w:szCs w:val="21"/>
        </w:rPr>
      </w:pPr>
      <w:r>
        <w:rPr>
          <w:rFonts w:hint="eastAsia" w:ascii="宋体" w:hAnsi="宋体"/>
          <w:sz w:val="21"/>
          <w:szCs w:val="21"/>
        </w:rPr>
        <w:t>5、对于未上市或未挂牌转让且不存在活跃市场的固定收益品种，应采用在当前情况下适用并且有足够可利用数据和其他信息支持的估值技术确定其公允价值。</w:t>
      </w:r>
    </w:p>
    <w:p w14:paraId="0847E4DF">
      <w:pPr>
        <w:snapToGrid w:val="0"/>
        <w:spacing w:line="360" w:lineRule="auto"/>
        <w:ind w:firstLine="420" w:firstLineChars="200"/>
        <w:rPr>
          <w:rFonts w:hint="eastAsia" w:ascii="宋体" w:hAnsi="宋体"/>
          <w:sz w:val="21"/>
          <w:szCs w:val="21"/>
        </w:rPr>
      </w:pPr>
      <w:r>
        <w:rPr>
          <w:rFonts w:hint="eastAsia" w:ascii="宋体" w:hAnsi="宋体"/>
          <w:sz w:val="21"/>
          <w:szCs w:val="21"/>
        </w:rPr>
        <w:t>6、处于未上市期间的有价证券应区分如下情况处理：</w:t>
      </w:r>
    </w:p>
    <w:p w14:paraId="2083C7A3">
      <w:pPr>
        <w:snapToGrid w:val="0"/>
        <w:spacing w:line="360" w:lineRule="auto"/>
        <w:ind w:firstLine="420" w:firstLineChars="200"/>
        <w:rPr>
          <w:rFonts w:hint="eastAsia" w:ascii="宋体" w:hAnsi="宋体"/>
          <w:sz w:val="21"/>
          <w:szCs w:val="21"/>
        </w:rPr>
      </w:pPr>
      <w:r>
        <w:rPr>
          <w:rFonts w:hint="eastAsia" w:ascii="宋体" w:hAnsi="宋体"/>
          <w:sz w:val="21"/>
          <w:szCs w:val="21"/>
        </w:rPr>
        <w:t>（1）送股、转增股、配股和公开增发的新股，按估值日在证券交易所挂牌的同一股票的估值方法估值；该日无交易的，以最近一日的市价（收盘价）估值；</w:t>
      </w:r>
    </w:p>
    <w:p w14:paraId="79E0A109">
      <w:pPr>
        <w:snapToGrid w:val="0"/>
        <w:spacing w:line="360" w:lineRule="auto"/>
        <w:ind w:firstLine="420" w:firstLineChars="200"/>
        <w:rPr>
          <w:rFonts w:hint="eastAsia" w:ascii="宋体" w:hAnsi="宋体"/>
          <w:sz w:val="21"/>
          <w:szCs w:val="21"/>
        </w:rPr>
      </w:pPr>
      <w:r>
        <w:rPr>
          <w:rFonts w:hint="eastAsia" w:ascii="宋体" w:hAnsi="宋体"/>
          <w:sz w:val="21"/>
          <w:szCs w:val="21"/>
        </w:rPr>
        <w:t>（2）首次公开发行未上市的股票，采用估值技术确定公允价值；</w:t>
      </w:r>
    </w:p>
    <w:p w14:paraId="708B28A8">
      <w:pPr>
        <w:snapToGrid w:val="0"/>
        <w:spacing w:line="360" w:lineRule="auto"/>
        <w:ind w:firstLine="420" w:firstLineChars="200"/>
        <w:rPr>
          <w:rFonts w:hint="eastAsia" w:ascii="宋体" w:hAnsi="宋体"/>
          <w:sz w:val="21"/>
          <w:szCs w:val="21"/>
        </w:rPr>
      </w:pPr>
      <w:r>
        <w:rPr>
          <w:rFonts w:hint="eastAsia" w:ascii="宋体" w:hAnsi="宋体"/>
          <w:sz w:val="21"/>
          <w:szCs w:val="21"/>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289290A5">
      <w:pPr>
        <w:snapToGrid w:val="0"/>
        <w:spacing w:line="360" w:lineRule="auto"/>
        <w:ind w:firstLine="420" w:firstLineChars="200"/>
        <w:rPr>
          <w:rFonts w:hint="eastAsia" w:ascii="宋体" w:hAnsi="宋体"/>
          <w:sz w:val="21"/>
          <w:szCs w:val="21"/>
        </w:rPr>
      </w:pPr>
      <w:r>
        <w:rPr>
          <w:rFonts w:hint="eastAsia" w:ascii="宋体" w:hAnsi="宋体"/>
          <w:sz w:val="21"/>
          <w:szCs w:val="21"/>
        </w:rPr>
        <w:t>7、本基金投资存托凭证的估值核算，依照境内上市交易的股票执行。</w:t>
      </w:r>
    </w:p>
    <w:p w14:paraId="288B6533">
      <w:pPr>
        <w:snapToGrid w:val="0"/>
        <w:spacing w:line="360" w:lineRule="auto"/>
        <w:ind w:firstLine="420" w:firstLineChars="200"/>
        <w:rPr>
          <w:rFonts w:hint="eastAsia" w:ascii="宋体" w:hAnsi="宋体"/>
          <w:sz w:val="21"/>
          <w:szCs w:val="21"/>
        </w:rPr>
      </w:pPr>
      <w:r>
        <w:rPr>
          <w:rFonts w:hint="eastAsia" w:ascii="宋体" w:hAnsi="宋体"/>
          <w:sz w:val="21"/>
          <w:szCs w:val="21"/>
        </w:rPr>
        <w:t>8、同一证券同时在两个或两个以上市场交易的，按证券所处的市场分别估值。</w:t>
      </w:r>
    </w:p>
    <w:p w14:paraId="40991D7A">
      <w:pPr>
        <w:snapToGrid w:val="0"/>
        <w:spacing w:line="360" w:lineRule="auto"/>
        <w:ind w:firstLine="420" w:firstLineChars="200"/>
        <w:rPr>
          <w:rFonts w:hint="eastAsia" w:ascii="宋体" w:hAnsi="宋体"/>
          <w:sz w:val="21"/>
          <w:szCs w:val="21"/>
        </w:rPr>
      </w:pPr>
      <w:r>
        <w:rPr>
          <w:rFonts w:hint="eastAsia" w:ascii="宋体" w:hAnsi="宋体"/>
          <w:sz w:val="21"/>
          <w:szCs w:val="21"/>
        </w:rPr>
        <w:t>9、本基金参与股指期货、国债期货合约交易，一般以估值当日结算价确定公允价值，估值当日无结算价的，且最近交易日后未发生影响公允价值计量的重大事件的，采用最近交易日结算价估值。</w:t>
      </w:r>
    </w:p>
    <w:p w14:paraId="19C5170A">
      <w:pPr>
        <w:snapToGrid w:val="0"/>
        <w:spacing w:line="360" w:lineRule="auto"/>
        <w:ind w:firstLine="420" w:firstLineChars="200"/>
        <w:rPr>
          <w:rFonts w:hint="eastAsia" w:ascii="宋体" w:hAnsi="宋体"/>
          <w:sz w:val="21"/>
          <w:szCs w:val="21"/>
        </w:rPr>
      </w:pPr>
      <w:r>
        <w:rPr>
          <w:rFonts w:hint="eastAsia" w:ascii="宋体" w:hAnsi="宋体"/>
          <w:sz w:val="21"/>
          <w:szCs w:val="21"/>
        </w:rPr>
        <w:t>10、本基金投资股票期权，根据相关法律法规以及监管部门的规定估值。</w:t>
      </w:r>
    </w:p>
    <w:p w14:paraId="0CEE90D6">
      <w:pPr>
        <w:snapToGrid w:val="0"/>
        <w:spacing w:line="360" w:lineRule="auto"/>
        <w:ind w:firstLine="420" w:firstLineChars="200"/>
        <w:rPr>
          <w:rFonts w:hint="eastAsia" w:ascii="宋体" w:hAnsi="宋体"/>
          <w:sz w:val="21"/>
          <w:szCs w:val="21"/>
        </w:rPr>
      </w:pPr>
      <w:r>
        <w:rPr>
          <w:rFonts w:hint="eastAsia" w:ascii="宋体" w:hAnsi="宋体"/>
          <w:sz w:val="21"/>
          <w:szCs w:val="21"/>
        </w:rPr>
        <w:t>11、本基金参与融资及转融通证券出借业务的，应参照法律法规及行业协会的相关规定进行估值。</w:t>
      </w:r>
    </w:p>
    <w:p w14:paraId="3E982B5C">
      <w:pPr>
        <w:snapToGrid w:val="0"/>
        <w:spacing w:line="360" w:lineRule="auto"/>
        <w:ind w:firstLine="420" w:firstLineChars="200"/>
        <w:rPr>
          <w:rFonts w:hint="eastAsia" w:ascii="宋体" w:hAnsi="宋体"/>
          <w:sz w:val="21"/>
          <w:szCs w:val="21"/>
        </w:rPr>
      </w:pPr>
      <w:r>
        <w:rPr>
          <w:rFonts w:hint="eastAsia" w:ascii="宋体" w:hAnsi="宋体"/>
          <w:sz w:val="21"/>
          <w:szCs w:val="21"/>
        </w:rPr>
        <w:t>12、本基金可以采用第三方估值机构按照上述公允价值确定原则提供的估值价格数据。如有确凿证据表明按上述方法进行估值不能客观反映其公允价值的，基金管理人可根据具体情况与基金托管人商定后，按最能反映公允价值的方法估值。</w:t>
      </w:r>
    </w:p>
    <w:p w14:paraId="2CFC2C36">
      <w:pPr>
        <w:snapToGrid w:val="0"/>
        <w:spacing w:line="360" w:lineRule="auto"/>
        <w:ind w:firstLine="420" w:firstLineChars="200"/>
        <w:rPr>
          <w:rFonts w:hint="eastAsia" w:ascii="宋体" w:hAnsi="宋体"/>
          <w:sz w:val="21"/>
          <w:szCs w:val="21"/>
        </w:rPr>
      </w:pPr>
      <w:r>
        <w:rPr>
          <w:rFonts w:hint="eastAsia" w:ascii="宋体" w:hAnsi="宋体"/>
          <w:sz w:val="21"/>
          <w:szCs w:val="21"/>
        </w:rPr>
        <w:t>13、相关法律法规以及监管部门有强制规定的，从其规定。如有新增事项，按国家最新规定估值。</w:t>
      </w:r>
    </w:p>
    <w:p w14:paraId="1F51416D">
      <w:pPr>
        <w:snapToGrid w:val="0"/>
        <w:spacing w:line="360" w:lineRule="auto"/>
        <w:ind w:firstLine="420" w:firstLineChars="200"/>
        <w:rPr>
          <w:rFonts w:hint="eastAsia" w:ascii="宋体" w:hAnsi="宋体"/>
          <w:sz w:val="21"/>
          <w:szCs w:val="21"/>
        </w:rPr>
      </w:pPr>
      <w:r>
        <w:rPr>
          <w:rFonts w:hint="eastAsia" w:ascii="宋体" w:hAnsi="宋体"/>
          <w:sz w:val="21"/>
          <w:szCs w:val="21"/>
        </w:rPr>
        <w:t>如基金管理人或基金托管人发现基金估值违反基金合同订明的估值方法、程序及相关法律法规的规定或者未能充分维护基金份额持有人利益时，应立即通知对方，共同查明原因，双方协商解决。</w:t>
      </w:r>
    </w:p>
    <w:p w14:paraId="0DCA85E5">
      <w:pPr>
        <w:snapToGrid w:val="0"/>
        <w:spacing w:line="360" w:lineRule="auto"/>
        <w:ind w:firstLine="420" w:firstLineChars="200"/>
        <w:rPr>
          <w:rFonts w:ascii="宋体" w:hAnsi="宋体"/>
          <w:sz w:val="21"/>
          <w:szCs w:val="21"/>
        </w:rPr>
      </w:pPr>
      <w:r>
        <w:rPr>
          <w:rFonts w:hint="eastAsia" w:ascii="宋体" w:hAnsi="宋体"/>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47904865">
      <w:pPr>
        <w:snapToGrid w:val="0"/>
        <w:spacing w:line="360" w:lineRule="auto"/>
        <w:ind w:firstLine="420" w:firstLineChars="200"/>
        <w:rPr>
          <w:rFonts w:ascii="宋体" w:hAnsi="宋体"/>
          <w:sz w:val="21"/>
          <w:szCs w:val="21"/>
        </w:rPr>
      </w:pPr>
      <w:r>
        <w:rPr>
          <w:rFonts w:hint="eastAsia" w:ascii="宋体" w:hAnsi="宋体"/>
          <w:sz w:val="21"/>
          <w:szCs w:val="21"/>
        </w:rPr>
        <w:t>（三）基金净值信息</w:t>
      </w:r>
    </w:p>
    <w:p w14:paraId="0E776D7F">
      <w:pPr>
        <w:spacing w:line="360" w:lineRule="auto"/>
        <w:ind w:firstLine="420" w:firstLineChars="200"/>
        <w:rPr>
          <w:bCs/>
          <w:sz w:val="21"/>
          <w:szCs w:val="21"/>
        </w:rPr>
      </w:pPr>
      <w:r>
        <w:rPr>
          <w:bCs/>
          <w:sz w:val="21"/>
          <w:szCs w:val="21"/>
        </w:rPr>
        <w:t>《基金合同》生效后，在</w:t>
      </w:r>
      <w:r>
        <w:rPr>
          <w:rFonts w:hint="eastAsia"/>
          <w:bCs/>
          <w:sz w:val="21"/>
          <w:szCs w:val="21"/>
        </w:rPr>
        <w:t>基金份额上市交易前且</w:t>
      </w:r>
      <w:r>
        <w:rPr>
          <w:bCs/>
          <w:sz w:val="21"/>
          <w:szCs w:val="21"/>
        </w:rPr>
        <w:t>开始办理基金份额申购或者赎回前，基金管理人应当至少每周</w:t>
      </w:r>
      <w:r>
        <w:rPr>
          <w:rFonts w:hint="eastAsia"/>
          <w:bCs/>
          <w:sz w:val="21"/>
          <w:szCs w:val="21"/>
        </w:rPr>
        <w:t>在规定网站披露一次基金份额净值和基金份额累计净值</w:t>
      </w:r>
      <w:r>
        <w:rPr>
          <w:bCs/>
          <w:sz w:val="21"/>
          <w:szCs w:val="21"/>
        </w:rPr>
        <w:t>。</w:t>
      </w:r>
    </w:p>
    <w:p w14:paraId="635B2729">
      <w:pPr>
        <w:spacing w:line="360" w:lineRule="auto"/>
        <w:ind w:firstLine="420" w:firstLineChars="200"/>
        <w:rPr>
          <w:bCs/>
          <w:sz w:val="21"/>
          <w:szCs w:val="21"/>
        </w:rPr>
      </w:pPr>
      <w:r>
        <w:rPr>
          <w:bCs/>
          <w:sz w:val="21"/>
          <w:szCs w:val="21"/>
        </w:rPr>
        <w:t>在</w:t>
      </w:r>
      <w:r>
        <w:rPr>
          <w:rFonts w:hint="eastAsia"/>
          <w:bCs/>
          <w:sz w:val="21"/>
          <w:szCs w:val="21"/>
        </w:rPr>
        <w:t>基金份额上市交易或</w:t>
      </w:r>
      <w:r>
        <w:rPr>
          <w:bCs/>
          <w:sz w:val="21"/>
          <w:szCs w:val="21"/>
        </w:rPr>
        <w:t>开始办理基金份额申购或者赎回后，基金管理人应当</w:t>
      </w:r>
      <w:r>
        <w:rPr>
          <w:szCs w:val="21"/>
        </w:rPr>
        <w:t>在</w:t>
      </w:r>
      <w:r>
        <w:rPr>
          <w:rFonts w:hint="eastAsia"/>
          <w:bCs/>
          <w:sz w:val="21"/>
          <w:szCs w:val="21"/>
        </w:rPr>
        <w:t>不晚于每个开放日的次日，通过规定网站、基金销售机构网站或者营业网点</w:t>
      </w:r>
      <w:r>
        <w:rPr>
          <w:bCs/>
          <w:sz w:val="21"/>
          <w:szCs w:val="21"/>
        </w:rPr>
        <w:t>披露开放日的基金份额净值和基金份额累计净值。</w:t>
      </w:r>
    </w:p>
    <w:p w14:paraId="5F26AE13">
      <w:pPr>
        <w:spacing w:line="360" w:lineRule="auto"/>
        <w:ind w:firstLine="420" w:firstLineChars="200"/>
        <w:rPr>
          <w:bCs/>
          <w:sz w:val="21"/>
          <w:szCs w:val="21"/>
        </w:rPr>
      </w:pPr>
      <w:r>
        <w:rPr>
          <w:bCs/>
          <w:sz w:val="21"/>
          <w:szCs w:val="21"/>
        </w:rPr>
        <w:t>基金管理人应当</w:t>
      </w:r>
      <w:r>
        <w:rPr>
          <w:rFonts w:hint="eastAsia"/>
          <w:bCs/>
          <w:sz w:val="21"/>
          <w:szCs w:val="21"/>
        </w:rPr>
        <w:t>在不晚于半年度和年度最后一日的次日，在规定网站披露半年度和年度最后一日的基金份额净值和基金份额累计净值。</w:t>
      </w:r>
    </w:p>
    <w:p w14:paraId="02137F67">
      <w:pPr>
        <w:snapToGrid w:val="0"/>
        <w:spacing w:line="360" w:lineRule="auto"/>
        <w:ind w:firstLine="420" w:firstLineChars="200"/>
        <w:rPr>
          <w:rFonts w:ascii="宋体" w:hAnsi="宋体"/>
          <w:sz w:val="21"/>
          <w:szCs w:val="21"/>
        </w:rPr>
      </w:pPr>
      <w:r>
        <w:rPr>
          <w:rFonts w:hint="eastAsia" w:ascii="宋体" w:hAnsi="宋体"/>
          <w:sz w:val="21"/>
          <w:szCs w:val="21"/>
        </w:rPr>
        <w:t>七、</w:t>
      </w:r>
      <w:r>
        <w:rPr>
          <w:rFonts w:ascii="宋体" w:hAnsi="宋体"/>
          <w:sz w:val="21"/>
          <w:szCs w:val="21"/>
        </w:rPr>
        <w:t>基金合同的变更、终止与基金财产的清算</w:t>
      </w:r>
    </w:p>
    <w:p w14:paraId="42FE369A">
      <w:pPr>
        <w:snapToGrid w:val="0"/>
        <w:spacing w:line="360" w:lineRule="auto"/>
        <w:ind w:firstLine="420" w:firstLineChars="200"/>
        <w:rPr>
          <w:rFonts w:ascii="宋体" w:hAnsi="宋体"/>
          <w:sz w:val="21"/>
          <w:szCs w:val="21"/>
        </w:rPr>
      </w:pPr>
      <w:r>
        <w:rPr>
          <w:rFonts w:hint="eastAsia" w:ascii="宋体" w:hAnsi="宋体"/>
          <w:sz w:val="21"/>
          <w:szCs w:val="21"/>
        </w:rPr>
        <w:t>（一）《基金合同》的变更</w:t>
      </w:r>
    </w:p>
    <w:p w14:paraId="36B188C3">
      <w:pPr>
        <w:snapToGrid w:val="0"/>
        <w:spacing w:line="360" w:lineRule="auto"/>
        <w:ind w:firstLine="420" w:firstLineChars="200"/>
        <w:rPr>
          <w:rFonts w:hint="eastAsia" w:ascii="宋体" w:hAnsi="宋体"/>
          <w:sz w:val="21"/>
          <w:szCs w:val="21"/>
        </w:rPr>
      </w:pPr>
      <w:r>
        <w:rPr>
          <w:rFonts w:hint="eastAsia" w:ascii="宋体" w:hAnsi="宋体"/>
          <w:sz w:val="21"/>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35FE84FC">
      <w:pPr>
        <w:snapToGrid w:val="0"/>
        <w:spacing w:line="360" w:lineRule="auto"/>
        <w:ind w:firstLine="420" w:firstLineChars="200"/>
        <w:rPr>
          <w:rFonts w:hint="eastAsia" w:ascii="宋体" w:hAnsi="宋体"/>
          <w:sz w:val="21"/>
          <w:szCs w:val="21"/>
        </w:rPr>
      </w:pPr>
      <w:r>
        <w:rPr>
          <w:rFonts w:hint="eastAsia" w:ascii="宋体" w:hAnsi="宋体"/>
          <w:sz w:val="21"/>
          <w:szCs w:val="21"/>
        </w:rPr>
        <w:t>2、关于《基金合同》变更的基金份额持有人大会决议自生效后方可执行，自决议生效后按规定在规定媒介公告。</w:t>
      </w:r>
    </w:p>
    <w:p w14:paraId="64D7447B">
      <w:pPr>
        <w:snapToGrid w:val="0"/>
        <w:spacing w:line="360" w:lineRule="auto"/>
        <w:ind w:firstLine="420" w:firstLineChars="200"/>
        <w:rPr>
          <w:rFonts w:ascii="宋体" w:hAnsi="宋体"/>
          <w:sz w:val="21"/>
          <w:szCs w:val="21"/>
        </w:rPr>
      </w:pPr>
      <w:r>
        <w:rPr>
          <w:rFonts w:hint="eastAsia" w:ascii="宋体" w:hAnsi="宋体"/>
          <w:sz w:val="21"/>
          <w:szCs w:val="21"/>
        </w:rPr>
        <w:t>（二）《基金合同》的终止事由</w:t>
      </w:r>
    </w:p>
    <w:p w14:paraId="631EE763">
      <w:pPr>
        <w:snapToGrid w:val="0"/>
        <w:spacing w:line="360" w:lineRule="auto"/>
        <w:ind w:firstLine="420" w:firstLineChars="200"/>
        <w:rPr>
          <w:rFonts w:hint="eastAsia" w:ascii="宋体" w:hAnsi="宋体"/>
          <w:sz w:val="21"/>
          <w:szCs w:val="21"/>
        </w:rPr>
      </w:pPr>
      <w:r>
        <w:rPr>
          <w:rFonts w:hint="eastAsia" w:ascii="宋体" w:hAnsi="宋体"/>
          <w:sz w:val="21"/>
          <w:szCs w:val="21"/>
        </w:rPr>
        <w:t>有下列情形之一的，经履行相关程序后，《基金合同》应当终止：</w:t>
      </w:r>
    </w:p>
    <w:p w14:paraId="0EFDB282">
      <w:pPr>
        <w:snapToGrid w:val="0"/>
        <w:spacing w:line="360" w:lineRule="auto"/>
        <w:ind w:firstLine="420" w:firstLineChars="200"/>
        <w:rPr>
          <w:rFonts w:hint="eastAsia" w:ascii="宋体" w:hAnsi="宋体"/>
          <w:sz w:val="21"/>
          <w:szCs w:val="21"/>
        </w:rPr>
      </w:pPr>
      <w:r>
        <w:rPr>
          <w:rFonts w:hint="eastAsia" w:ascii="宋体" w:hAnsi="宋体"/>
          <w:sz w:val="21"/>
          <w:szCs w:val="21"/>
        </w:rPr>
        <w:t>1、基金份额持有人大会决定终止的；</w:t>
      </w:r>
    </w:p>
    <w:p w14:paraId="54C9C10F">
      <w:pPr>
        <w:snapToGrid w:val="0"/>
        <w:spacing w:line="360" w:lineRule="auto"/>
        <w:ind w:firstLine="420" w:firstLineChars="200"/>
        <w:rPr>
          <w:rFonts w:hint="eastAsia" w:ascii="宋体" w:hAnsi="宋体"/>
          <w:sz w:val="21"/>
          <w:szCs w:val="21"/>
        </w:rPr>
      </w:pPr>
      <w:r>
        <w:rPr>
          <w:rFonts w:hint="eastAsia" w:ascii="宋体" w:hAnsi="宋体"/>
          <w:sz w:val="21"/>
          <w:szCs w:val="21"/>
        </w:rPr>
        <w:t>2、基金管理人、基金托管人职责终止，在6个月内没有新基金管理人、新基金托管人承接的；</w:t>
      </w:r>
    </w:p>
    <w:p w14:paraId="6F2DDCE3">
      <w:pPr>
        <w:snapToGrid w:val="0"/>
        <w:spacing w:line="360" w:lineRule="auto"/>
        <w:ind w:firstLine="420" w:firstLineChars="200"/>
        <w:rPr>
          <w:rFonts w:hint="eastAsia" w:ascii="宋体" w:hAnsi="宋体"/>
          <w:sz w:val="21"/>
          <w:szCs w:val="21"/>
        </w:rPr>
      </w:pPr>
      <w:r>
        <w:rPr>
          <w:rFonts w:hint="eastAsia" w:ascii="宋体" w:hAnsi="宋体"/>
          <w:sz w:val="21"/>
          <w:szCs w:val="21"/>
        </w:rPr>
        <w:t>3、《基金合同》约定的其他情形；</w:t>
      </w:r>
    </w:p>
    <w:p w14:paraId="1EF72806">
      <w:pPr>
        <w:snapToGrid w:val="0"/>
        <w:spacing w:line="360" w:lineRule="auto"/>
        <w:ind w:firstLine="420" w:firstLineChars="200"/>
        <w:rPr>
          <w:rFonts w:hint="eastAsia" w:ascii="宋体" w:hAnsi="宋体"/>
          <w:sz w:val="21"/>
          <w:szCs w:val="21"/>
        </w:rPr>
      </w:pPr>
      <w:r>
        <w:rPr>
          <w:rFonts w:hint="eastAsia" w:ascii="宋体" w:hAnsi="宋体"/>
          <w:sz w:val="21"/>
          <w:szCs w:val="21"/>
          <w:lang w:val="en-US" w:eastAsia="zh-CN"/>
        </w:rPr>
        <w:t>4</w:t>
      </w:r>
      <w:r>
        <w:rPr>
          <w:rFonts w:hint="eastAsia" w:ascii="宋体" w:hAnsi="宋体"/>
          <w:sz w:val="21"/>
          <w:szCs w:val="21"/>
        </w:rPr>
        <w:t>、相关法律法规和中国证监会规定的其他情况。</w:t>
      </w:r>
    </w:p>
    <w:p w14:paraId="4450B27F">
      <w:pPr>
        <w:snapToGrid w:val="0"/>
        <w:spacing w:line="360" w:lineRule="auto"/>
        <w:ind w:firstLine="420" w:firstLineChars="200"/>
        <w:rPr>
          <w:rFonts w:ascii="宋体" w:hAnsi="宋体"/>
          <w:sz w:val="21"/>
          <w:szCs w:val="21"/>
        </w:rPr>
      </w:pPr>
      <w:r>
        <w:rPr>
          <w:rFonts w:hint="eastAsia" w:ascii="宋体" w:hAnsi="宋体"/>
          <w:sz w:val="21"/>
          <w:szCs w:val="21"/>
        </w:rPr>
        <w:t>（三）基金财产的清算</w:t>
      </w:r>
    </w:p>
    <w:p w14:paraId="5AB46215">
      <w:pPr>
        <w:snapToGrid w:val="0"/>
        <w:spacing w:line="360" w:lineRule="auto"/>
        <w:ind w:firstLine="420" w:firstLineChars="200"/>
        <w:rPr>
          <w:rFonts w:hint="eastAsia" w:ascii="宋体" w:hAnsi="宋体"/>
          <w:sz w:val="21"/>
          <w:szCs w:val="21"/>
        </w:rPr>
      </w:pPr>
      <w:r>
        <w:rPr>
          <w:rFonts w:hint="eastAsia" w:ascii="宋体" w:hAnsi="宋体"/>
          <w:sz w:val="21"/>
          <w:szCs w:val="21"/>
        </w:rPr>
        <w:t>1、基金财产清算小组：自出现《基金合同》终止事由之日起30个工作日内成立基金财产清算小组，基金管理人组织基金财产清算小组并在中国证监会的监督下进行基金清算。</w:t>
      </w:r>
    </w:p>
    <w:p w14:paraId="3D374779">
      <w:pPr>
        <w:snapToGrid w:val="0"/>
        <w:spacing w:line="360" w:lineRule="auto"/>
        <w:ind w:firstLine="420" w:firstLineChars="200"/>
        <w:rPr>
          <w:rFonts w:hint="eastAsia" w:ascii="宋体" w:hAnsi="宋体"/>
          <w:sz w:val="21"/>
          <w:szCs w:val="21"/>
        </w:rPr>
      </w:pPr>
      <w:r>
        <w:rPr>
          <w:rFonts w:hint="eastAsia" w:ascii="宋体" w:hAnsi="宋体"/>
          <w:sz w:val="21"/>
          <w:szCs w:val="21"/>
        </w:rPr>
        <w:t>2、在基金财产清算小组接管基金财产之前，基金管理人和基金托管人应按照《基金合同》和托管协议的规定继续履行保护基金财产安全的职责。</w:t>
      </w:r>
    </w:p>
    <w:p w14:paraId="04462904">
      <w:pPr>
        <w:snapToGrid w:val="0"/>
        <w:spacing w:line="360" w:lineRule="auto"/>
        <w:ind w:firstLine="420" w:firstLineChars="200"/>
        <w:rPr>
          <w:rFonts w:hint="eastAsia" w:ascii="宋体" w:hAnsi="宋体"/>
          <w:sz w:val="21"/>
          <w:szCs w:val="21"/>
        </w:rPr>
      </w:pPr>
      <w:r>
        <w:rPr>
          <w:rFonts w:hint="eastAsia" w:ascii="宋体" w:hAnsi="宋体"/>
          <w:sz w:val="21"/>
          <w:szCs w:val="21"/>
        </w:rPr>
        <w:t>3、基金财产清算小组组成：基金财产清算小组成员由基金管理人、基金托管人、符合《证券法》规定的注册会计师、律师以及中国证监会指定的人员组成。基金财产清算小组可以聘用必要的工作人员。</w:t>
      </w:r>
    </w:p>
    <w:p w14:paraId="5E7F9603">
      <w:pPr>
        <w:snapToGrid w:val="0"/>
        <w:spacing w:line="360" w:lineRule="auto"/>
        <w:ind w:firstLine="420" w:firstLineChars="200"/>
        <w:rPr>
          <w:rFonts w:hint="eastAsia" w:ascii="宋体" w:hAnsi="宋体"/>
          <w:sz w:val="21"/>
          <w:szCs w:val="21"/>
        </w:rPr>
      </w:pPr>
      <w:r>
        <w:rPr>
          <w:rFonts w:hint="eastAsia" w:ascii="宋体" w:hAnsi="宋体"/>
          <w:sz w:val="21"/>
          <w:szCs w:val="21"/>
        </w:rPr>
        <w:t>4、基金财产清算小组职责：基金财产清算小组负责基金财产的保管、清理、估价、变现和分配。基金财产清算小组可以依法进行必要的民事活动。</w:t>
      </w:r>
    </w:p>
    <w:p w14:paraId="694F7E89">
      <w:pPr>
        <w:snapToGrid w:val="0"/>
        <w:spacing w:line="360" w:lineRule="auto"/>
        <w:ind w:firstLine="420" w:firstLineChars="200"/>
        <w:rPr>
          <w:rFonts w:hint="eastAsia" w:ascii="宋体" w:hAnsi="宋体"/>
          <w:sz w:val="21"/>
          <w:szCs w:val="21"/>
        </w:rPr>
      </w:pPr>
      <w:r>
        <w:rPr>
          <w:rFonts w:hint="eastAsia" w:ascii="宋体" w:hAnsi="宋体"/>
          <w:sz w:val="21"/>
          <w:szCs w:val="21"/>
        </w:rPr>
        <w:t>5、在基金财产清算过程中，基金管理人和基金托管人应各自履行职责，继续忠实、勤勉、尽责地履行基金合同和托管协议规定的义务，维护基金份额持有人的合法权益。</w:t>
      </w:r>
    </w:p>
    <w:p w14:paraId="11F47321">
      <w:pPr>
        <w:snapToGrid w:val="0"/>
        <w:spacing w:line="360" w:lineRule="auto"/>
        <w:ind w:firstLine="420" w:firstLineChars="200"/>
        <w:rPr>
          <w:rFonts w:hint="eastAsia" w:ascii="宋体" w:hAnsi="宋体"/>
          <w:sz w:val="21"/>
          <w:szCs w:val="21"/>
        </w:rPr>
      </w:pPr>
      <w:r>
        <w:rPr>
          <w:rFonts w:hint="eastAsia" w:ascii="宋体" w:hAnsi="宋体"/>
          <w:sz w:val="21"/>
          <w:szCs w:val="21"/>
        </w:rPr>
        <w:t>6、基金财产清算程序：</w:t>
      </w:r>
    </w:p>
    <w:p w14:paraId="5F8E82F4">
      <w:pPr>
        <w:snapToGrid w:val="0"/>
        <w:spacing w:line="360" w:lineRule="auto"/>
        <w:ind w:firstLine="420" w:firstLineChars="200"/>
        <w:rPr>
          <w:rFonts w:hint="eastAsia" w:ascii="宋体" w:hAnsi="宋体"/>
          <w:sz w:val="21"/>
          <w:szCs w:val="21"/>
        </w:rPr>
      </w:pPr>
      <w:r>
        <w:rPr>
          <w:rFonts w:hint="eastAsia" w:ascii="宋体" w:hAnsi="宋体"/>
          <w:sz w:val="21"/>
          <w:szCs w:val="21"/>
        </w:rPr>
        <w:t>（1）《基金合同》终止情形出现时，由基金财产清算小组统一接管基金；</w:t>
      </w:r>
    </w:p>
    <w:p w14:paraId="3E84F42A">
      <w:pPr>
        <w:snapToGrid w:val="0"/>
        <w:spacing w:line="360" w:lineRule="auto"/>
        <w:ind w:firstLine="420" w:firstLineChars="200"/>
        <w:rPr>
          <w:rFonts w:hint="eastAsia" w:ascii="宋体" w:hAnsi="宋体"/>
          <w:sz w:val="21"/>
          <w:szCs w:val="21"/>
        </w:rPr>
      </w:pPr>
      <w:r>
        <w:rPr>
          <w:rFonts w:hint="eastAsia" w:ascii="宋体" w:hAnsi="宋体"/>
          <w:sz w:val="21"/>
          <w:szCs w:val="21"/>
        </w:rPr>
        <w:t>（2）对基金财产和债权债务进行清理和确认；</w:t>
      </w:r>
    </w:p>
    <w:p w14:paraId="16BEC3D4">
      <w:pPr>
        <w:snapToGrid w:val="0"/>
        <w:spacing w:line="360" w:lineRule="auto"/>
        <w:ind w:firstLine="420" w:firstLineChars="200"/>
        <w:rPr>
          <w:rFonts w:hint="eastAsia" w:ascii="宋体" w:hAnsi="宋体"/>
          <w:sz w:val="21"/>
          <w:szCs w:val="21"/>
        </w:rPr>
      </w:pPr>
      <w:r>
        <w:rPr>
          <w:rFonts w:hint="eastAsia" w:ascii="宋体" w:hAnsi="宋体"/>
          <w:sz w:val="21"/>
          <w:szCs w:val="21"/>
        </w:rPr>
        <w:t>（3）对基金财产进行估值和变现；</w:t>
      </w:r>
    </w:p>
    <w:p w14:paraId="498C5DB3">
      <w:pPr>
        <w:snapToGrid w:val="0"/>
        <w:spacing w:line="360" w:lineRule="auto"/>
        <w:ind w:firstLine="420" w:firstLineChars="200"/>
        <w:rPr>
          <w:rFonts w:hint="eastAsia" w:ascii="宋体" w:hAnsi="宋体"/>
          <w:sz w:val="21"/>
          <w:szCs w:val="21"/>
        </w:rPr>
      </w:pPr>
      <w:r>
        <w:rPr>
          <w:rFonts w:hint="eastAsia" w:ascii="宋体" w:hAnsi="宋体"/>
          <w:sz w:val="21"/>
          <w:szCs w:val="21"/>
        </w:rPr>
        <w:t>（4）制作清算报告；</w:t>
      </w:r>
    </w:p>
    <w:p w14:paraId="5F067DB9">
      <w:pPr>
        <w:snapToGrid w:val="0"/>
        <w:spacing w:line="360" w:lineRule="auto"/>
        <w:ind w:firstLine="420" w:firstLineChars="200"/>
        <w:rPr>
          <w:rFonts w:hint="eastAsia" w:ascii="宋体" w:hAnsi="宋体"/>
          <w:sz w:val="21"/>
          <w:szCs w:val="21"/>
        </w:rPr>
      </w:pPr>
      <w:r>
        <w:rPr>
          <w:rFonts w:hint="eastAsia" w:ascii="宋体" w:hAnsi="宋体"/>
          <w:sz w:val="21"/>
          <w:szCs w:val="21"/>
        </w:rPr>
        <w:t>（5）聘请符合《证券法》规定的会计师事务所对清算报告进行外部审计，聘请律师事务所对清算报告出具法律意见书；</w:t>
      </w:r>
    </w:p>
    <w:p w14:paraId="0C990472">
      <w:pPr>
        <w:snapToGrid w:val="0"/>
        <w:spacing w:line="360" w:lineRule="auto"/>
        <w:ind w:firstLine="420" w:firstLineChars="200"/>
        <w:rPr>
          <w:rFonts w:hint="eastAsia" w:ascii="宋体" w:hAnsi="宋体"/>
          <w:sz w:val="21"/>
          <w:szCs w:val="21"/>
        </w:rPr>
      </w:pPr>
      <w:r>
        <w:rPr>
          <w:rFonts w:hint="eastAsia" w:ascii="宋体" w:hAnsi="宋体"/>
          <w:sz w:val="21"/>
          <w:szCs w:val="21"/>
        </w:rPr>
        <w:t>（6）将清算报告报中国证监会备案并公告；</w:t>
      </w:r>
    </w:p>
    <w:p w14:paraId="3A2AAA93">
      <w:pPr>
        <w:snapToGrid w:val="0"/>
        <w:spacing w:line="360" w:lineRule="auto"/>
        <w:ind w:firstLine="420" w:firstLineChars="200"/>
        <w:rPr>
          <w:rFonts w:hint="eastAsia" w:ascii="宋体" w:hAnsi="宋体"/>
          <w:sz w:val="21"/>
          <w:szCs w:val="21"/>
        </w:rPr>
      </w:pPr>
      <w:r>
        <w:rPr>
          <w:rFonts w:hint="eastAsia" w:ascii="宋体" w:hAnsi="宋体"/>
          <w:sz w:val="21"/>
          <w:szCs w:val="21"/>
        </w:rPr>
        <w:t>（7）对基金剩余财产进行分配。</w:t>
      </w:r>
    </w:p>
    <w:p w14:paraId="4A4F84D1">
      <w:pPr>
        <w:snapToGrid w:val="0"/>
        <w:spacing w:line="360" w:lineRule="auto"/>
        <w:ind w:firstLine="420" w:firstLineChars="200"/>
        <w:rPr>
          <w:rFonts w:hint="eastAsia" w:ascii="宋体" w:hAnsi="宋体"/>
          <w:sz w:val="21"/>
          <w:szCs w:val="21"/>
        </w:rPr>
      </w:pPr>
      <w:r>
        <w:rPr>
          <w:rFonts w:hint="eastAsia" w:ascii="宋体" w:hAnsi="宋体"/>
          <w:sz w:val="21"/>
          <w:szCs w:val="21"/>
        </w:rPr>
        <w:t>7、基金财产清算的期限为6个月，但因本基金所持证券的流动性受到限制而不能及时变现的，清算期限相应顺延。</w:t>
      </w:r>
    </w:p>
    <w:p w14:paraId="31BB2992">
      <w:pPr>
        <w:snapToGrid w:val="0"/>
        <w:spacing w:line="360" w:lineRule="auto"/>
        <w:ind w:firstLine="420" w:firstLineChars="200"/>
        <w:rPr>
          <w:rFonts w:ascii="宋体" w:hAnsi="宋体"/>
          <w:sz w:val="21"/>
          <w:szCs w:val="21"/>
        </w:rPr>
      </w:pPr>
      <w:r>
        <w:rPr>
          <w:rFonts w:hint="eastAsia" w:ascii="宋体" w:hAnsi="宋体"/>
          <w:sz w:val="21"/>
          <w:szCs w:val="21"/>
        </w:rPr>
        <w:t>（四）清算费用</w:t>
      </w:r>
    </w:p>
    <w:p w14:paraId="27DAB99C">
      <w:pPr>
        <w:snapToGrid w:val="0"/>
        <w:spacing w:line="360" w:lineRule="auto"/>
        <w:ind w:firstLine="420" w:firstLineChars="200"/>
        <w:rPr>
          <w:rFonts w:ascii="宋体" w:hAnsi="宋体"/>
          <w:sz w:val="21"/>
          <w:szCs w:val="21"/>
        </w:rPr>
      </w:pPr>
      <w:r>
        <w:rPr>
          <w:rFonts w:hint="eastAsia" w:asciiTheme="minorEastAsia" w:hAnsiTheme="minorEastAsia"/>
          <w:sz w:val="21"/>
          <w:szCs w:val="21"/>
        </w:rPr>
        <w:t>清算费用是指基金财产清算小组在进行基金财产清算过程中发生的所有合理费用，清算费用由基金财产清算小组优先从基金剩余财产中支付。</w:t>
      </w:r>
    </w:p>
    <w:p w14:paraId="453286CA">
      <w:pPr>
        <w:snapToGrid w:val="0"/>
        <w:spacing w:line="360" w:lineRule="auto"/>
        <w:ind w:firstLine="420" w:firstLineChars="200"/>
        <w:rPr>
          <w:rFonts w:ascii="宋体" w:hAnsi="宋体"/>
          <w:sz w:val="21"/>
          <w:szCs w:val="21"/>
        </w:rPr>
      </w:pPr>
      <w:r>
        <w:rPr>
          <w:rFonts w:hint="eastAsia" w:ascii="宋体" w:hAnsi="宋体"/>
          <w:sz w:val="21"/>
          <w:szCs w:val="21"/>
        </w:rPr>
        <w:t>（五）基金财产清算剩余资产的分配</w:t>
      </w:r>
    </w:p>
    <w:p w14:paraId="084159A0">
      <w:pPr>
        <w:snapToGrid w:val="0"/>
        <w:spacing w:line="360" w:lineRule="auto"/>
        <w:ind w:firstLine="420" w:firstLineChars="200"/>
        <w:rPr>
          <w:rFonts w:ascii="宋体" w:hAnsi="宋体"/>
          <w:sz w:val="21"/>
          <w:szCs w:val="21"/>
        </w:rPr>
      </w:pPr>
      <w:r>
        <w:rPr>
          <w:rFonts w:hint="eastAsia" w:asciiTheme="minorEastAsia" w:hAnsiTheme="minorEastAsia"/>
          <w:sz w:val="21"/>
          <w:szCs w:val="21"/>
        </w:rPr>
        <w:t>依据基金财产清算的分配方案，将基金财产清算后的全部剩余资产扣除基金财产清算费用、交纳所欠税款并清偿基金债务后，按基金份额持有人持有的基金份额比例进行分配。</w:t>
      </w:r>
    </w:p>
    <w:p w14:paraId="6C9007C7">
      <w:pPr>
        <w:snapToGrid w:val="0"/>
        <w:spacing w:line="360" w:lineRule="auto"/>
        <w:ind w:firstLine="420" w:firstLineChars="200"/>
        <w:rPr>
          <w:rFonts w:ascii="宋体" w:hAnsi="宋体"/>
          <w:sz w:val="21"/>
          <w:szCs w:val="21"/>
        </w:rPr>
      </w:pPr>
      <w:r>
        <w:rPr>
          <w:rFonts w:hint="eastAsia" w:ascii="宋体" w:hAnsi="宋体"/>
          <w:sz w:val="21"/>
          <w:szCs w:val="21"/>
        </w:rPr>
        <w:t>（六）基金财产清算的公告</w:t>
      </w:r>
    </w:p>
    <w:p w14:paraId="33A4A901">
      <w:pPr>
        <w:snapToGrid w:val="0"/>
        <w:spacing w:line="360" w:lineRule="auto"/>
        <w:ind w:firstLine="420" w:firstLineChars="200"/>
        <w:rPr>
          <w:rFonts w:hint="eastAsia" w:ascii="宋体" w:hAnsi="宋体"/>
          <w:sz w:val="21"/>
          <w:szCs w:val="21"/>
        </w:rPr>
      </w:pPr>
      <w:r>
        <w:rPr>
          <w:rFonts w:hint="eastAsia" w:ascii="宋体" w:hAnsi="宋体"/>
          <w:sz w:val="21"/>
          <w:szCs w:val="21"/>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680FDA75">
      <w:pPr>
        <w:snapToGrid w:val="0"/>
        <w:spacing w:line="360" w:lineRule="auto"/>
        <w:ind w:firstLine="420" w:firstLineChars="200"/>
        <w:rPr>
          <w:rFonts w:ascii="宋体" w:hAnsi="宋体"/>
          <w:sz w:val="21"/>
          <w:szCs w:val="21"/>
        </w:rPr>
      </w:pPr>
      <w:r>
        <w:rPr>
          <w:rFonts w:hint="eastAsia" w:ascii="宋体" w:hAnsi="宋体"/>
          <w:sz w:val="21"/>
          <w:szCs w:val="21"/>
        </w:rPr>
        <w:t>（七）基金财产清算账册及文件的保存</w:t>
      </w:r>
    </w:p>
    <w:p w14:paraId="6034EC2A">
      <w:pPr>
        <w:snapToGrid w:val="0"/>
        <w:spacing w:line="360" w:lineRule="auto"/>
        <w:ind w:firstLine="420" w:firstLineChars="200"/>
        <w:rPr>
          <w:rFonts w:ascii="宋体" w:hAnsi="宋体"/>
          <w:sz w:val="21"/>
          <w:szCs w:val="21"/>
        </w:rPr>
      </w:pPr>
      <w:r>
        <w:rPr>
          <w:rFonts w:hint="eastAsia" w:asciiTheme="minorEastAsia" w:hAnsiTheme="minorEastAsia"/>
          <w:sz w:val="21"/>
          <w:szCs w:val="21"/>
        </w:rPr>
        <w:t>基金财产清算账册及有关文件由基金托管人保存，保存期限按照法律法规的规定执行。</w:t>
      </w:r>
    </w:p>
    <w:p w14:paraId="6AC22CD6">
      <w:pPr>
        <w:snapToGrid w:val="0"/>
        <w:spacing w:line="360" w:lineRule="auto"/>
        <w:ind w:firstLine="420" w:firstLineChars="200"/>
        <w:rPr>
          <w:rFonts w:ascii="宋体" w:hAnsi="宋体"/>
          <w:sz w:val="21"/>
          <w:szCs w:val="21"/>
        </w:rPr>
      </w:pPr>
      <w:r>
        <w:rPr>
          <w:rFonts w:hint="eastAsia" w:ascii="宋体" w:hAnsi="宋体"/>
          <w:sz w:val="21"/>
          <w:szCs w:val="21"/>
        </w:rPr>
        <w:t>八、争议的处理</w:t>
      </w:r>
    </w:p>
    <w:p w14:paraId="43174D36">
      <w:pPr>
        <w:snapToGrid w:val="0"/>
        <w:spacing w:line="360" w:lineRule="auto"/>
        <w:ind w:firstLine="420" w:firstLineChars="200"/>
        <w:rPr>
          <w:rFonts w:hint="eastAsia" w:ascii="宋体" w:hAnsi="宋体"/>
          <w:sz w:val="21"/>
          <w:szCs w:val="21"/>
        </w:rPr>
      </w:pPr>
      <w:r>
        <w:rPr>
          <w:rFonts w:hint="eastAsia" w:ascii="宋体" w:hAnsi="宋体"/>
          <w:sz w:val="21"/>
          <w:szCs w:val="21"/>
        </w:rPr>
        <w:t>各方当事人同意，因《基金合同》而产生的或与《基金合同》有关的一切争议，如不愿或者不能通过协商、调解解决的，应提交深圳国际仲裁院（深圳仲裁委员会），根据该会届时有效的仲裁规则进行仲裁。仲裁地点为深圳市。仲裁裁决是终局的，对各方当事人均有约束力。除非仲裁裁决另有规定，仲裁费由败诉方承担。</w:t>
      </w:r>
    </w:p>
    <w:p w14:paraId="25300070">
      <w:pPr>
        <w:snapToGrid w:val="0"/>
        <w:spacing w:line="360" w:lineRule="auto"/>
        <w:ind w:firstLine="420" w:firstLineChars="200"/>
        <w:rPr>
          <w:rFonts w:hint="eastAsia" w:ascii="宋体" w:hAnsi="宋体"/>
          <w:sz w:val="21"/>
          <w:szCs w:val="21"/>
        </w:rPr>
      </w:pPr>
      <w:r>
        <w:rPr>
          <w:rFonts w:hint="eastAsia" w:ascii="宋体" w:hAnsi="宋体"/>
          <w:sz w:val="21"/>
          <w:szCs w:val="21"/>
        </w:rPr>
        <w:t>争议处理期间，基金管理人、基金托管人应恪守基金管理人和基金托管人的职责，各自继续忠实、勤勉、尽责地履行基金合同和基金托管协议规定的义务，维护基金份额持有人的合法权益。</w:t>
      </w:r>
    </w:p>
    <w:p w14:paraId="136440F7">
      <w:pPr>
        <w:snapToGrid w:val="0"/>
        <w:spacing w:line="360" w:lineRule="auto"/>
        <w:ind w:firstLine="420" w:firstLineChars="200"/>
        <w:rPr>
          <w:rFonts w:hint="eastAsia" w:ascii="宋体" w:hAnsi="宋体"/>
          <w:sz w:val="21"/>
          <w:szCs w:val="21"/>
        </w:rPr>
      </w:pPr>
      <w:r>
        <w:rPr>
          <w:rFonts w:hint="eastAsia" w:ascii="宋体" w:hAnsi="宋体"/>
          <w:sz w:val="21"/>
          <w:szCs w:val="21"/>
        </w:rPr>
        <w:t>《基金合同》受中国法律（为本基金合同之目的，在此不包括香港、澳门特别行政区法律和台湾地区的有关规定）管辖并从其解释。</w:t>
      </w:r>
    </w:p>
    <w:p w14:paraId="209A0280">
      <w:pPr>
        <w:snapToGrid w:val="0"/>
        <w:spacing w:line="360" w:lineRule="auto"/>
        <w:ind w:firstLine="420" w:firstLineChars="200"/>
        <w:rPr>
          <w:rFonts w:ascii="宋体" w:hAnsi="宋体"/>
          <w:sz w:val="21"/>
          <w:szCs w:val="21"/>
        </w:rPr>
      </w:pPr>
      <w:r>
        <w:rPr>
          <w:rFonts w:hint="eastAsia" w:ascii="宋体" w:hAnsi="宋体"/>
          <w:sz w:val="21"/>
          <w:szCs w:val="21"/>
        </w:rPr>
        <w:t>九、基金合同存放地和投资者取得合同的方式</w:t>
      </w:r>
    </w:p>
    <w:p w14:paraId="397A5A3B">
      <w:pPr>
        <w:snapToGrid w:val="0"/>
        <w:spacing w:line="360" w:lineRule="auto"/>
        <w:ind w:firstLine="420" w:firstLineChars="200"/>
        <w:rPr>
          <w:rFonts w:ascii="宋体" w:hAnsi="宋体"/>
          <w:sz w:val="21"/>
          <w:szCs w:val="21"/>
        </w:rPr>
      </w:pPr>
      <w:r>
        <w:rPr>
          <w:rFonts w:ascii="宋体" w:hAnsi="宋体"/>
          <w:sz w:val="21"/>
          <w:szCs w:val="21"/>
        </w:rPr>
        <w:t>本基金合同</w:t>
      </w:r>
      <w:r>
        <w:rPr>
          <w:rFonts w:hint="eastAsia" w:ascii="宋体" w:hAnsi="宋体"/>
          <w:sz w:val="21"/>
          <w:szCs w:val="21"/>
        </w:rPr>
        <w:t>可印制成册，供</w:t>
      </w:r>
      <w:r>
        <w:rPr>
          <w:rFonts w:ascii="宋体" w:hAnsi="宋体"/>
          <w:sz w:val="21"/>
          <w:szCs w:val="21"/>
        </w:rPr>
        <w:t>投资人</w:t>
      </w:r>
      <w:r>
        <w:rPr>
          <w:rFonts w:hint="eastAsia" w:ascii="宋体" w:hAnsi="宋体"/>
          <w:sz w:val="21"/>
          <w:szCs w:val="21"/>
        </w:rPr>
        <w:t>在基金管理人、基金托管人、</w:t>
      </w:r>
      <w:r>
        <w:rPr>
          <w:rFonts w:ascii="宋体" w:hAnsi="宋体"/>
          <w:sz w:val="21"/>
          <w:szCs w:val="21"/>
        </w:rPr>
        <w:t>代销</w:t>
      </w:r>
      <w:r>
        <w:rPr>
          <w:rFonts w:hint="eastAsia" w:ascii="宋体" w:hAnsi="宋体"/>
          <w:sz w:val="21"/>
          <w:szCs w:val="21"/>
        </w:rPr>
        <w:t>机构</w:t>
      </w:r>
      <w:r>
        <w:rPr>
          <w:rFonts w:ascii="宋体" w:hAnsi="宋体"/>
          <w:sz w:val="21"/>
          <w:szCs w:val="21"/>
        </w:rPr>
        <w:t>和登记机构</w:t>
      </w:r>
      <w:r>
        <w:rPr>
          <w:rFonts w:hint="eastAsia" w:ascii="宋体" w:hAnsi="宋体"/>
          <w:sz w:val="21"/>
          <w:szCs w:val="21"/>
        </w:rPr>
        <w:t>办公场所查阅。</w:t>
      </w:r>
    </w:p>
    <w:p w14:paraId="1A46837D">
      <w:pPr>
        <w:pStyle w:val="9"/>
        <w:spacing w:before="0" w:beforeAutospacing="0" w:after="0" w:afterAutospacing="0" w:line="360" w:lineRule="auto"/>
        <w:ind w:firstLine="420" w:firstLineChars="200"/>
        <w:jc w:val="both"/>
        <w:rPr>
          <w:rFonts w:hint="eastAsia" w:ascii="宋体" w:hAnsi="宋体" w:eastAsia="宋体" w:cs="宋体"/>
          <w:kern w:val="0"/>
          <w:sz w:val="21"/>
          <w:szCs w:val="21"/>
          <w:highlight w:val="lightGray"/>
        </w:rPr>
      </w:pPr>
    </w:p>
    <w:sectPr>
      <w:headerReference r:id="rId6" w:type="default"/>
      <w:footerReference r:id="rId7" w:type="default"/>
      <w:pgSz w:w="11906" w:h="16838"/>
      <w:pgMar w:top="1440" w:right="1803" w:bottom="1440" w:left="1803"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D43BC">
    <w:pPr>
      <w:pStyle w:val="6"/>
      <w:tabs>
        <w:tab w:val="center" w:pos="4150"/>
        <w:tab w:val="clear" w:pos="415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A1168">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0198C4A">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mF77c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xEiSBgp+&#10;/+3r/fef9z++oKGXZ6vtGKIWGuLc7krtoGn6fQubnvWuMo3/Bz4I/CDu3UFctnOI+kPpIE0jcFHw&#10;9QvAD4/HtbHuFVMN8kaGDVSvFZVs5tZ1oX2Iv02qggvRVlBItAUKp2dRe+DgAXAhfSxkARh7q6vM&#10;p1E0uk6v0yRIBsPrIInyPJgWsyQYFvH5WX6az2Z5/Nnjxcm45mXJpL+v75I4eV4V9p3S1ffQJ1YJ&#10;Xno4n5I1q+VMGLQh0KVF+/MKQ/IPwsLHabRuYPWEUjxIoqvBKCiG6XmQFMlZMDqP0iCKR1ejYZSM&#10;krx4TGnOJft3So/Uf5A0GfuCHbgtBaEf/krNp3OkBgr0hQt9H3b95i23W+5AIm8uVXkHvWlU97it&#10;pgWHS+fEulti4DVDz8G8czfwqYSCPlF7C6NamY9/2vfxUF7wYrSF6ZBhCcMQI/FawuMDQNcbpjeW&#10;vSHXzUxBIWOYo5q2JhwwTvRmZVTzHobg1N8BLiIp3JRh15sz100oGKKUTadt0Fobvqq7AzA6NHFz&#10;udDUX9O2kJ6uHbyH9pkcVQEp/QKGRyvqftD56fRw3UYdh/vk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AqZhe+3AIAACQGAAAOAAAAAAAAAAEAIAAAAB8BAABkcnMvZTJvRG9jLnhtbFBLBQYA&#10;AAAABgAGAFkBAABtBgAAAAA=&#10;">
              <v:fill on="f" focussize="0,0"/>
              <v:stroke on="f" weight="0.5pt"/>
              <v:imagedata o:title=""/>
              <o:lock v:ext="edit" aspectratio="f"/>
              <v:textbox inset="0mm,0mm,0mm,0mm" style="mso-fit-shape-to-text:t;">
                <w:txbxContent>
                  <w:p w14:paraId="30198C4A">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51C6B">
    <w:pPr>
      <w:pStyle w:val="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2441A99">
                          <w:pPr>
                            <w:pStyle w:val="6"/>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J8jdAgAAJAYAAA4AAABkcnMvZTJvRG9jLnhtbK1US27bMBDdF+gd&#10;CO4VSY5iy0bkwLGiooDRBEiLrmmKsohSJEHSn7Totr1BV91033PlHB1Klp2kRRGg9UIecoaP894M&#10;5/xi1wi0YcZyJTMcn0QYMUlVyeUqw+/eFkGKkXVElkQoyTJ8xyy+mL58cb7VEzZQtRIlMwhApJ1s&#10;dYZr5/QkDC2tWUPsidJMgrNSpiEOlmYVloZsAb0R4SCKhuFWmVIbRZm1sJt3TrxHNM8BVFXFKcsV&#10;XTdMug7VMEEcULI11xZP22yrilF3XVWWOSQyDExd+4VLwF76bzg9J5OVIbrmdJ8CeU4KTzg1hEu4&#10;9ACVE0fQ2vDfoBpOjbKqcidUNWFHpFUEWMTRE21ua6JZywWktvoguv1/sPTN5sYgXmZ4hJEkDRT8&#10;/tvX++8/7398QSMvz1bbCUTdaohzu0u1g6bp9y1seta7yjT+H/gg8IO4dwdx2c4h6g+lgzSNwEXB&#10;1y8APzwe18a6V0w1yBsZNlC9VlSyWVjXhfYh/japCi5EW0Eh0TbDw9OzqD1w8AC4kD4WsgCMvdVV&#10;5tM4Gl+lV2kSJIPhVZBEeR7MinkSDIt4dJaf5vN5Hn/2eHEyqXlZMunv67skTp5XhX2ndPU99IlV&#10;gpcezqdkzWo5FwZtCHRp0f68wpD8g7DwcRqtG1g9oRQPkuhyMA6KYToKkiI5C8ajKA2ieHw5Hkb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J0wnyN0CAAAkBgAADgAAAAAAAAABACAAAAAfAQAAZHJzL2Uyb0RvYy54bWxQSwUG&#10;AAAAAAYABgBZAQAAbgYAAAAA&#10;">
              <v:fill on="f" focussize="0,0"/>
              <v:stroke on="f" weight="0.5pt"/>
              <v:imagedata o:title=""/>
              <o:lock v:ext="edit" aspectratio="f"/>
              <v:textbox inset="0mm,0mm,0mm,0mm" style="mso-fit-shape-to-text:t;">
                <w:txbxContent>
                  <w:p w14:paraId="52441A99">
                    <w:pPr>
                      <w:pStyle w:val="6"/>
                    </w:pPr>
                    <w:r>
                      <w:fldChar w:fldCharType="begin"/>
                    </w:r>
                    <w:r>
                      <w:instrText xml:space="preserve"> PAGE  \* MERGEFORMAT </w:instrText>
                    </w:r>
                    <w:r>
                      <w:fldChar w:fldCharType="separate"/>
                    </w:r>
                    <w:r>
                      <w:t>27</w:t>
                    </w:r>
                    <w:r>
                      <w:fldChar w:fldCharType="end"/>
                    </w:r>
                  </w:p>
                </w:txbxContent>
              </v:textbox>
            </v:shape>
          </w:pict>
        </mc:Fallback>
      </mc:AlternateContent>
    </w:r>
  </w:p>
  <w:p w14:paraId="464E191D">
    <w:pPr>
      <w:pStyle w:val="6"/>
      <w:jc w:val="center"/>
      <w:rPr>
        <w:rFonts w:ascii="Arial" w:hAnsi="Arial" w:cs="Arial"/>
        <w:sz w:val="21"/>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8EDFA">
    <w:pPr>
      <w:pStyle w:val="7"/>
      <w:jc w:val="right"/>
      <w:rPr>
        <w:rFonts w:hint="eastAsia" w:eastAsiaTheme="minorEastAsia"/>
        <w:lang w:eastAsia="zh-CN"/>
      </w:rPr>
    </w:pPr>
    <w:r>
      <w:rPr>
        <w:rFonts w:hint="eastAsia"/>
        <w:lang w:eastAsia="zh-CN"/>
      </w:rPr>
      <w:t>博时中证稀有金属主题交易型开放式指数证券投资基金</w:t>
    </w:r>
    <w:r>
      <w:rPr>
        <w:rFonts w:hint="eastAsia"/>
      </w:rPr>
      <w:t>上市交易公告书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E0338">
    <w:pPr>
      <w:pStyle w:val="7"/>
      <w:jc w:val="right"/>
    </w:pPr>
    <w:r>
      <w:rPr>
        <w:rFonts w:hint="eastAsia"/>
        <w:lang w:eastAsia="zh-CN"/>
      </w:rPr>
      <w:t>博时中证稀有金属主题交易型开放式指数证券投资基金</w:t>
    </w:r>
    <w:r>
      <w:rPr>
        <w:rFonts w:hint="eastAsia"/>
      </w:rPr>
      <w:t>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9B0B23"/>
    <w:multiLevelType w:val="singleLevel"/>
    <w:tmpl w:val="889B0B23"/>
    <w:lvl w:ilvl="0" w:tentative="0">
      <w:start w:val="3"/>
      <w:numFmt w:val="chineseCounting"/>
      <w:suff w:val="nothing"/>
      <w:lvlText w:val="%1、"/>
      <w:lvlJc w:val="left"/>
      <w:rPr>
        <w:rFonts w:hint="eastAsia"/>
      </w:rPr>
    </w:lvl>
  </w:abstractNum>
  <w:abstractNum w:abstractNumId="1">
    <w:nsid w:val="95229859"/>
    <w:multiLevelType w:val="singleLevel"/>
    <w:tmpl w:val="95229859"/>
    <w:lvl w:ilvl="0" w:tentative="0">
      <w:start w:val="1"/>
      <w:numFmt w:val="chineseCounting"/>
      <w:suff w:val="nothing"/>
      <w:lvlText w:val="（%1）"/>
      <w:lvlJc w:val="left"/>
      <w:rPr>
        <w:rFonts w:hint="eastAsia"/>
      </w:rPr>
    </w:lvl>
  </w:abstractNum>
  <w:abstractNum w:abstractNumId="2">
    <w:nsid w:val="A7A649CA"/>
    <w:multiLevelType w:val="singleLevel"/>
    <w:tmpl w:val="A7A649CA"/>
    <w:lvl w:ilvl="0" w:tentative="0">
      <w:start w:val="5"/>
      <w:numFmt w:val="decimal"/>
      <w:suff w:val="nothing"/>
      <w:lvlText w:val="%1、"/>
      <w:lvlJc w:val="left"/>
    </w:lvl>
  </w:abstractNum>
  <w:abstractNum w:abstractNumId="3">
    <w:nsid w:val="AD4BCBEB"/>
    <w:multiLevelType w:val="singleLevel"/>
    <w:tmpl w:val="AD4BCBEB"/>
    <w:lvl w:ilvl="0" w:tentative="0">
      <w:start w:val="2"/>
      <w:numFmt w:val="chineseCounting"/>
      <w:suff w:val="nothing"/>
      <w:lvlText w:val="（%1）"/>
      <w:lvlJc w:val="left"/>
      <w:rPr>
        <w:rFonts w:hint="eastAsia"/>
      </w:rPr>
    </w:lvl>
  </w:abstractNum>
  <w:abstractNum w:abstractNumId="4">
    <w:nsid w:val="E972191C"/>
    <w:multiLevelType w:val="singleLevel"/>
    <w:tmpl w:val="E972191C"/>
    <w:lvl w:ilvl="0" w:tentative="0">
      <w:start w:val="9"/>
      <w:numFmt w:val="chineseCounting"/>
      <w:suff w:val="nothing"/>
      <w:lvlText w:val="（%1）"/>
      <w:lvlJc w:val="left"/>
      <w:rPr>
        <w:rFonts w:hint="eastAsia"/>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196"/>
    <w:rsid w:val="0000010D"/>
    <w:rsid w:val="0002596A"/>
    <w:rsid w:val="00027E3E"/>
    <w:rsid w:val="00061331"/>
    <w:rsid w:val="0009589A"/>
    <w:rsid w:val="000A673F"/>
    <w:rsid w:val="000D4D5C"/>
    <w:rsid w:val="000E12FA"/>
    <w:rsid w:val="000E4A1F"/>
    <w:rsid w:val="00100E17"/>
    <w:rsid w:val="00134196"/>
    <w:rsid w:val="001416C2"/>
    <w:rsid w:val="00171C23"/>
    <w:rsid w:val="0018679A"/>
    <w:rsid w:val="001C773F"/>
    <w:rsid w:val="001F7003"/>
    <w:rsid w:val="00260AE1"/>
    <w:rsid w:val="00263411"/>
    <w:rsid w:val="002729FC"/>
    <w:rsid w:val="0029040B"/>
    <w:rsid w:val="002924D0"/>
    <w:rsid w:val="002C5962"/>
    <w:rsid w:val="00313946"/>
    <w:rsid w:val="003219EE"/>
    <w:rsid w:val="003239CA"/>
    <w:rsid w:val="00371CF0"/>
    <w:rsid w:val="00396962"/>
    <w:rsid w:val="003C2E63"/>
    <w:rsid w:val="003E1559"/>
    <w:rsid w:val="003F12CF"/>
    <w:rsid w:val="00400C84"/>
    <w:rsid w:val="00401F2E"/>
    <w:rsid w:val="0047581E"/>
    <w:rsid w:val="00487FCE"/>
    <w:rsid w:val="004A479D"/>
    <w:rsid w:val="004B194F"/>
    <w:rsid w:val="004B5A6B"/>
    <w:rsid w:val="0051629E"/>
    <w:rsid w:val="005341BA"/>
    <w:rsid w:val="00594717"/>
    <w:rsid w:val="005F15AB"/>
    <w:rsid w:val="00674928"/>
    <w:rsid w:val="006A1BC2"/>
    <w:rsid w:val="006D0E36"/>
    <w:rsid w:val="006E2432"/>
    <w:rsid w:val="006E2EE7"/>
    <w:rsid w:val="006F1399"/>
    <w:rsid w:val="00722ACA"/>
    <w:rsid w:val="007371DD"/>
    <w:rsid w:val="0077580E"/>
    <w:rsid w:val="007818B1"/>
    <w:rsid w:val="0079609A"/>
    <w:rsid w:val="0079747D"/>
    <w:rsid w:val="007C18A1"/>
    <w:rsid w:val="00827CDC"/>
    <w:rsid w:val="00871D54"/>
    <w:rsid w:val="00876E8F"/>
    <w:rsid w:val="008C5059"/>
    <w:rsid w:val="008D3BC8"/>
    <w:rsid w:val="008E2D07"/>
    <w:rsid w:val="008F0DDC"/>
    <w:rsid w:val="008F6999"/>
    <w:rsid w:val="009106B4"/>
    <w:rsid w:val="00987B9E"/>
    <w:rsid w:val="0099188E"/>
    <w:rsid w:val="0099374E"/>
    <w:rsid w:val="009C00B4"/>
    <w:rsid w:val="009C1FC1"/>
    <w:rsid w:val="009F1215"/>
    <w:rsid w:val="009F404B"/>
    <w:rsid w:val="00A015ED"/>
    <w:rsid w:val="00A028F0"/>
    <w:rsid w:val="00A8346F"/>
    <w:rsid w:val="00A95D3E"/>
    <w:rsid w:val="00AC00CD"/>
    <w:rsid w:val="00AF56CC"/>
    <w:rsid w:val="00B3407F"/>
    <w:rsid w:val="00B67E73"/>
    <w:rsid w:val="00BB35F3"/>
    <w:rsid w:val="00C03241"/>
    <w:rsid w:val="00C153EE"/>
    <w:rsid w:val="00C556E1"/>
    <w:rsid w:val="00C760AE"/>
    <w:rsid w:val="00C86CE5"/>
    <w:rsid w:val="00CD4852"/>
    <w:rsid w:val="00CD5400"/>
    <w:rsid w:val="00D17E48"/>
    <w:rsid w:val="00DA7151"/>
    <w:rsid w:val="00E168F5"/>
    <w:rsid w:val="00E36C49"/>
    <w:rsid w:val="00E36CC6"/>
    <w:rsid w:val="00E54F02"/>
    <w:rsid w:val="00E92B60"/>
    <w:rsid w:val="00EA217C"/>
    <w:rsid w:val="00EA27CB"/>
    <w:rsid w:val="00EA6CE8"/>
    <w:rsid w:val="00ED55BC"/>
    <w:rsid w:val="00F0454D"/>
    <w:rsid w:val="00F22A21"/>
    <w:rsid w:val="00F42FBA"/>
    <w:rsid w:val="00F87159"/>
    <w:rsid w:val="00F938B1"/>
    <w:rsid w:val="00F96B9F"/>
    <w:rsid w:val="00FF03B8"/>
    <w:rsid w:val="01184F34"/>
    <w:rsid w:val="01295C3B"/>
    <w:rsid w:val="01361A93"/>
    <w:rsid w:val="013D1795"/>
    <w:rsid w:val="017C7C14"/>
    <w:rsid w:val="01AC356B"/>
    <w:rsid w:val="01C32272"/>
    <w:rsid w:val="01E811AC"/>
    <w:rsid w:val="023C66B8"/>
    <w:rsid w:val="03190625"/>
    <w:rsid w:val="032E7E6F"/>
    <w:rsid w:val="035C032D"/>
    <w:rsid w:val="039713C7"/>
    <w:rsid w:val="03A54ED2"/>
    <w:rsid w:val="03AC57BC"/>
    <w:rsid w:val="03AD5615"/>
    <w:rsid w:val="03F72C51"/>
    <w:rsid w:val="03FE04C6"/>
    <w:rsid w:val="040334DE"/>
    <w:rsid w:val="04185410"/>
    <w:rsid w:val="04360E90"/>
    <w:rsid w:val="043D1681"/>
    <w:rsid w:val="047F2F94"/>
    <w:rsid w:val="04AD0690"/>
    <w:rsid w:val="04AE3564"/>
    <w:rsid w:val="04C715E5"/>
    <w:rsid w:val="050D387B"/>
    <w:rsid w:val="057F16A6"/>
    <w:rsid w:val="05FB30A1"/>
    <w:rsid w:val="064A73D7"/>
    <w:rsid w:val="066B7E24"/>
    <w:rsid w:val="06CA486E"/>
    <w:rsid w:val="06E23AB3"/>
    <w:rsid w:val="06E92564"/>
    <w:rsid w:val="072843AA"/>
    <w:rsid w:val="07780B4E"/>
    <w:rsid w:val="07A2676C"/>
    <w:rsid w:val="07BA233A"/>
    <w:rsid w:val="07CC1898"/>
    <w:rsid w:val="0804612B"/>
    <w:rsid w:val="08A90D2D"/>
    <w:rsid w:val="093B2B83"/>
    <w:rsid w:val="09511A59"/>
    <w:rsid w:val="09673BFD"/>
    <w:rsid w:val="097A15AD"/>
    <w:rsid w:val="09AF3FF1"/>
    <w:rsid w:val="09B40952"/>
    <w:rsid w:val="09E3055C"/>
    <w:rsid w:val="09FC40F0"/>
    <w:rsid w:val="0A0D0BA8"/>
    <w:rsid w:val="0A397185"/>
    <w:rsid w:val="0B0D2CD4"/>
    <w:rsid w:val="0B2009CF"/>
    <w:rsid w:val="0B25137C"/>
    <w:rsid w:val="0B66796B"/>
    <w:rsid w:val="0B6912F6"/>
    <w:rsid w:val="0B815345"/>
    <w:rsid w:val="0B984927"/>
    <w:rsid w:val="0BB6683D"/>
    <w:rsid w:val="0BEC17BE"/>
    <w:rsid w:val="0C1F5A2F"/>
    <w:rsid w:val="0C5B1651"/>
    <w:rsid w:val="0CCF3C1F"/>
    <w:rsid w:val="0DB645AA"/>
    <w:rsid w:val="0F444E21"/>
    <w:rsid w:val="0FE07C99"/>
    <w:rsid w:val="0FF61EB6"/>
    <w:rsid w:val="100E07B1"/>
    <w:rsid w:val="10450B67"/>
    <w:rsid w:val="108F0808"/>
    <w:rsid w:val="10B7227A"/>
    <w:rsid w:val="10E375F3"/>
    <w:rsid w:val="114836DA"/>
    <w:rsid w:val="11750DDE"/>
    <w:rsid w:val="11883AE7"/>
    <w:rsid w:val="118C2FE9"/>
    <w:rsid w:val="11C467C0"/>
    <w:rsid w:val="11EB3172"/>
    <w:rsid w:val="11F0177A"/>
    <w:rsid w:val="12065420"/>
    <w:rsid w:val="128C697D"/>
    <w:rsid w:val="12DA0C7B"/>
    <w:rsid w:val="12E85A12"/>
    <w:rsid w:val="12FF7803"/>
    <w:rsid w:val="13437311"/>
    <w:rsid w:val="1399374C"/>
    <w:rsid w:val="13CC3966"/>
    <w:rsid w:val="14B5526A"/>
    <w:rsid w:val="14BD2115"/>
    <w:rsid w:val="14F1166B"/>
    <w:rsid w:val="15003B15"/>
    <w:rsid w:val="15127621"/>
    <w:rsid w:val="15CA457D"/>
    <w:rsid w:val="15D20959"/>
    <w:rsid w:val="162E3271"/>
    <w:rsid w:val="168205E3"/>
    <w:rsid w:val="16C7752A"/>
    <w:rsid w:val="17093E07"/>
    <w:rsid w:val="172D2140"/>
    <w:rsid w:val="185773FE"/>
    <w:rsid w:val="1920657C"/>
    <w:rsid w:val="19A60D94"/>
    <w:rsid w:val="19AE6CD8"/>
    <w:rsid w:val="19D01DE3"/>
    <w:rsid w:val="1A2A2B7C"/>
    <w:rsid w:val="1A9F256A"/>
    <w:rsid w:val="1AB67501"/>
    <w:rsid w:val="1AE55CD1"/>
    <w:rsid w:val="1B2E1125"/>
    <w:rsid w:val="1BB340C4"/>
    <w:rsid w:val="1C0D6142"/>
    <w:rsid w:val="1C530F07"/>
    <w:rsid w:val="1C6564EA"/>
    <w:rsid w:val="1CDE7E82"/>
    <w:rsid w:val="1CF21D0A"/>
    <w:rsid w:val="1CF81B63"/>
    <w:rsid w:val="1D5B5880"/>
    <w:rsid w:val="1D86257E"/>
    <w:rsid w:val="1E764308"/>
    <w:rsid w:val="1F455FAF"/>
    <w:rsid w:val="200E0DCE"/>
    <w:rsid w:val="200F29A4"/>
    <w:rsid w:val="202A5715"/>
    <w:rsid w:val="20322091"/>
    <w:rsid w:val="20415C7A"/>
    <w:rsid w:val="20A4605A"/>
    <w:rsid w:val="211557A3"/>
    <w:rsid w:val="21374E80"/>
    <w:rsid w:val="214C385F"/>
    <w:rsid w:val="21D92814"/>
    <w:rsid w:val="21E140A1"/>
    <w:rsid w:val="22945014"/>
    <w:rsid w:val="22BC69FE"/>
    <w:rsid w:val="22CE25B1"/>
    <w:rsid w:val="230131C6"/>
    <w:rsid w:val="2318468D"/>
    <w:rsid w:val="235734A3"/>
    <w:rsid w:val="244254CA"/>
    <w:rsid w:val="247B3126"/>
    <w:rsid w:val="249C1D1C"/>
    <w:rsid w:val="24A312E6"/>
    <w:rsid w:val="25DE436B"/>
    <w:rsid w:val="25E2137E"/>
    <w:rsid w:val="25EB7E37"/>
    <w:rsid w:val="25FC1FD6"/>
    <w:rsid w:val="26611895"/>
    <w:rsid w:val="269E134D"/>
    <w:rsid w:val="26D12FC0"/>
    <w:rsid w:val="26EF06E2"/>
    <w:rsid w:val="28165E9D"/>
    <w:rsid w:val="28950EC1"/>
    <w:rsid w:val="28CA0B7C"/>
    <w:rsid w:val="290F01F1"/>
    <w:rsid w:val="29194CBB"/>
    <w:rsid w:val="292000D1"/>
    <w:rsid w:val="29750DDC"/>
    <w:rsid w:val="29AB0FAD"/>
    <w:rsid w:val="2AB1410C"/>
    <w:rsid w:val="2AD640D4"/>
    <w:rsid w:val="2B14257A"/>
    <w:rsid w:val="2B994A59"/>
    <w:rsid w:val="2BE86BDC"/>
    <w:rsid w:val="2C4B74B9"/>
    <w:rsid w:val="2C8B07C0"/>
    <w:rsid w:val="2CB86F50"/>
    <w:rsid w:val="2EA81517"/>
    <w:rsid w:val="2F4F1437"/>
    <w:rsid w:val="2FED371A"/>
    <w:rsid w:val="3006055A"/>
    <w:rsid w:val="300F498A"/>
    <w:rsid w:val="30A61108"/>
    <w:rsid w:val="30E8308A"/>
    <w:rsid w:val="31427C32"/>
    <w:rsid w:val="31523460"/>
    <w:rsid w:val="31DC6E5B"/>
    <w:rsid w:val="31E33F4A"/>
    <w:rsid w:val="31F90095"/>
    <w:rsid w:val="322A0A77"/>
    <w:rsid w:val="3281224F"/>
    <w:rsid w:val="329B335B"/>
    <w:rsid w:val="32A54325"/>
    <w:rsid w:val="330630C5"/>
    <w:rsid w:val="33522861"/>
    <w:rsid w:val="33F26783"/>
    <w:rsid w:val="343A21BD"/>
    <w:rsid w:val="354E1BB5"/>
    <w:rsid w:val="358B3002"/>
    <w:rsid w:val="35A07F01"/>
    <w:rsid w:val="3639291E"/>
    <w:rsid w:val="363C6B3B"/>
    <w:rsid w:val="36A3184F"/>
    <w:rsid w:val="36D45384"/>
    <w:rsid w:val="37B9272A"/>
    <w:rsid w:val="38685B24"/>
    <w:rsid w:val="3883262C"/>
    <w:rsid w:val="38CF4326"/>
    <w:rsid w:val="390D70E6"/>
    <w:rsid w:val="39232AE3"/>
    <w:rsid w:val="39770218"/>
    <w:rsid w:val="39EC52D6"/>
    <w:rsid w:val="39F50E2C"/>
    <w:rsid w:val="3A31575B"/>
    <w:rsid w:val="3A4E0551"/>
    <w:rsid w:val="3A840F8D"/>
    <w:rsid w:val="3A9167AE"/>
    <w:rsid w:val="3ABC62D2"/>
    <w:rsid w:val="3BC94229"/>
    <w:rsid w:val="3BFC347F"/>
    <w:rsid w:val="3C6C46B1"/>
    <w:rsid w:val="3CD704DD"/>
    <w:rsid w:val="3CEE4ED5"/>
    <w:rsid w:val="3D54332A"/>
    <w:rsid w:val="3D7B6D79"/>
    <w:rsid w:val="3DA114ED"/>
    <w:rsid w:val="3DA8317E"/>
    <w:rsid w:val="3E643409"/>
    <w:rsid w:val="3E8F30B2"/>
    <w:rsid w:val="3F507121"/>
    <w:rsid w:val="403A7E28"/>
    <w:rsid w:val="40A2464F"/>
    <w:rsid w:val="40F612A2"/>
    <w:rsid w:val="410924C1"/>
    <w:rsid w:val="41361A58"/>
    <w:rsid w:val="41443930"/>
    <w:rsid w:val="41A007B1"/>
    <w:rsid w:val="41D8232D"/>
    <w:rsid w:val="4203114E"/>
    <w:rsid w:val="42180F91"/>
    <w:rsid w:val="42354D79"/>
    <w:rsid w:val="42775F1B"/>
    <w:rsid w:val="429554CB"/>
    <w:rsid w:val="43142597"/>
    <w:rsid w:val="439A580C"/>
    <w:rsid w:val="440367EE"/>
    <w:rsid w:val="44626D0C"/>
    <w:rsid w:val="44C97D5C"/>
    <w:rsid w:val="44CB4A40"/>
    <w:rsid w:val="452841EB"/>
    <w:rsid w:val="453B6B56"/>
    <w:rsid w:val="460F7B7D"/>
    <w:rsid w:val="464E3068"/>
    <w:rsid w:val="465B2BE0"/>
    <w:rsid w:val="46707F9C"/>
    <w:rsid w:val="467576A4"/>
    <w:rsid w:val="47E349BA"/>
    <w:rsid w:val="47F17296"/>
    <w:rsid w:val="48194E0F"/>
    <w:rsid w:val="483A1D71"/>
    <w:rsid w:val="485E2A48"/>
    <w:rsid w:val="48C42A3E"/>
    <w:rsid w:val="493D4634"/>
    <w:rsid w:val="4984133C"/>
    <w:rsid w:val="4A642072"/>
    <w:rsid w:val="4AAC154C"/>
    <w:rsid w:val="4B540A03"/>
    <w:rsid w:val="4B7B0767"/>
    <w:rsid w:val="4BC77042"/>
    <w:rsid w:val="4BEC649C"/>
    <w:rsid w:val="4C105929"/>
    <w:rsid w:val="4C523EBC"/>
    <w:rsid w:val="4C566E0B"/>
    <w:rsid w:val="4CCE2312"/>
    <w:rsid w:val="4CF01E5B"/>
    <w:rsid w:val="4D467EC5"/>
    <w:rsid w:val="4D686C8D"/>
    <w:rsid w:val="4D847AF6"/>
    <w:rsid w:val="4DEA56F8"/>
    <w:rsid w:val="4E0F71D8"/>
    <w:rsid w:val="4E1C7A36"/>
    <w:rsid w:val="4E9068B5"/>
    <w:rsid w:val="4E9317DB"/>
    <w:rsid w:val="4EB64CD9"/>
    <w:rsid w:val="4EBD75BF"/>
    <w:rsid w:val="4EF8069D"/>
    <w:rsid w:val="4EF97CB9"/>
    <w:rsid w:val="4F292709"/>
    <w:rsid w:val="505E2185"/>
    <w:rsid w:val="510D1231"/>
    <w:rsid w:val="5148131A"/>
    <w:rsid w:val="515F7957"/>
    <w:rsid w:val="517B5A7B"/>
    <w:rsid w:val="517E5911"/>
    <w:rsid w:val="51833481"/>
    <w:rsid w:val="51935A63"/>
    <w:rsid w:val="51BD0E26"/>
    <w:rsid w:val="51E03964"/>
    <w:rsid w:val="526A5E71"/>
    <w:rsid w:val="52BE77B3"/>
    <w:rsid w:val="531C58EA"/>
    <w:rsid w:val="534E3B3B"/>
    <w:rsid w:val="53776891"/>
    <w:rsid w:val="53940A2C"/>
    <w:rsid w:val="53C23470"/>
    <w:rsid w:val="53D572C4"/>
    <w:rsid w:val="54B41D77"/>
    <w:rsid w:val="5583158B"/>
    <w:rsid w:val="55ED0F84"/>
    <w:rsid w:val="56937497"/>
    <w:rsid w:val="56CD00D3"/>
    <w:rsid w:val="571406EC"/>
    <w:rsid w:val="5716066D"/>
    <w:rsid w:val="57871C26"/>
    <w:rsid w:val="581E09E5"/>
    <w:rsid w:val="588178BF"/>
    <w:rsid w:val="589D2742"/>
    <w:rsid w:val="58A85581"/>
    <w:rsid w:val="58DA1640"/>
    <w:rsid w:val="58F74BDB"/>
    <w:rsid w:val="59234ECA"/>
    <w:rsid w:val="59EB6FC2"/>
    <w:rsid w:val="5A031FBA"/>
    <w:rsid w:val="5A3D154B"/>
    <w:rsid w:val="5AD964CD"/>
    <w:rsid w:val="5B3F1217"/>
    <w:rsid w:val="5B931E25"/>
    <w:rsid w:val="5BB9653E"/>
    <w:rsid w:val="5C324336"/>
    <w:rsid w:val="5C367226"/>
    <w:rsid w:val="5C55730B"/>
    <w:rsid w:val="5C630774"/>
    <w:rsid w:val="5C9D1C07"/>
    <w:rsid w:val="5D54142D"/>
    <w:rsid w:val="5D731CE1"/>
    <w:rsid w:val="5D7551E4"/>
    <w:rsid w:val="5D786169"/>
    <w:rsid w:val="5DE01011"/>
    <w:rsid w:val="5DFC3DD2"/>
    <w:rsid w:val="5E115063"/>
    <w:rsid w:val="5E612863"/>
    <w:rsid w:val="5E790851"/>
    <w:rsid w:val="607F4DDC"/>
    <w:rsid w:val="60A4759A"/>
    <w:rsid w:val="61161E58"/>
    <w:rsid w:val="611D7B4B"/>
    <w:rsid w:val="6134091C"/>
    <w:rsid w:val="61965C29"/>
    <w:rsid w:val="61AC454A"/>
    <w:rsid w:val="61C30450"/>
    <w:rsid w:val="620A3ED7"/>
    <w:rsid w:val="621D25FA"/>
    <w:rsid w:val="62240D43"/>
    <w:rsid w:val="623E7711"/>
    <w:rsid w:val="629C76D5"/>
    <w:rsid w:val="62F200E4"/>
    <w:rsid w:val="63E853DA"/>
    <w:rsid w:val="641C5084"/>
    <w:rsid w:val="646C7D20"/>
    <w:rsid w:val="651F1D1E"/>
    <w:rsid w:val="65D4120E"/>
    <w:rsid w:val="65ED6CD8"/>
    <w:rsid w:val="66651A1B"/>
    <w:rsid w:val="66FF1E88"/>
    <w:rsid w:val="67517E8F"/>
    <w:rsid w:val="67706CC4"/>
    <w:rsid w:val="67994E76"/>
    <w:rsid w:val="67F0485E"/>
    <w:rsid w:val="68685BD7"/>
    <w:rsid w:val="68A839E0"/>
    <w:rsid w:val="69A022B3"/>
    <w:rsid w:val="6A945605"/>
    <w:rsid w:val="6BA0669E"/>
    <w:rsid w:val="6C587073"/>
    <w:rsid w:val="6C982FFE"/>
    <w:rsid w:val="6C9F2CF6"/>
    <w:rsid w:val="6D2163F1"/>
    <w:rsid w:val="6D900673"/>
    <w:rsid w:val="6DA90E3C"/>
    <w:rsid w:val="6E3D7FE4"/>
    <w:rsid w:val="6E8E404B"/>
    <w:rsid w:val="6E931328"/>
    <w:rsid w:val="6EA34655"/>
    <w:rsid w:val="6EC60678"/>
    <w:rsid w:val="6F6E001D"/>
    <w:rsid w:val="701E7149"/>
    <w:rsid w:val="705D49DF"/>
    <w:rsid w:val="70CE7620"/>
    <w:rsid w:val="71130F39"/>
    <w:rsid w:val="712E50BB"/>
    <w:rsid w:val="714314E5"/>
    <w:rsid w:val="71EA2A02"/>
    <w:rsid w:val="729546DD"/>
    <w:rsid w:val="72C37A54"/>
    <w:rsid w:val="73406EE2"/>
    <w:rsid w:val="742B4593"/>
    <w:rsid w:val="748C40F3"/>
    <w:rsid w:val="754B1470"/>
    <w:rsid w:val="75DF4815"/>
    <w:rsid w:val="76401F90"/>
    <w:rsid w:val="766E39D9"/>
    <w:rsid w:val="768F36B2"/>
    <w:rsid w:val="76A622B6"/>
    <w:rsid w:val="78A13CF9"/>
    <w:rsid w:val="792C3D02"/>
    <w:rsid w:val="7A495727"/>
    <w:rsid w:val="7A880C87"/>
    <w:rsid w:val="7A952665"/>
    <w:rsid w:val="7AFB77FA"/>
    <w:rsid w:val="7AFC51D8"/>
    <w:rsid w:val="7B3926B8"/>
    <w:rsid w:val="7B8D48EC"/>
    <w:rsid w:val="7BA07C27"/>
    <w:rsid w:val="7C38530D"/>
    <w:rsid w:val="7C4C7499"/>
    <w:rsid w:val="7C6B4F43"/>
    <w:rsid w:val="7C9809DF"/>
    <w:rsid w:val="7CD10878"/>
    <w:rsid w:val="7D1629EF"/>
    <w:rsid w:val="7D9E733F"/>
    <w:rsid w:val="7E1626EC"/>
    <w:rsid w:val="7E383819"/>
    <w:rsid w:val="7E441A66"/>
    <w:rsid w:val="7E5A355A"/>
    <w:rsid w:val="7EB950F3"/>
    <w:rsid w:val="7EF27FDD"/>
    <w:rsid w:val="7F132988"/>
    <w:rsid w:val="7F7B37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2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5"/>
    <w:semiHidden/>
    <w:unhideWhenUsed/>
    <w:qFormat/>
    <w:uiPriority w:val="99"/>
    <w:pPr>
      <w:jc w:val="left"/>
    </w:pPr>
  </w:style>
  <w:style w:type="paragraph" w:styleId="4">
    <w:name w:val="Date"/>
    <w:basedOn w:val="1"/>
    <w:next w:val="1"/>
    <w:link w:val="28"/>
    <w:semiHidden/>
    <w:unhideWhenUsed/>
    <w:qFormat/>
    <w:uiPriority w:val="99"/>
    <w:pPr>
      <w:ind w:left="100" w:leftChars="2500"/>
    </w:pPr>
  </w:style>
  <w:style w:type="paragraph" w:styleId="5">
    <w:name w:val="Balloon Text"/>
    <w:basedOn w:val="1"/>
    <w:link w:val="27"/>
    <w:semiHidden/>
    <w:unhideWhenUsed/>
    <w:qFormat/>
    <w:uiPriority w:val="99"/>
    <w:rPr>
      <w:sz w:val="18"/>
      <w:szCs w:val="18"/>
    </w:rPr>
  </w:style>
  <w:style w:type="paragraph" w:styleId="6">
    <w:name w:val="footer"/>
    <w:basedOn w:val="1"/>
    <w:link w:val="24"/>
    <w:unhideWhenUsed/>
    <w:qFormat/>
    <w:uiPriority w:val="99"/>
    <w:pPr>
      <w:tabs>
        <w:tab w:val="center" w:pos="4153"/>
        <w:tab w:val="right" w:pos="8306"/>
      </w:tabs>
      <w:snapToGrid w:val="0"/>
      <w:jc w:val="left"/>
    </w:pPr>
    <w:rPr>
      <w:sz w:val="18"/>
      <w:szCs w:val="18"/>
    </w:rPr>
  </w:style>
  <w:style w:type="paragraph" w:styleId="7">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2"/>
    <w:basedOn w:val="1"/>
    <w:next w:val="1"/>
    <w:unhideWhenUsed/>
    <w:qFormat/>
    <w:uiPriority w:val="39"/>
    <w:pPr>
      <w:ind w:left="420" w:leftChars="200"/>
    </w:pPr>
  </w:style>
  <w:style w:type="paragraph" w:styleId="9">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0">
    <w:name w:val="annotation subject"/>
    <w:basedOn w:val="3"/>
    <w:next w:val="3"/>
    <w:link w:val="26"/>
    <w:semiHidden/>
    <w:unhideWhenUsed/>
    <w:qFormat/>
    <w:uiPriority w:val="99"/>
    <w:rPr>
      <w:b/>
      <w:bCs/>
    </w:rPr>
  </w:style>
  <w:style w:type="character" w:styleId="13">
    <w:name w:val="Strong"/>
    <w:basedOn w:val="12"/>
    <w:qFormat/>
    <w:uiPriority w:val="22"/>
    <w:rPr>
      <w:b/>
      <w:bCs/>
    </w:rPr>
  </w:style>
  <w:style w:type="character" w:styleId="14">
    <w:name w:val="FollowedHyperlink"/>
    <w:basedOn w:val="12"/>
    <w:semiHidden/>
    <w:unhideWhenUsed/>
    <w:qFormat/>
    <w:uiPriority w:val="99"/>
    <w:rPr>
      <w:color w:val="333333"/>
      <w:u w:val="none"/>
    </w:rPr>
  </w:style>
  <w:style w:type="character" w:styleId="15">
    <w:name w:val="Emphasis"/>
    <w:basedOn w:val="12"/>
    <w:qFormat/>
    <w:uiPriority w:val="20"/>
    <w:rPr>
      <w:color w:val="D70C19"/>
    </w:rPr>
  </w:style>
  <w:style w:type="character" w:styleId="16">
    <w:name w:val="HTML Definition"/>
    <w:basedOn w:val="12"/>
    <w:semiHidden/>
    <w:unhideWhenUsed/>
    <w:qFormat/>
    <w:uiPriority w:val="99"/>
    <w:rPr>
      <w:i/>
      <w:iCs/>
    </w:rPr>
  </w:style>
  <w:style w:type="character" w:styleId="17">
    <w:name w:val="Hyperlink"/>
    <w:basedOn w:val="12"/>
    <w:unhideWhenUsed/>
    <w:qFormat/>
    <w:uiPriority w:val="99"/>
    <w:rPr>
      <w:color w:val="0000FF" w:themeColor="hyperlink"/>
      <w:u w:val="single"/>
      <w14:textFill>
        <w14:solidFill>
          <w14:schemeClr w14:val="hlink"/>
        </w14:solidFill>
      </w14:textFill>
    </w:rPr>
  </w:style>
  <w:style w:type="character" w:styleId="18">
    <w:name w:val="HTML Code"/>
    <w:basedOn w:val="12"/>
    <w:semiHidden/>
    <w:unhideWhenUsed/>
    <w:qFormat/>
    <w:uiPriority w:val="99"/>
    <w:rPr>
      <w:rFonts w:ascii="monospace" w:hAnsi="monospace" w:eastAsia="monospace" w:cs="monospace"/>
      <w:sz w:val="21"/>
      <w:szCs w:val="21"/>
    </w:rPr>
  </w:style>
  <w:style w:type="character" w:styleId="19">
    <w:name w:val="annotation reference"/>
    <w:basedOn w:val="12"/>
    <w:semiHidden/>
    <w:unhideWhenUsed/>
    <w:qFormat/>
    <w:uiPriority w:val="99"/>
    <w:rPr>
      <w:sz w:val="21"/>
      <w:szCs w:val="21"/>
    </w:rPr>
  </w:style>
  <w:style w:type="character" w:styleId="20">
    <w:name w:val="HTML Keyboard"/>
    <w:basedOn w:val="12"/>
    <w:semiHidden/>
    <w:unhideWhenUsed/>
    <w:qFormat/>
    <w:uiPriority w:val="99"/>
    <w:rPr>
      <w:rFonts w:hint="default" w:ascii="monospace" w:hAnsi="monospace" w:eastAsia="monospace" w:cs="monospace"/>
      <w:sz w:val="21"/>
      <w:szCs w:val="21"/>
    </w:rPr>
  </w:style>
  <w:style w:type="character" w:styleId="21">
    <w:name w:val="HTML Sample"/>
    <w:basedOn w:val="12"/>
    <w:semiHidden/>
    <w:unhideWhenUsed/>
    <w:qFormat/>
    <w:uiPriority w:val="99"/>
    <w:rPr>
      <w:rFonts w:hint="default" w:ascii="monospace" w:hAnsi="monospace" w:eastAsia="monospace" w:cs="monospace"/>
      <w:sz w:val="21"/>
      <w:szCs w:val="21"/>
    </w:rPr>
  </w:style>
  <w:style w:type="character" w:customStyle="1" w:styleId="22">
    <w:name w:val="标题 2 字符"/>
    <w:basedOn w:val="12"/>
    <w:link w:val="2"/>
    <w:qFormat/>
    <w:uiPriority w:val="9"/>
    <w:rPr>
      <w:rFonts w:asciiTheme="majorHAnsi" w:hAnsiTheme="majorHAnsi" w:eastAsiaTheme="majorEastAsia" w:cstheme="majorBidi"/>
      <w:b/>
      <w:bCs/>
      <w:sz w:val="32"/>
      <w:szCs w:val="32"/>
    </w:rPr>
  </w:style>
  <w:style w:type="character" w:customStyle="1" w:styleId="23">
    <w:name w:val="页眉 字符"/>
    <w:basedOn w:val="12"/>
    <w:link w:val="7"/>
    <w:qFormat/>
    <w:uiPriority w:val="99"/>
    <w:rPr>
      <w:sz w:val="18"/>
      <w:szCs w:val="18"/>
    </w:rPr>
  </w:style>
  <w:style w:type="character" w:customStyle="1" w:styleId="24">
    <w:name w:val="页脚 字符"/>
    <w:basedOn w:val="12"/>
    <w:link w:val="6"/>
    <w:qFormat/>
    <w:uiPriority w:val="99"/>
    <w:rPr>
      <w:sz w:val="18"/>
      <w:szCs w:val="18"/>
    </w:rPr>
  </w:style>
  <w:style w:type="character" w:customStyle="1" w:styleId="25">
    <w:name w:val="批注文字 字符"/>
    <w:basedOn w:val="12"/>
    <w:link w:val="3"/>
    <w:semiHidden/>
    <w:qFormat/>
    <w:uiPriority w:val="99"/>
  </w:style>
  <w:style w:type="character" w:customStyle="1" w:styleId="26">
    <w:name w:val="批注主题 字符"/>
    <w:basedOn w:val="25"/>
    <w:link w:val="10"/>
    <w:semiHidden/>
    <w:qFormat/>
    <w:uiPriority w:val="99"/>
    <w:rPr>
      <w:b/>
      <w:bCs/>
    </w:rPr>
  </w:style>
  <w:style w:type="character" w:customStyle="1" w:styleId="27">
    <w:name w:val="批注框文本 字符"/>
    <w:basedOn w:val="12"/>
    <w:link w:val="5"/>
    <w:semiHidden/>
    <w:qFormat/>
    <w:uiPriority w:val="99"/>
    <w:rPr>
      <w:sz w:val="18"/>
      <w:szCs w:val="18"/>
    </w:rPr>
  </w:style>
  <w:style w:type="character" w:customStyle="1" w:styleId="28">
    <w:name w:val="日期 字符"/>
    <w:basedOn w:val="12"/>
    <w:link w:val="4"/>
    <w:semiHidden/>
    <w:qFormat/>
    <w:uiPriority w:val="99"/>
  </w:style>
  <w:style w:type="paragraph" w:customStyle="1" w:styleId="29">
    <w:name w:val="List Paragraph"/>
    <w:basedOn w:val="1"/>
    <w:qFormat/>
    <w:uiPriority w:val="0"/>
    <w:pPr>
      <w:ind w:firstLine="420" w:firstLineChars="200"/>
    </w:pPr>
  </w:style>
  <w:style w:type="character" w:customStyle="1" w:styleId="30">
    <w:name w:val="error"/>
    <w:basedOn w:val="12"/>
    <w:qFormat/>
    <w:uiPriority w:val="0"/>
  </w:style>
  <w:style w:type="character" w:customStyle="1" w:styleId="31">
    <w:name w:val="error1"/>
    <w:basedOn w:val="12"/>
    <w:qFormat/>
    <w:uiPriority w:val="0"/>
  </w:style>
  <w:style w:type="character" w:customStyle="1" w:styleId="32">
    <w:name w:val="error2"/>
    <w:basedOn w:val="12"/>
    <w:qFormat/>
    <w:uiPriority w:val="0"/>
    <w:rPr>
      <w:color w:val="D70C19"/>
      <w:sz w:val="12"/>
      <w:szCs w:val="12"/>
    </w:rPr>
  </w:style>
  <w:style w:type="paragraph" w:customStyle="1" w:styleId="33">
    <w:name w:val="正文文本 21"/>
    <w:basedOn w:val="1"/>
    <w:qFormat/>
    <w:uiPriority w:val="99"/>
    <w:pPr>
      <w:spacing w:line="360" w:lineRule="auto"/>
    </w:pPr>
    <w:rPr>
      <w:sz w:val="24"/>
      <w:szCs w:val="24"/>
    </w:rPr>
  </w:style>
  <w:style w:type="paragraph" w:customStyle="1" w:styleId="34">
    <w:name w:val="正文121"/>
    <w:qFormat/>
    <w:uiPriority w:val="0"/>
    <w:pPr>
      <w:widowControl w:val="0"/>
      <w:jc w:val="both"/>
    </w:pPr>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FF88FF-16CF-4E57-969A-953575BB8878}">
  <ds:schemaRefs/>
</ds:datastoreItem>
</file>

<file path=docProps/app.xml><?xml version="1.0" encoding="utf-8"?>
<Properties xmlns="http://schemas.openxmlformats.org/officeDocument/2006/extended-properties" xmlns:vt="http://schemas.openxmlformats.org/officeDocument/2006/docPropsVTypes">
  <Template>Normal.dotm</Template>
  <Company>mycompany</Company>
  <Pages>49</Pages>
  <Words>34592</Words>
  <Characters>35876</Characters>
  <Lines>275</Lines>
  <Paragraphs>77</Paragraphs>
  <TotalTime>2</TotalTime>
  <ScaleCrop>false</ScaleCrop>
  <LinksUpToDate>false</LinksUpToDate>
  <CharactersWithSpaces>36106</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2022-07-06T07:39:00Z</dcterms:created>
  <dc:creator>BSKMadminDev</dc:creator>
  <cp:lastModifiedBy>liuf</cp:lastModifiedBy>
  <cp:lastPrinted>2026-09-16T03:06:00Z</cp:lastPrinted>
  <dcterms:modified xsi:type="dcterms:W3CDTF">2026-11-05T06:48:49Z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7CD710C10A8D488F956272A6323A56F8</vt:lpwstr>
  </property>
</Properties>
</file>