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宋体" w:hAnsi="宋体" w:eastAsia="宋体"/>
          <w:highlight w:val="none"/>
        </w:rPr>
      </w:pPr>
      <w:bookmarkStart w:id="0" w:name="_GoBack"/>
      <w:bookmarkEnd w:id="0"/>
      <w:r>
        <w:rPr>
          <w:rFonts w:hint="eastAsia" w:ascii="宋体" w:hAnsi="宋体" w:eastAsia="宋体"/>
          <w:b/>
          <w:color w:val="2B2B2B"/>
          <w:sz w:val="28"/>
          <w:szCs w:val="28"/>
          <w:highlight w:val="none"/>
        </w:rPr>
        <w:t>博时基金管理有限公司关于旗下基金投资关联方承销期内承销证券的公告</w:t>
      </w:r>
    </w:p>
    <w:p>
      <w:pPr>
        <w:spacing w:line="360" w:lineRule="auto"/>
        <w:ind w:firstLine="420" w:firstLineChars="200"/>
        <w:rPr>
          <w:rFonts w:hint="eastAsia" w:ascii="宋体" w:hAnsi="宋体" w:eastAsia="宋体"/>
          <w:color w:val="000000"/>
          <w:highlight w:val="none"/>
        </w:rPr>
      </w:pPr>
      <w:r>
        <w:rPr>
          <w:rFonts w:hint="eastAsia" w:ascii="宋体" w:hAnsi="宋体" w:eastAsia="宋体"/>
          <w:color w:val="000000"/>
          <w:highlight w:val="none"/>
        </w:rPr>
        <w:t>根据《中华人民共和国证券投资基金法》、《公开募集证券投资基金运作管理办法》、《公开募集证券投资基金信息披露管理办法》及相关基金基金合同、招募说明书等有关规定，经履行适当的审批程序，博时基金管理有限公司（以下简称“本公司”）旗下管理基金参与了</w:t>
      </w:r>
      <w:r>
        <w:rPr>
          <w:rFonts w:hint="eastAsia" w:ascii="宋体" w:hAnsi="宋体"/>
          <w:color w:val="000000"/>
          <w:highlight w:val="none"/>
          <w:lang w:eastAsia="zh-CN"/>
        </w:rPr>
        <w:t>粤芯半导体技术股份有限公司（以下简称“粤芯半导体”）</w:t>
      </w:r>
      <w:r>
        <w:rPr>
          <w:rFonts w:hint="eastAsia" w:ascii="宋体" w:hAnsi="宋体" w:eastAsia="宋体"/>
          <w:color w:val="000000"/>
          <w:highlight w:val="none"/>
          <w:lang w:eastAsia="zh-CN"/>
        </w:rPr>
        <w:t>向不特定合格投资者公开发行股票的申购</w:t>
      </w:r>
      <w:r>
        <w:rPr>
          <w:rFonts w:hint="eastAsia" w:ascii="宋体" w:hAnsi="宋体" w:eastAsia="宋体"/>
          <w:color w:val="000000"/>
          <w:highlight w:val="none"/>
        </w:rPr>
        <w:t>。</w:t>
      </w:r>
    </w:p>
    <w:p>
      <w:pPr>
        <w:spacing w:line="360" w:lineRule="auto"/>
        <w:ind w:firstLine="420" w:firstLineChars="200"/>
        <w:rPr>
          <w:rFonts w:hint="eastAsia" w:ascii="宋体" w:hAnsi="宋体"/>
          <w:color w:val="000000"/>
          <w:highlight w:val="none"/>
          <w:lang w:eastAsia="zh-CN"/>
        </w:rPr>
      </w:pPr>
      <w:r>
        <w:rPr>
          <w:rFonts w:hint="eastAsia" w:ascii="宋体" w:hAnsi="宋体"/>
          <w:color w:val="000000"/>
          <w:highlight w:val="none"/>
          <w:lang w:eastAsia="zh-CN"/>
        </w:rPr>
        <w:t>粤芯半导体本次发行的主承销商国泰海通证券股份有限公司（以下简称“国泰海通证券”）为本公司旗下部分基金的托管人，同时，国泰海通证券为本公司旗下部分基金托管人上海浦东发展银行股份有限公司（以下简称“浦发银行”）的关联方。粤芯半导体本次发行价格为人民币12.01元/股，现将本公司基金获配信息公告如下：</w:t>
      </w:r>
    </w:p>
    <w:p>
      <w:pPr>
        <w:spacing w:line="360" w:lineRule="auto"/>
        <w:ind w:firstLine="420" w:firstLineChars="200"/>
        <w:rPr>
          <w:rFonts w:hint="eastAsia" w:ascii="宋体" w:hAnsi="宋体" w:eastAsia="宋体"/>
          <w:color w:val="000000"/>
          <w:highlight w:val="none"/>
          <w:lang w:eastAsia="zh-CN"/>
        </w:rPr>
      </w:pPr>
      <w:r>
        <w:rPr>
          <w:rFonts w:hint="eastAsia" w:ascii="宋体" w:hAnsi="宋体"/>
          <w:color w:val="000000"/>
          <w:highlight w:val="none"/>
          <w:lang w:eastAsia="zh-CN"/>
        </w:rPr>
        <w:t>一、基金托管人为国泰海通证券的基金获配情况</w:t>
      </w:r>
    </w:p>
    <w:tbl>
      <w:tblPr>
        <w:tblStyle w:val="4"/>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2126"/>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E7E6E6"/>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基金名称</w:t>
            </w:r>
          </w:p>
        </w:tc>
        <w:tc>
          <w:tcPr>
            <w:tcW w:w="1701" w:type="dxa"/>
            <w:shd w:val="clear" w:color="auto" w:fill="E7E6E6"/>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获配数量（股）</w:t>
            </w:r>
          </w:p>
        </w:tc>
        <w:tc>
          <w:tcPr>
            <w:tcW w:w="1701" w:type="dxa"/>
            <w:shd w:val="clear" w:color="auto" w:fill="E7E6E6"/>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博时中证医药50交易型开放式指数证券投资基金</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2,989.00</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35,897.89</w:t>
            </w:r>
          </w:p>
        </w:tc>
      </w:tr>
    </w:tbl>
    <w:p>
      <w:pPr>
        <w:spacing w:line="360" w:lineRule="auto"/>
        <w:ind w:firstLine="420" w:firstLineChars="200"/>
        <w:rPr>
          <w:rFonts w:hint="eastAsia" w:ascii="宋体" w:hAnsi="宋体" w:eastAsia="宋体"/>
          <w:color w:val="000000"/>
          <w:highlight w:val="none"/>
          <w:lang w:eastAsia="zh-CN"/>
        </w:rPr>
      </w:pPr>
      <w:r>
        <w:rPr>
          <w:rFonts w:hint="eastAsia" w:ascii="宋体" w:hAnsi="宋体"/>
          <w:color w:val="000000"/>
          <w:highlight w:val="none"/>
          <w:lang w:eastAsia="zh-CN"/>
        </w:rPr>
        <w:t>二、基金托管人为浦发银行的基金获配情况</w:t>
      </w:r>
    </w:p>
    <w:tbl>
      <w:tblPr>
        <w:tblStyle w:val="4"/>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2126"/>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shd w:val="clear" w:color="auto" w:fill="E7E6E6"/>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基金名称</w:t>
            </w:r>
          </w:p>
        </w:tc>
        <w:tc>
          <w:tcPr>
            <w:tcW w:w="1701" w:type="dxa"/>
            <w:shd w:val="clear" w:color="auto" w:fill="E7E6E6"/>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获配数量（股）</w:t>
            </w:r>
          </w:p>
        </w:tc>
        <w:tc>
          <w:tcPr>
            <w:tcW w:w="1701" w:type="dxa"/>
            <w:shd w:val="clear" w:color="auto" w:fill="E7E6E6"/>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获配金额（元）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博时价值臻选两年持有期灵活配置混合型证券投资基金</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5,631.00</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67,628.31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博时创新经济混合型证券投资基金</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8,204.00</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98,530.04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402"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博时中证1000指数增强型证券投资基金</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13,105.00</w:t>
            </w:r>
          </w:p>
        </w:tc>
        <w:tc>
          <w:tcPr>
            <w:tcW w:w="1701" w:type="dxa"/>
            <w:noWrap w:val="0"/>
            <w:vAlign w:val="center"/>
          </w:tcPr>
          <w:p>
            <w:pPr>
              <w:keepNext w:val="0"/>
              <w:keepLines w:val="0"/>
              <w:pageBreakBefore w:val="0"/>
              <w:widowControl w:val="0"/>
              <w:kinsoku/>
              <w:wordWrap/>
              <w:overflowPunct/>
              <w:topLinePunct w:val="0"/>
              <w:autoSpaceDE/>
              <w:autoSpaceDN/>
              <w:bidi/>
              <w:adjustRightInd/>
              <w:snapToGrid/>
              <w:spacing w:line="288" w:lineRule="auto"/>
              <w:jc w:val="center"/>
              <w:textAlignment w:val="auto"/>
              <w:rPr>
                <w:rFonts w:hint="default" w:ascii="宋体" w:hAnsi="宋体" w:eastAsia="宋体"/>
                <w:color w:val="000000"/>
                <w:highlight w:val="none"/>
                <w:vertAlign w:val="baseline"/>
                <w:lang w:val="en-US" w:eastAsia="zh-CN"/>
              </w:rPr>
            </w:pPr>
            <w:r>
              <w:rPr>
                <w:rFonts w:hint="eastAsia" w:ascii="宋体" w:hAnsi="宋体"/>
                <w:color w:val="000000"/>
                <w:highlight w:val="none"/>
                <w:vertAlign w:val="baseline"/>
                <w:lang w:val="en-US" w:eastAsia="zh-CN"/>
              </w:rPr>
              <w:t>157,391.05</w:t>
            </w:r>
          </w:p>
        </w:tc>
      </w:tr>
    </w:tbl>
    <w:p>
      <w:pPr>
        <w:spacing w:line="360" w:lineRule="auto"/>
        <w:rPr>
          <w:rFonts w:hint="eastAsia" w:ascii="宋体" w:hAnsi="宋体" w:eastAsia="宋体"/>
          <w:color w:val="000000"/>
          <w:highlight w:val="none"/>
          <w:lang w:val="en-US" w:eastAsia="zh-CN"/>
        </w:rPr>
      </w:pPr>
    </w:p>
    <w:p>
      <w:pPr>
        <w:spacing w:line="360" w:lineRule="auto"/>
        <w:rPr>
          <w:rFonts w:hint="eastAsia" w:ascii="宋体" w:hAnsi="宋体"/>
          <w:color w:val="000000"/>
          <w:highlight w:val="none"/>
          <w:lang w:val="en-US" w:eastAsia="zh-CN"/>
        </w:rPr>
      </w:pPr>
      <w:r>
        <w:rPr>
          <w:rFonts w:hint="eastAsia" w:ascii="宋体" w:hAnsi="宋体"/>
          <w:color w:val="000000"/>
          <w:highlight w:val="none"/>
          <w:lang w:val="en-US" w:eastAsia="zh-CN"/>
        </w:rPr>
        <w:t xml:space="preserve">  特此公告。</w:t>
      </w:r>
    </w:p>
    <w:p>
      <w:pPr>
        <w:spacing w:line="360" w:lineRule="auto"/>
        <w:rPr>
          <w:rFonts w:hint="eastAsia" w:ascii="宋体" w:hAnsi="宋体"/>
          <w:color w:val="000000"/>
          <w:highlight w:val="none"/>
          <w:lang w:val="en-US" w:eastAsia="zh-CN"/>
        </w:rPr>
      </w:pPr>
    </w:p>
    <w:p>
      <w:pPr>
        <w:spacing w:line="360" w:lineRule="auto"/>
        <w:jc w:val="right"/>
        <w:rPr>
          <w:rFonts w:hint="eastAsia" w:ascii="宋体" w:hAnsi="宋体"/>
          <w:color w:val="000000"/>
          <w:highlight w:val="none"/>
          <w:lang w:val="en-US" w:eastAsia="zh-CN"/>
        </w:rPr>
      </w:pPr>
      <w:r>
        <w:rPr>
          <w:rFonts w:hint="eastAsia" w:ascii="宋体" w:hAnsi="宋体"/>
          <w:color w:val="000000"/>
          <w:highlight w:val="none"/>
          <w:lang w:val="en-US" w:eastAsia="zh-CN"/>
        </w:rPr>
        <w:t>博时基金管理有限公司</w:t>
      </w:r>
    </w:p>
    <w:p>
      <w:pPr>
        <w:spacing w:line="360" w:lineRule="auto"/>
        <w:jc w:val="right"/>
      </w:pPr>
      <w:r>
        <w:rPr>
          <w:rFonts w:hint="eastAsia" w:ascii="宋体" w:hAnsi="宋体"/>
          <w:color w:val="000000"/>
          <w:highlight w:val="none"/>
          <w:lang w:val="en-US" w:eastAsia="zh-CN"/>
        </w:rPr>
        <w:t>2026年10月08日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96D72D7"/>
    <w:rsid w:val="5BDB1D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hint="default" w:ascii="Calibri" w:hAnsi="Calibri" w:eastAsia="宋体" w:cs="Times New Roman"/>
      <w:kern w:val="2"/>
      <w:sz w:val="21"/>
      <w:szCs w:val="24"/>
      <w:lang w:val="en-US" w:eastAsia="zh-CN" w:bidi="ar-SA"/>
    </w:rPr>
  </w:style>
  <w:style w:type="character" w:default="1" w:styleId="5">
    <w:name w:val="Default Paragraph Font"/>
    <w:uiPriority w:val="0"/>
  </w:style>
  <w:style w:type="table" w:default="1" w:styleId="3">
    <w:name w:val="Normal Table"/>
    <w:semiHidden/>
    <w:uiPriority w:val="0"/>
    <w:tblPr>
      <w:tblStyle w:val="3"/>
      <w:tblCellMar>
        <w:top w:w="0" w:type="dxa"/>
        <w:left w:w="108" w:type="dxa"/>
        <w:bottom w:w="0" w:type="dxa"/>
        <w:right w:w="108" w:type="dxa"/>
      </w:tblCellMar>
    </w:tblPr>
  </w:style>
  <w:style w:type="paragraph" w:styleId="2">
    <w:name w:val="annotation text"/>
    <w:basedOn w:val="1"/>
    <w:uiPriority w:val="0"/>
    <w:pPr>
      <w:jc w:val="left"/>
    </w:pPr>
  </w:style>
  <w:style w:type="table" w:styleId="4">
    <w:name w:val="Table Grid"/>
    <w:basedOn w:val="3"/>
    <w:uiPriority w:val="0"/>
    <w:pPr>
      <w:widowControl w:val="0"/>
      <w:jc w:val="both"/>
    </w:pPr>
    <w:tblPr>
      <w:tblStyle w:val="3"/>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0</Words>
  <Characters>0</Characters>
  <Lines>0</Lines>
  <Paragraphs>0</Paragraphs>
  <TotalTime>8</TotalTime>
  <ScaleCrop>false</ScaleCrop>
  <LinksUpToDate>false</LinksUpToDate>
  <CharactersWithSpaces>0</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2026-07-02T19:46:00Z</dcterms:created>
  <dc:creator>jzcz20</dc:creator>
  <cp:lastModifiedBy>zhukh</cp:lastModifiedBy>
  <dcterms:modified xsi:type="dcterms:W3CDTF">2026-09-30T00:57:01Z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DCBF0A58DF644E828FFCC11AA21D6AD4</vt:lpwstr>
  </property>
</Properties>
</file>