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9FC998">
      <w:pPr>
        <w:pStyle w:val="32"/>
        <w:rPr>
          <w:rFonts w:hint="eastAsia" w:ascii="宋体" w:hAnsi="宋体" w:eastAsia="宋体"/>
          <w:lang w:eastAsia="zh-CN"/>
        </w:rPr>
      </w:pPr>
      <w:r>
        <w:rPr>
          <w:rFonts w:ascii="宋体" w:hAnsi="宋体" w:eastAsia="宋体"/>
          <w:lang w:eastAsia="zh-CN"/>
        </w:rPr>
        <w:t>博时基金管理有限公司关于</w:t>
      </w:r>
      <w:r>
        <w:rPr>
          <w:rFonts w:hint="eastAsia" w:ascii="宋体" w:hAnsi="宋体" w:eastAsia="宋体"/>
          <w:lang w:eastAsia="zh-CN"/>
        </w:rPr>
        <w:t>博时国证新能源电池指数型证券投资基金</w:t>
      </w:r>
      <w:r>
        <w:rPr>
          <w:rFonts w:ascii="宋体" w:hAnsi="宋体" w:eastAsia="宋体"/>
          <w:lang w:eastAsia="zh-CN"/>
        </w:rPr>
        <w:t>变更基金名称及修订基金合同和托管协议的公告</w:t>
      </w:r>
    </w:p>
    <w:p w14:paraId="2F1AFAAC">
      <w:pPr>
        <w:ind w:firstLine="440"/>
        <w:rPr>
          <w:lang w:eastAsia="zh-CN"/>
        </w:rPr>
      </w:pPr>
      <w:r>
        <w:rPr>
          <w:rFonts w:hint="eastAsia" w:cs="Times New Roman"/>
          <w:lang w:eastAsia="zh-CN"/>
        </w:rPr>
        <w:t>根据深圳证券信息有限公司于2026年9月8日发布的《指数修订公告》，自2026年9月21日起，“国证新能源电池指数”将更名为“国证储能电池指数”。</w:t>
      </w:r>
      <w:r>
        <w:rPr>
          <w:rFonts w:cs="Times New Roman"/>
          <w:lang w:eastAsia="zh-CN"/>
        </w:rPr>
        <w:t>根据《公开募集证券投资基金信息披露管理办法》等法律法规及本基金基金合同的规定，经与基金托管人</w:t>
      </w:r>
      <w:r>
        <w:rPr>
          <w:rFonts w:hint="eastAsia" w:cs="Times New Roman"/>
          <w:lang w:eastAsia="zh-CN"/>
        </w:rPr>
        <w:t>交通银行股份有限公司</w:t>
      </w:r>
      <w:r>
        <w:rPr>
          <w:rFonts w:cs="Times New Roman"/>
          <w:lang w:eastAsia="zh-CN"/>
        </w:rPr>
        <w:t>协商一致，博时基金管理有限公司（以下简称“基金管理人”）决定自2026年9月</w:t>
      </w:r>
      <w:r>
        <w:rPr>
          <w:rFonts w:hint="eastAsia" w:cs="Times New Roman"/>
          <w:lang w:val="en-US" w:eastAsia="zh-CN"/>
        </w:rPr>
        <w:t>21</w:t>
      </w:r>
      <w:r>
        <w:rPr>
          <w:rFonts w:cs="Times New Roman"/>
          <w:lang w:eastAsia="zh-CN"/>
        </w:rPr>
        <w:t>日起，</w:t>
      </w:r>
      <w:r>
        <w:rPr>
          <w:rFonts w:hint="eastAsia" w:cs="Times New Roman"/>
          <w:lang w:val="en-US" w:eastAsia="zh-CN"/>
        </w:rPr>
        <w:t>调整</w:t>
      </w:r>
      <w:r>
        <w:rPr>
          <w:rFonts w:hint="eastAsia" w:cs="Times New Roman"/>
          <w:lang w:eastAsia="zh-CN"/>
        </w:rPr>
        <w:t>博时国证新能源电池指数型证券投资基金</w:t>
      </w:r>
      <w:r>
        <w:rPr>
          <w:rFonts w:hint="eastAsia" w:cs="Times New Roman"/>
          <w:lang w:val="en-US" w:eastAsia="zh-CN"/>
        </w:rPr>
        <w:t>的基金名称</w:t>
      </w:r>
      <w:r>
        <w:rPr>
          <w:rFonts w:cs="Times New Roman"/>
          <w:lang w:eastAsia="zh-CN"/>
        </w:rPr>
        <w:t>，并对基金合同、托管协议有关条款进行修订。现将相关事项公告如下：</w:t>
      </w:r>
    </w:p>
    <w:p w14:paraId="0CCB31BE">
      <w:pPr>
        <w:keepNext/>
        <w:spacing w:before="160" w:after="40"/>
        <w:rPr>
          <w:lang w:eastAsia="zh-CN"/>
        </w:rPr>
      </w:pPr>
      <w:r>
        <w:rPr>
          <w:rFonts w:cs="Times New Roman"/>
          <w:b/>
          <w:lang w:eastAsia="zh-CN"/>
        </w:rPr>
        <w:t>一、基金名称变更</w:t>
      </w:r>
    </w:p>
    <w:p w14:paraId="28C6B425">
      <w:pPr>
        <w:ind w:firstLine="440"/>
        <w:rPr>
          <w:lang w:eastAsia="zh-CN"/>
        </w:rPr>
      </w:pPr>
      <w:r>
        <w:rPr>
          <w:rFonts w:cs="Times New Roman"/>
          <w:lang w:eastAsia="zh-CN"/>
        </w:rPr>
        <w:t>自2026年</w:t>
      </w:r>
      <w:r>
        <w:rPr>
          <w:rFonts w:hint="eastAsia" w:cs="Times New Roman"/>
          <w:lang w:eastAsia="zh-CN"/>
        </w:rPr>
        <w:t>9月21日</w:t>
      </w:r>
      <w:r>
        <w:rPr>
          <w:rFonts w:cs="Times New Roman"/>
          <w:lang w:eastAsia="zh-CN"/>
        </w:rPr>
        <w:t>起，“</w:t>
      </w:r>
      <w:r>
        <w:rPr>
          <w:rFonts w:hint="eastAsia" w:cs="Times New Roman"/>
          <w:lang w:eastAsia="zh-CN"/>
        </w:rPr>
        <w:t>博时国证新能源电池指数型证券投资基金</w:t>
      </w:r>
      <w:r>
        <w:rPr>
          <w:rFonts w:cs="Times New Roman"/>
          <w:lang w:eastAsia="zh-CN"/>
        </w:rPr>
        <w:t>”</w:t>
      </w:r>
      <w:r>
        <w:rPr>
          <w:rFonts w:hint="eastAsia" w:cs="Times New Roman"/>
          <w:lang w:val="en-US" w:eastAsia="zh-CN"/>
        </w:rPr>
        <w:t>更名</w:t>
      </w:r>
      <w:r>
        <w:rPr>
          <w:rFonts w:cs="Times New Roman"/>
          <w:lang w:eastAsia="zh-CN"/>
        </w:rPr>
        <w:t>为“</w:t>
      </w:r>
      <w:r>
        <w:rPr>
          <w:rFonts w:hint="eastAsia" w:cs="Times New Roman"/>
          <w:lang w:eastAsia="zh-CN"/>
        </w:rPr>
        <w:t>博时国证储能电池指数型证券投资基金</w:t>
      </w:r>
      <w:r>
        <w:rPr>
          <w:rFonts w:cs="Times New Roman"/>
          <w:lang w:eastAsia="zh-CN"/>
        </w:rPr>
        <w:t>”，基金简称由“</w:t>
      </w:r>
      <w:r>
        <w:rPr>
          <w:rFonts w:hint="eastAsia" w:cs="Times New Roman"/>
          <w:lang w:eastAsia="zh-CN"/>
        </w:rPr>
        <w:t>博时国证新能源电池指数</w:t>
      </w:r>
      <w:r>
        <w:rPr>
          <w:rFonts w:cs="Times New Roman"/>
          <w:lang w:eastAsia="zh-CN"/>
        </w:rPr>
        <w:t>”变更为“</w:t>
      </w:r>
      <w:r>
        <w:rPr>
          <w:rFonts w:hint="eastAsia" w:cs="Times New Roman"/>
          <w:lang w:eastAsia="zh-CN"/>
        </w:rPr>
        <w:t>博时国证储能电池指数</w:t>
      </w:r>
      <w:r>
        <w:rPr>
          <w:rFonts w:cs="Times New Roman"/>
          <w:lang w:eastAsia="zh-CN"/>
        </w:rPr>
        <w:t>”</w:t>
      </w:r>
      <w:r>
        <w:rPr>
          <w:rFonts w:hint="eastAsia"/>
          <w:lang w:eastAsia="zh-CN"/>
        </w:rPr>
        <w:t xml:space="preserve"> </w:t>
      </w:r>
      <w:r>
        <w:rPr>
          <w:rFonts w:cs="Times New Roman"/>
          <w:lang w:eastAsia="zh-CN"/>
        </w:rPr>
        <w:t>（A类基金简称：</w:t>
      </w:r>
      <w:r>
        <w:rPr>
          <w:rFonts w:hint="eastAsia" w:cs="Times New Roman"/>
          <w:lang w:eastAsia="zh-CN"/>
        </w:rPr>
        <w:t>博时国证储能电池指数</w:t>
      </w:r>
      <w:r>
        <w:rPr>
          <w:rFonts w:cs="Times New Roman"/>
          <w:lang w:eastAsia="zh-CN"/>
        </w:rPr>
        <w:t>A</w:t>
      </w:r>
      <w:r>
        <w:rPr>
          <w:rFonts w:hint="eastAsia" w:cs="Times New Roman"/>
          <w:lang w:eastAsia="zh-CN"/>
        </w:rPr>
        <w:t>；</w:t>
      </w:r>
      <w:r>
        <w:rPr>
          <w:rFonts w:cs="Times New Roman"/>
          <w:lang w:eastAsia="zh-CN"/>
        </w:rPr>
        <w:t>C类基金简称：</w:t>
      </w:r>
      <w:r>
        <w:rPr>
          <w:rFonts w:hint="eastAsia" w:cs="Times New Roman"/>
          <w:lang w:eastAsia="zh-CN"/>
        </w:rPr>
        <w:t>博时国证储能电池指数</w:t>
      </w:r>
      <w:r>
        <w:rPr>
          <w:rFonts w:cs="Times New Roman"/>
          <w:lang w:eastAsia="zh-CN"/>
        </w:rPr>
        <w:t>C），基金主代码</w:t>
      </w:r>
      <w:r>
        <w:rPr>
          <w:rFonts w:hint="eastAsia" w:cs="Times New Roman"/>
          <w:lang w:eastAsia="zh-CN"/>
        </w:rPr>
        <w:t>027418</w:t>
      </w:r>
      <w:r>
        <w:rPr>
          <w:rFonts w:cs="Times New Roman"/>
          <w:lang w:eastAsia="zh-CN"/>
        </w:rPr>
        <w:t>（A类：</w:t>
      </w:r>
      <w:r>
        <w:rPr>
          <w:rFonts w:hint="eastAsia" w:cs="Times New Roman"/>
          <w:lang w:eastAsia="zh-CN"/>
        </w:rPr>
        <w:t>027418</w:t>
      </w:r>
      <w:r>
        <w:rPr>
          <w:rFonts w:cs="Times New Roman"/>
          <w:lang w:eastAsia="zh-CN"/>
        </w:rPr>
        <w:t>，C类：</w:t>
      </w:r>
      <w:r>
        <w:rPr>
          <w:rFonts w:hint="eastAsia" w:cs="Times New Roman"/>
          <w:lang w:eastAsia="zh-CN"/>
        </w:rPr>
        <w:t>027419</w:t>
      </w:r>
      <w:r>
        <w:rPr>
          <w:rFonts w:cs="Times New Roman"/>
          <w:lang w:eastAsia="zh-CN"/>
        </w:rPr>
        <w:t>）保持不变。</w:t>
      </w:r>
      <w:bookmarkStart w:id="0" w:name="_GoBack"/>
      <w:bookmarkEnd w:id="0"/>
    </w:p>
    <w:p w14:paraId="1CB2FEBC">
      <w:pPr>
        <w:keepNext/>
        <w:spacing w:before="160" w:after="40"/>
        <w:rPr>
          <w:lang w:eastAsia="zh-CN"/>
        </w:rPr>
      </w:pPr>
      <w:r>
        <w:rPr>
          <w:rFonts w:cs="Times New Roman"/>
          <w:b/>
          <w:lang w:eastAsia="zh-CN"/>
        </w:rPr>
        <w:t>二、业绩比较基准变更</w:t>
      </w:r>
    </w:p>
    <w:p w14:paraId="44A5FB33">
      <w:pPr>
        <w:ind w:firstLine="440"/>
        <w:rPr>
          <w:lang w:eastAsia="zh-CN"/>
        </w:rPr>
      </w:pPr>
      <w:r>
        <w:rPr>
          <w:rFonts w:cs="Times New Roman"/>
          <w:lang w:eastAsia="zh-CN"/>
        </w:rPr>
        <w:t>自2026年</w:t>
      </w:r>
      <w:r>
        <w:rPr>
          <w:rFonts w:hint="eastAsia" w:cs="Times New Roman"/>
          <w:lang w:eastAsia="zh-CN"/>
        </w:rPr>
        <w:t>9月21日</w:t>
      </w:r>
      <w:r>
        <w:rPr>
          <w:rFonts w:cs="Times New Roman"/>
          <w:lang w:eastAsia="zh-CN"/>
        </w:rPr>
        <w:t>起，本基金的业绩比较基准由“</w:t>
      </w:r>
      <w:r>
        <w:rPr>
          <w:rFonts w:hint="eastAsia" w:cs="Times New Roman"/>
          <w:lang w:eastAsia="zh-CN"/>
        </w:rPr>
        <w:t>国证</w:t>
      </w:r>
      <w:r>
        <w:rPr>
          <w:rFonts w:hint="eastAsia" w:cs="Times New Roman"/>
          <w:lang w:val="en-US" w:eastAsia="zh-CN"/>
        </w:rPr>
        <w:t>新能源</w:t>
      </w:r>
      <w:r>
        <w:rPr>
          <w:rFonts w:hint="eastAsia" w:cs="Times New Roman"/>
          <w:lang w:eastAsia="zh-CN"/>
        </w:rPr>
        <w:t>电池指数收益率×95%+活期存款基准利率×5%</w:t>
      </w:r>
      <w:r>
        <w:rPr>
          <w:rFonts w:cs="Times New Roman"/>
          <w:lang w:eastAsia="zh-CN"/>
        </w:rPr>
        <w:t>”变更为“</w:t>
      </w:r>
      <w:r>
        <w:rPr>
          <w:rFonts w:hint="eastAsia" w:cs="Times New Roman"/>
          <w:lang w:eastAsia="zh-CN"/>
        </w:rPr>
        <w:t>国证储能电池指数收益率×95%+活期存款基准利率×5%</w:t>
      </w:r>
      <w:r>
        <w:rPr>
          <w:rFonts w:cs="Times New Roman"/>
          <w:lang w:eastAsia="zh-CN"/>
        </w:rPr>
        <w:t>”。</w:t>
      </w:r>
    </w:p>
    <w:p w14:paraId="6A60805E">
      <w:pPr>
        <w:keepNext/>
        <w:spacing w:before="160" w:after="40"/>
        <w:rPr>
          <w:lang w:eastAsia="zh-CN"/>
        </w:rPr>
      </w:pPr>
      <w:r>
        <w:rPr>
          <w:rFonts w:cs="Times New Roman"/>
          <w:b/>
          <w:lang w:eastAsia="zh-CN"/>
        </w:rPr>
        <w:t>三、基金合同和托管协议的修订情况</w:t>
      </w:r>
    </w:p>
    <w:p w14:paraId="39FE8FF5">
      <w:pPr>
        <w:ind w:firstLine="440"/>
        <w:rPr>
          <w:lang w:eastAsia="zh-CN"/>
        </w:rPr>
      </w:pPr>
      <w:r>
        <w:rPr>
          <w:rFonts w:cs="Times New Roman"/>
          <w:lang w:eastAsia="zh-CN"/>
        </w:rPr>
        <w:t>除上述</w:t>
      </w:r>
      <w:r>
        <w:rPr>
          <w:rFonts w:hint="eastAsia" w:cs="Times New Roman"/>
          <w:lang w:val="en-US" w:eastAsia="zh-CN"/>
        </w:rPr>
        <w:t>事项修订基金合同、托管协议</w:t>
      </w:r>
      <w:r>
        <w:rPr>
          <w:rFonts w:cs="Times New Roman"/>
          <w:lang w:eastAsia="zh-CN"/>
        </w:rPr>
        <w:t>外，本次修订</w:t>
      </w:r>
      <w:r>
        <w:rPr>
          <w:rFonts w:hint="eastAsia" w:cs="Times New Roman"/>
          <w:lang w:val="en-US" w:eastAsia="zh-CN"/>
        </w:rPr>
        <w:t>同步</w:t>
      </w:r>
      <w:r>
        <w:rPr>
          <w:rFonts w:cs="Times New Roman"/>
          <w:lang w:eastAsia="zh-CN"/>
        </w:rPr>
        <w:t>更新</w:t>
      </w:r>
      <w:r>
        <w:rPr>
          <w:rFonts w:hint="eastAsia" w:cs="Times New Roman"/>
          <w:lang w:val="en-US" w:eastAsia="zh-CN"/>
        </w:rPr>
        <w:t>了</w:t>
      </w:r>
      <w:r>
        <w:rPr>
          <w:rFonts w:cs="Times New Roman"/>
          <w:lang w:eastAsia="zh-CN"/>
        </w:rPr>
        <w:t>基金托管人</w:t>
      </w:r>
      <w:r>
        <w:rPr>
          <w:rFonts w:hint="eastAsia" w:cs="Times New Roman"/>
          <w:lang w:val="en-US" w:eastAsia="zh-CN"/>
        </w:rPr>
        <w:t>信息</w:t>
      </w:r>
      <w:r>
        <w:rPr>
          <w:rFonts w:cs="Times New Roman"/>
          <w:lang w:eastAsia="zh-CN"/>
        </w:rPr>
        <w:t>。具体修订内容见本公告附件。</w:t>
      </w:r>
    </w:p>
    <w:p w14:paraId="7AD40792">
      <w:pPr>
        <w:ind w:firstLine="440"/>
        <w:rPr>
          <w:rFonts w:cs="Times New Roman"/>
          <w:lang w:eastAsia="zh-CN"/>
        </w:rPr>
      </w:pPr>
      <w:r>
        <w:rPr>
          <w:rFonts w:hint="eastAsia" w:cs="Times New Roman"/>
          <w:lang w:eastAsia="zh-CN"/>
        </w:rPr>
        <w:t>基金合同、托管协议的修订符合相关法律法规的规定，对基金份额持有人利益无实质性不利影响，</w:t>
      </w:r>
      <w:r>
        <w:rPr>
          <w:rFonts w:cs="Times New Roman"/>
          <w:lang w:eastAsia="zh-CN"/>
        </w:rPr>
        <w:t>且基金管理人已履行规定程序。基金管理人将相应更新本基金的招募说明书、基金产品资料概要等法律文件。</w:t>
      </w:r>
    </w:p>
    <w:p w14:paraId="446B4BF8">
      <w:pPr>
        <w:keepNext/>
        <w:spacing w:before="160" w:after="40"/>
        <w:rPr>
          <w:lang w:eastAsia="zh-CN"/>
        </w:rPr>
      </w:pPr>
      <w:r>
        <w:rPr>
          <w:rFonts w:cs="Times New Roman"/>
          <w:b/>
          <w:lang w:eastAsia="zh-CN"/>
        </w:rPr>
        <w:t>四、修订文件的生效及查阅</w:t>
      </w:r>
    </w:p>
    <w:p w14:paraId="7BB9D007">
      <w:pPr>
        <w:ind w:firstLine="440"/>
      </w:pPr>
      <w:r>
        <w:rPr>
          <w:rFonts w:cs="Times New Roman"/>
        </w:rPr>
        <w:t>修订后的基金合同和托管协议自2026年</w:t>
      </w:r>
      <w:r>
        <w:rPr>
          <w:rFonts w:hint="eastAsia" w:cs="Times New Roman"/>
          <w:lang w:eastAsia="zh-CN"/>
        </w:rPr>
        <w:t>9月21日</w:t>
      </w:r>
      <w:r>
        <w:rPr>
          <w:rFonts w:cs="Times New Roman"/>
        </w:rPr>
        <w:t>起生效，并将登载于基金管理人网站（www.bosera.com）及中国证监会基金电子披露网站（http://eid.csrc.gov.cn/fund）。</w:t>
      </w:r>
    </w:p>
    <w:p w14:paraId="100A6B58">
      <w:pPr>
        <w:keepNext/>
        <w:spacing w:before="160" w:after="40"/>
        <w:rPr>
          <w:lang w:eastAsia="zh-CN"/>
        </w:rPr>
      </w:pPr>
      <w:r>
        <w:rPr>
          <w:rFonts w:cs="Times New Roman"/>
          <w:b/>
          <w:lang w:eastAsia="zh-CN"/>
        </w:rPr>
        <w:t>五、重要提示</w:t>
      </w:r>
    </w:p>
    <w:p w14:paraId="14CCF724">
      <w:pPr>
        <w:ind w:firstLine="720" w:firstLineChars="0"/>
        <w:rPr>
          <w:lang w:eastAsia="zh-CN"/>
        </w:rPr>
      </w:pPr>
      <w:r>
        <w:rPr>
          <w:rFonts w:cs="Times New Roman"/>
          <w:lang w:eastAsia="zh-CN"/>
        </w:rPr>
        <w:t>1、本公告仅对</w:t>
      </w:r>
      <w:r>
        <w:rPr>
          <w:rFonts w:hint="eastAsia" w:cs="Times New Roman"/>
          <w:lang w:val="en-US" w:eastAsia="zh-CN"/>
        </w:rPr>
        <w:t>本</w:t>
      </w:r>
      <w:r>
        <w:rPr>
          <w:rFonts w:cs="Times New Roman"/>
          <w:lang w:eastAsia="zh-CN"/>
        </w:rPr>
        <w:t>基金变更</w:t>
      </w:r>
      <w:r>
        <w:rPr>
          <w:rFonts w:hint="eastAsia" w:cs="Times New Roman"/>
          <w:lang w:val="en-US" w:eastAsia="zh-CN"/>
        </w:rPr>
        <w:t>基金</w:t>
      </w:r>
      <w:r>
        <w:rPr>
          <w:rFonts w:cs="Times New Roman"/>
          <w:lang w:eastAsia="zh-CN"/>
        </w:rPr>
        <w:t>名称、标的指数</w:t>
      </w:r>
      <w:r>
        <w:rPr>
          <w:rFonts w:hint="default" w:cs="Times New Roman"/>
          <w:lang w:val="en-US" w:eastAsia="zh-CN"/>
        </w:rPr>
        <w:t>名称</w:t>
      </w:r>
      <w:r>
        <w:rPr>
          <w:rFonts w:cs="Times New Roman"/>
          <w:lang w:eastAsia="zh-CN"/>
        </w:rPr>
        <w:t>及修订法律文件等有关事项予以说明。投资者欲了解本基金的详细情况，请认真阅读修订后的基金合同、招募说明书和基金产品资料概要等法律文件。</w:t>
      </w:r>
    </w:p>
    <w:p w14:paraId="0152DD2D">
      <w:pPr>
        <w:ind w:firstLine="720" w:firstLineChars="0"/>
        <w:rPr>
          <w:lang w:eastAsia="zh-CN"/>
        </w:rPr>
      </w:pPr>
      <w:r>
        <w:rPr>
          <w:rFonts w:cs="Times New Roman"/>
          <w:lang w:eastAsia="zh-CN"/>
        </w:rPr>
        <w:t>2、投资者可通过以下途径咨询有关详情：</w:t>
      </w:r>
    </w:p>
    <w:p w14:paraId="42E8D7C7">
      <w:pPr>
        <w:ind w:firstLine="720" w:firstLineChars="0"/>
        <w:rPr>
          <w:lang w:eastAsia="zh-CN"/>
        </w:rPr>
      </w:pPr>
      <w:r>
        <w:rPr>
          <w:rFonts w:cs="Times New Roman"/>
          <w:lang w:eastAsia="zh-CN"/>
        </w:rPr>
        <w:t>（1）本公司客户服务电话：95105568（全国免长途话费）；</w:t>
      </w:r>
    </w:p>
    <w:p w14:paraId="5D1BC751">
      <w:pPr>
        <w:ind w:firstLine="720" w:firstLineChars="0"/>
      </w:pPr>
      <w:r>
        <w:rPr>
          <w:rFonts w:cs="Times New Roman"/>
        </w:rPr>
        <w:t>（2）本公司网址：www.bosera.com。</w:t>
      </w:r>
    </w:p>
    <w:p w14:paraId="6494B90D">
      <w:pPr>
        <w:ind w:firstLine="720" w:firstLineChars="0"/>
        <w:rPr>
          <w:rFonts w:hint="eastAsia" w:cs="Times New Roman"/>
          <w:lang w:eastAsia="zh-CN"/>
        </w:rPr>
      </w:pPr>
      <w:r>
        <w:rPr>
          <w:rFonts w:cs="Times New Roman"/>
          <w:lang w:eastAsia="zh-CN"/>
        </w:rPr>
        <w:t>3、风险提示：基金管理人承诺以诚实信用、勤勉尽责的原则管理和运用基金资产，但不保证基金一定盈利，也不保证最低收益。销售机构根据法规要求对投资者类别、风险承受能力和基金的风险等级进行划分，并提出适当性匹配意见。投资者在投资基金前应认真阅读基金合同、招募说明书和基金产品资料概要等基金法律文件，全面认识基金产品的风险收益特征，在了解产品情况及销售机构适当性意见的基础上，根据自身的风险承受能力、投资期限和投资目标，对基金投资作出独立决策，选择合适的基金产品。</w:t>
      </w:r>
    </w:p>
    <w:p w14:paraId="673A9A37">
      <w:pPr>
        <w:spacing w:before="280"/>
        <w:rPr>
          <w:rFonts w:cs="Times New Roman"/>
          <w:lang w:eastAsia="zh-CN"/>
        </w:rPr>
      </w:pPr>
      <w:r>
        <w:rPr>
          <w:rFonts w:cs="Times New Roman"/>
          <w:lang w:eastAsia="zh-CN"/>
        </w:rPr>
        <w:t>特此公告。</w:t>
      </w:r>
    </w:p>
    <w:p w14:paraId="0F57375D">
      <w:pPr>
        <w:spacing w:before="280"/>
        <w:rPr>
          <w:rFonts w:cs="Times New Roman"/>
          <w:lang w:eastAsia="zh-CN"/>
        </w:rPr>
      </w:pPr>
    </w:p>
    <w:p w14:paraId="76E19CAE">
      <w:pPr>
        <w:spacing w:before="280"/>
        <w:rPr>
          <w:lang w:eastAsia="zh-CN"/>
        </w:rPr>
      </w:pPr>
    </w:p>
    <w:p w14:paraId="489D7AA2">
      <w:pPr>
        <w:spacing w:before="280"/>
        <w:rPr>
          <w:rFonts w:hint="eastAsia"/>
          <w:lang w:eastAsia="zh-CN"/>
        </w:rPr>
      </w:pPr>
    </w:p>
    <w:p w14:paraId="5B8C417F">
      <w:pPr>
        <w:spacing w:before="360"/>
        <w:ind w:right="200"/>
        <w:jc w:val="right"/>
        <w:rPr>
          <w:lang w:eastAsia="zh-CN"/>
        </w:rPr>
      </w:pPr>
      <w:r>
        <w:rPr>
          <w:rFonts w:cs="Times New Roman"/>
          <w:lang w:eastAsia="zh-CN"/>
        </w:rPr>
        <w:t>博时基金管理有限公司</w:t>
      </w:r>
    </w:p>
    <w:p w14:paraId="2AD27AA4">
      <w:pPr>
        <w:ind w:right="200"/>
        <w:jc w:val="right"/>
        <w:rPr>
          <w:lang w:eastAsia="zh-CN"/>
        </w:rPr>
        <w:sectPr>
          <w:footerReference r:id="rId5" w:type="default"/>
          <w:pgSz w:w="11906" w:h="16838"/>
          <w:pgMar w:top="1440" w:right="1800" w:bottom="1440" w:left="1800" w:header="864" w:footer="792" w:gutter="0"/>
          <w:cols w:space="720" w:num="1"/>
          <w:docGrid w:linePitch="360" w:charSpace="0"/>
        </w:sectPr>
      </w:pPr>
      <w:r>
        <w:rPr>
          <w:rFonts w:cs="Times New Roman"/>
          <w:lang w:eastAsia="zh-CN"/>
        </w:rPr>
        <w:t>2026年9月</w:t>
      </w:r>
      <w:r>
        <w:rPr>
          <w:rFonts w:hint="eastAsia" w:cs="Times New Roman"/>
          <w:lang w:val="en-US" w:eastAsia="zh-CN"/>
        </w:rPr>
        <w:t>18</w:t>
      </w:r>
      <w:r>
        <w:rPr>
          <w:rFonts w:cs="Times New Roman"/>
          <w:lang w:eastAsia="zh-CN"/>
        </w:rPr>
        <w:t>日</w:t>
      </w:r>
    </w:p>
    <w:p w14:paraId="606FE6CE">
      <w:pPr>
        <w:spacing w:after="160"/>
        <w:jc w:val="both"/>
        <w:rPr>
          <w:rFonts w:hint="eastAsia"/>
          <w:lang w:eastAsia="zh-CN"/>
        </w:rPr>
      </w:pPr>
      <w:r>
        <w:rPr>
          <w:b/>
          <w:sz w:val="30"/>
          <w:lang w:eastAsia="zh-CN"/>
        </w:rPr>
        <w:t>附件：基金合同、托管协议修改对照表</w:t>
      </w:r>
    </w:p>
    <w:p w14:paraId="4D2D7306">
      <w:pPr>
        <w:spacing w:before="80" w:after="80"/>
        <w:rPr>
          <w:rFonts w:hint="eastAsia"/>
        </w:rPr>
      </w:pPr>
      <w:r>
        <w:rPr>
          <w:b/>
          <w:sz w:val="22"/>
        </w:rPr>
        <w:t>1、基金合同</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4195"/>
        <w:gridCol w:w="4195"/>
      </w:tblGrid>
      <w:tr w14:paraId="2D9AC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275" w:type="dxa"/>
            <w:shd w:val="clear" w:color="auto" w:fill="E7E6E6"/>
            <w:tcMar>
              <w:top w:w="70" w:type="dxa"/>
              <w:left w:w="80" w:type="dxa"/>
              <w:bottom w:w="70" w:type="dxa"/>
              <w:right w:w="80" w:type="dxa"/>
            </w:tcMar>
            <w:vAlign w:val="center"/>
          </w:tcPr>
          <w:p w14:paraId="1936F421">
            <w:pPr>
              <w:spacing w:after="0" w:line="240" w:lineRule="auto"/>
              <w:jc w:val="center"/>
              <w:rPr>
                <w:rFonts w:hint="eastAsia"/>
              </w:rPr>
            </w:pPr>
            <w:r>
              <w:rPr>
                <w:b/>
                <w:sz w:val="20"/>
              </w:rPr>
              <w:t>章节</w:t>
            </w:r>
          </w:p>
        </w:tc>
        <w:tc>
          <w:tcPr>
            <w:tcW w:w="4195" w:type="dxa"/>
            <w:shd w:val="clear" w:color="auto" w:fill="E7E6E6"/>
            <w:tcMar>
              <w:top w:w="70" w:type="dxa"/>
              <w:left w:w="80" w:type="dxa"/>
              <w:bottom w:w="70" w:type="dxa"/>
              <w:right w:w="80" w:type="dxa"/>
            </w:tcMar>
            <w:vAlign w:val="center"/>
          </w:tcPr>
          <w:p w14:paraId="56A31D00">
            <w:pPr>
              <w:spacing w:after="0" w:line="240" w:lineRule="auto"/>
              <w:jc w:val="center"/>
              <w:rPr>
                <w:rFonts w:hint="eastAsia"/>
              </w:rPr>
            </w:pPr>
            <w:r>
              <w:rPr>
                <w:b/>
                <w:sz w:val="20"/>
              </w:rPr>
              <w:t>修订前</w:t>
            </w:r>
          </w:p>
        </w:tc>
        <w:tc>
          <w:tcPr>
            <w:tcW w:w="4195" w:type="dxa"/>
            <w:shd w:val="clear" w:color="auto" w:fill="E7E6E6"/>
            <w:tcMar>
              <w:top w:w="70" w:type="dxa"/>
              <w:left w:w="80" w:type="dxa"/>
              <w:bottom w:w="70" w:type="dxa"/>
              <w:right w:w="80" w:type="dxa"/>
            </w:tcMar>
            <w:vAlign w:val="center"/>
          </w:tcPr>
          <w:p w14:paraId="7A5684DE">
            <w:pPr>
              <w:spacing w:after="0" w:line="240" w:lineRule="auto"/>
              <w:jc w:val="center"/>
              <w:rPr>
                <w:rFonts w:hint="eastAsia"/>
              </w:rPr>
            </w:pPr>
            <w:r>
              <w:rPr>
                <w:b/>
                <w:sz w:val="20"/>
              </w:rPr>
              <w:t>修订后</w:t>
            </w:r>
          </w:p>
        </w:tc>
      </w:tr>
      <w:tr w14:paraId="4461B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5DE991D9">
            <w:pPr>
              <w:spacing w:after="0" w:line="240" w:lineRule="auto"/>
              <w:jc w:val="center"/>
              <w:rPr>
                <w:rFonts w:hint="eastAsia"/>
              </w:rPr>
            </w:pPr>
            <w:r>
              <w:rPr>
                <w:b/>
                <w:lang w:eastAsia="zh-CN"/>
              </w:rPr>
              <w:t>第一部分 前言</w:t>
            </w:r>
          </w:p>
        </w:tc>
        <w:tc>
          <w:tcPr>
            <w:tcW w:w="4195" w:type="dxa"/>
            <w:tcMar>
              <w:top w:w="70" w:type="dxa"/>
              <w:left w:w="80" w:type="dxa"/>
              <w:bottom w:w="70" w:type="dxa"/>
              <w:right w:w="80" w:type="dxa"/>
            </w:tcMar>
            <w:vAlign w:val="center"/>
          </w:tcPr>
          <w:p w14:paraId="5A1FEB59">
            <w:pPr>
              <w:spacing w:after="60" w:line="264" w:lineRule="auto"/>
              <w:rPr>
                <w:rFonts w:hint="eastAsia" w:ascii="宋体" w:hAnsi="宋体" w:cs="宋体"/>
                <w:lang w:eastAsia="zh-CN"/>
              </w:rPr>
            </w:pPr>
            <w:r>
              <w:rPr>
                <w:rFonts w:hint="eastAsia" w:ascii="宋体" w:hAnsi="宋体" w:cs="宋体"/>
                <w:lang w:eastAsia="zh-CN"/>
              </w:rPr>
              <w:t>三、博时国证新能源电池指数型证券投资基金由基金管理人依照《基金法》、基金合同及其他有关规定募集，并经中国证券监督管理委员会(以下简称“中国证监会”)注册。</w:t>
            </w:r>
          </w:p>
        </w:tc>
        <w:tc>
          <w:tcPr>
            <w:tcW w:w="4195" w:type="dxa"/>
            <w:tcMar>
              <w:top w:w="70" w:type="dxa"/>
              <w:left w:w="80" w:type="dxa"/>
              <w:bottom w:w="70" w:type="dxa"/>
              <w:right w:w="80" w:type="dxa"/>
            </w:tcMar>
            <w:vAlign w:val="center"/>
          </w:tcPr>
          <w:p w14:paraId="256FF8DD">
            <w:pPr>
              <w:spacing w:after="60" w:line="264" w:lineRule="auto"/>
              <w:rPr>
                <w:rFonts w:hint="eastAsia" w:ascii="宋体" w:hAnsi="宋体" w:cs="宋体"/>
                <w:lang w:eastAsia="zh-CN"/>
              </w:rPr>
            </w:pPr>
            <w:r>
              <w:rPr>
                <w:rFonts w:hint="eastAsia" w:ascii="宋体" w:hAnsi="宋体" w:cs="宋体"/>
                <w:lang w:eastAsia="zh-CN"/>
              </w:rPr>
              <w:t>三、</w:t>
            </w:r>
            <w:r>
              <w:rPr>
                <w:rFonts w:hint="eastAsia" w:ascii="宋体" w:hAnsi="宋体" w:cs="宋体"/>
                <w:b/>
                <w:lang w:eastAsia="zh-CN"/>
              </w:rPr>
              <w:t>博时国证储能电池指数型证券投资基金由博时国证新能源电池指数型证券投资基金更名而来。</w:t>
            </w:r>
            <w:r>
              <w:rPr>
                <w:rFonts w:hint="eastAsia" w:ascii="宋体" w:hAnsi="宋体" w:cs="宋体"/>
                <w:lang w:eastAsia="zh-CN"/>
              </w:rPr>
              <w:t>博时国证新能源电池指数型证券投资基金由基金管理人依照《基金法》、基金合同及其他有关规定募集，并经中国证券监督管理委员会(以下简称“中国证监会”)注册。</w:t>
            </w:r>
          </w:p>
        </w:tc>
      </w:tr>
      <w:tr w14:paraId="22C3C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31A89FED">
            <w:pPr>
              <w:spacing w:after="0" w:line="240" w:lineRule="auto"/>
              <w:jc w:val="center"/>
              <w:rPr>
                <w:rFonts w:hint="eastAsia"/>
              </w:rPr>
            </w:pPr>
            <w:r>
              <w:rPr>
                <w:b/>
                <w:lang w:eastAsia="zh-CN"/>
              </w:rPr>
              <w:t>第二部分 释义</w:t>
            </w:r>
          </w:p>
        </w:tc>
        <w:tc>
          <w:tcPr>
            <w:tcW w:w="4195" w:type="dxa"/>
            <w:tcMar>
              <w:top w:w="70" w:type="dxa"/>
              <w:left w:w="80" w:type="dxa"/>
              <w:bottom w:w="70" w:type="dxa"/>
              <w:right w:w="80" w:type="dxa"/>
            </w:tcMar>
            <w:vAlign w:val="center"/>
          </w:tcPr>
          <w:p w14:paraId="3CD86F1B">
            <w:pPr>
              <w:spacing w:after="60" w:line="264" w:lineRule="auto"/>
              <w:rPr>
                <w:rFonts w:hint="eastAsia" w:ascii="宋体" w:hAnsi="宋体" w:cs="宋体"/>
                <w:lang w:eastAsia="zh-CN"/>
              </w:rPr>
            </w:pPr>
            <w:r>
              <w:rPr>
                <w:rFonts w:hint="eastAsia" w:ascii="宋体" w:hAnsi="宋体" w:cs="宋体"/>
                <w:lang w:eastAsia="zh-CN"/>
              </w:rPr>
              <w:t>1、基金或本基金：指博时</w:t>
            </w:r>
            <w:r>
              <w:rPr>
                <w:rFonts w:hint="eastAsia" w:ascii="宋体" w:hAnsi="宋体" w:cs="宋体"/>
                <w:strike/>
                <w:lang w:eastAsia="zh-CN"/>
              </w:rPr>
              <w:t>国证新能源电池</w:t>
            </w:r>
            <w:r>
              <w:rPr>
                <w:rFonts w:hint="eastAsia" w:ascii="宋体" w:hAnsi="宋体" w:cs="宋体"/>
                <w:lang w:eastAsia="zh-CN"/>
              </w:rPr>
              <w:t>指数型证券投资基金</w:t>
            </w:r>
          </w:p>
          <w:p w14:paraId="060A7D8C">
            <w:pPr>
              <w:spacing w:after="60" w:line="264" w:lineRule="auto"/>
              <w:rPr>
                <w:rFonts w:hint="eastAsia" w:ascii="宋体" w:hAnsi="宋体" w:cs="宋体"/>
                <w:lang w:eastAsia="zh-CN"/>
              </w:rPr>
            </w:pPr>
            <w:r>
              <w:rPr>
                <w:rFonts w:hint="eastAsia" w:ascii="宋体" w:hAnsi="宋体" w:cs="宋体"/>
                <w:lang w:eastAsia="zh-CN"/>
              </w:rPr>
              <w:t>4、基金合同或本基金合同：指《博时</w:t>
            </w:r>
            <w:r>
              <w:rPr>
                <w:rFonts w:hint="eastAsia" w:ascii="宋体" w:hAnsi="宋体" w:cs="宋体"/>
                <w:strike/>
                <w:lang w:eastAsia="zh-CN"/>
              </w:rPr>
              <w:t>国证新能源电池</w:t>
            </w:r>
            <w:r>
              <w:rPr>
                <w:rFonts w:hint="eastAsia" w:ascii="宋体" w:hAnsi="宋体" w:cs="宋体"/>
                <w:lang w:eastAsia="zh-CN"/>
              </w:rPr>
              <w:t>指数型证券投资基金基金合同》及对本基金合同的任何有效修订和补充</w:t>
            </w:r>
          </w:p>
          <w:p w14:paraId="57B31EB4">
            <w:pPr>
              <w:spacing w:after="60" w:line="264" w:lineRule="auto"/>
              <w:rPr>
                <w:rFonts w:hint="eastAsia" w:ascii="宋体" w:hAnsi="宋体" w:cs="宋体"/>
                <w:lang w:eastAsia="zh-CN"/>
              </w:rPr>
            </w:pPr>
            <w:r>
              <w:rPr>
                <w:rFonts w:hint="eastAsia" w:ascii="宋体" w:hAnsi="宋体" w:cs="宋体"/>
                <w:lang w:eastAsia="zh-CN"/>
              </w:rPr>
              <w:t>5、托管协议：指基金管理人与基金托管人就本基金签订之《博时</w:t>
            </w:r>
            <w:r>
              <w:rPr>
                <w:rFonts w:hint="eastAsia" w:ascii="宋体" w:hAnsi="宋体" w:cs="宋体"/>
                <w:strike/>
                <w:lang w:eastAsia="zh-CN"/>
              </w:rPr>
              <w:t>国证新能源电池</w:t>
            </w:r>
            <w:r>
              <w:rPr>
                <w:rFonts w:hint="eastAsia" w:ascii="宋体" w:hAnsi="宋体" w:cs="宋体"/>
                <w:lang w:eastAsia="zh-CN"/>
              </w:rPr>
              <w:t>指数型证券投资基金托管协议》及对该托管协议的任何有效修订和补充</w:t>
            </w:r>
          </w:p>
          <w:p w14:paraId="02D0A2A9">
            <w:pPr>
              <w:spacing w:after="60" w:line="264" w:lineRule="auto"/>
              <w:rPr>
                <w:rFonts w:hint="eastAsia" w:ascii="宋体" w:hAnsi="宋体" w:cs="宋体"/>
                <w:lang w:eastAsia="zh-CN"/>
              </w:rPr>
            </w:pPr>
            <w:r>
              <w:rPr>
                <w:rFonts w:hint="eastAsia" w:ascii="宋体" w:hAnsi="宋体" w:cs="宋体"/>
                <w:lang w:eastAsia="zh-CN"/>
              </w:rPr>
              <w:t>6、招募说明书：指《博时</w:t>
            </w:r>
            <w:r>
              <w:rPr>
                <w:rFonts w:hint="eastAsia" w:ascii="宋体" w:hAnsi="宋体" w:cs="宋体"/>
                <w:strike/>
                <w:lang w:eastAsia="zh-CN"/>
              </w:rPr>
              <w:t>国证新能源电池</w:t>
            </w:r>
            <w:r>
              <w:rPr>
                <w:rFonts w:hint="eastAsia" w:ascii="宋体" w:hAnsi="宋体" w:cs="宋体"/>
                <w:lang w:eastAsia="zh-CN"/>
              </w:rPr>
              <w:t>指数型证券投资基金招募说明书》及其更新</w:t>
            </w:r>
          </w:p>
          <w:p w14:paraId="0A479771">
            <w:pPr>
              <w:spacing w:after="60" w:line="264" w:lineRule="auto"/>
              <w:rPr>
                <w:rFonts w:hint="eastAsia" w:ascii="宋体" w:hAnsi="宋体" w:cs="宋体"/>
                <w:lang w:eastAsia="zh-CN"/>
              </w:rPr>
            </w:pPr>
            <w:r>
              <w:rPr>
                <w:rFonts w:hint="eastAsia" w:ascii="宋体" w:hAnsi="宋体" w:cs="宋体"/>
                <w:lang w:eastAsia="zh-CN"/>
              </w:rPr>
              <w:t>8、基金产品资料概要：指《博时</w:t>
            </w:r>
            <w:r>
              <w:rPr>
                <w:rFonts w:hint="eastAsia" w:ascii="宋体" w:hAnsi="宋体" w:cs="宋体"/>
                <w:strike/>
                <w:lang w:eastAsia="zh-CN"/>
              </w:rPr>
              <w:t>国证新能源电池</w:t>
            </w:r>
            <w:r>
              <w:rPr>
                <w:rFonts w:hint="eastAsia" w:ascii="宋体" w:hAnsi="宋体" w:cs="宋体"/>
                <w:lang w:eastAsia="zh-CN"/>
              </w:rPr>
              <w:t>指数型证券投资基金基金产品资料概要》及其更新</w:t>
            </w:r>
          </w:p>
        </w:tc>
        <w:tc>
          <w:tcPr>
            <w:tcW w:w="4195" w:type="dxa"/>
            <w:tcMar>
              <w:top w:w="70" w:type="dxa"/>
              <w:left w:w="80" w:type="dxa"/>
              <w:bottom w:w="70" w:type="dxa"/>
              <w:right w:w="80" w:type="dxa"/>
            </w:tcMar>
            <w:vAlign w:val="center"/>
          </w:tcPr>
          <w:p w14:paraId="58750CA8">
            <w:pPr>
              <w:spacing w:after="60" w:line="264" w:lineRule="auto"/>
              <w:rPr>
                <w:rFonts w:hint="eastAsia" w:ascii="宋体" w:hAnsi="宋体" w:cs="宋体"/>
                <w:lang w:eastAsia="zh-CN"/>
              </w:rPr>
            </w:pPr>
            <w:r>
              <w:rPr>
                <w:rFonts w:hint="eastAsia" w:ascii="宋体" w:hAnsi="宋体" w:cs="宋体"/>
                <w:lang w:eastAsia="zh-CN"/>
              </w:rPr>
              <w:t>1、基金或本基金：指博时</w:t>
            </w:r>
            <w:r>
              <w:rPr>
                <w:rFonts w:hint="eastAsia" w:ascii="宋体" w:hAnsi="宋体" w:cs="宋体"/>
                <w:b/>
                <w:lang w:eastAsia="zh-CN"/>
              </w:rPr>
              <w:t>国证储能电池</w:t>
            </w:r>
            <w:r>
              <w:rPr>
                <w:rFonts w:hint="eastAsia" w:ascii="宋体" w:hAnsi="宋体" w:cs="宋体"/>
                <w:lang w:eastAsia="zh-CN"/>
              </w:rPr>
              <w:t>指数型证券投资基金</w:t>
            </w:r>
            <w:r>
              <w:rPr>
                <w:rFonts w:hint="eastAsia" w:ascii="宋体" w:hAnsi="宋体" w:cs="宋体"/>
                <w:b/>
                <w:lang w:eastAsia="zh-CN"/>
              </w:rPr>
              <w:t>，博时国证储能电池指数型证券投资基金由博时国证新能源电池指数型证券投资基金更名而来。</w:t>
            </w:r>
          </w:p>
          <w:p w14:paraId="10821C59">
            <w:pPr>
              <w:spacing w:after="60" w:line="264" w:lineRule="auto"/>
              <w:rPr>
                <w:rFonts w:hint="eastAsia" w:ascii="宋体" w:hAnsi="宋体" w:cs="宋体"/>
                <w:lang w:eastAsia="zh-CN"/>
              </w:rPr>
            </w:pPr>
            <w:r>
              <w:rPr>
                <w:rFonts w:hint="eastAsia" w:ascii="宋体" w:hAnsi="宋体" w:cs="宋体"/>
                <w:lang w:eastAsia="zh-CN"/>
              </w:rPr>
              <w:t>4、基金合同或本基金合同：指《博时</w:t>
            </w:r>
            <w:r>
              <w:rPr>
                <w:rFonts w:hint="eastAsia" w:ascii="宋体" w:hAnsi="宋体" w:cs="宋体"/>
                <w:b/>
                <w:lang w:eastAsia="zh-CN"/>
              </w:rPr>
              <w:t>国证储能电池</w:t>
            </w:r>
            <w:r>
              <w:rPr>
                <w:rFonts w:hint="eastAsia" w:ascii="宋体" w:hAnsi="宋体" w:cs="宋体"/>
                <w:lang w:eastAsia="zh-CN"/>
              </w:rPr>
              <w:t>指数型证券投资基金基金合同》及对本基金合同的任何有效修订和补充</w:t>
            </w:r>
            <w:r>
              <w:rPr>
                <w:rFonts w:hint="eastAsia" w:ascii="宋体" w:hAnsi="宋体" w:cs="宋体"/>
                <w:b/>
                <w:lang w:eastAsia="zh-CN"/>
              </w:rPr>
              <w:t>，本基金合同由《博时国证新能源电池指数型证券投资基金基金合同》修订而来。</w:t>
            </w:r>
          </w:p>
          <w:p w14:paraId="51B6CED9">
            <w:pPr>
              <w:spacing w:after="60" w:line="264" w:lineRule="auto"/>
              <w:rPr>
                <w:rFonts w:hint="eastAsia" w:ascii="宋体" w:hAnsi="宋体" w:cs="宋体"/>
                <w:lang w:eastAsia="zh-CN"/>
              </w:rPr>
            </w:pPr>
            <w:r>
              <w:rPr>
                <w:rFonts w:hint="eastAsia" w:ascii="宋体" w:hAnsi="宋体" w:cs="宋体"/>
                <w:lang w:eastAsia="zh-CN"/>
              </w:rPr>
              <w:t>5、托管协议：指基金管理人与基金托管人就本基金签订之《博时</w:t>
            </w:r>
            <w:r>
              <w:rPr>
                <w:rFonts w:hint="eastAsia" w:ascii="宋体" w:hAnsi="宋体" w:cs="宋体"/>
                <w:b/>
                <w:lang w:eastAsia="zh-CN"/>
              </w:rPr>
              <w:t>国证储能电池</w:t>
            </w:r>
            <w:r>
              <w:rPr>
                <w:rFonts w:hint="eastAsia" w:ascii="宋体" w:hAnsi="宋体" w:cs="宋体"/>
                <w:lang w:eastAsia="zh-CN"/>
              </w:rPr>
              <w:t>指数型证券投资基金托管协议》及对该托管协议的任何有效修订和补充</w:t>
            </w:r>
            <w:r>
              <w:rPr>
                <w:rFonts w:hint="eastAsia" w:ascii="宋体" w:hAnsi="宋体" w:cs="宋体"/>
                <w:b/>
                <w:lang w:eastAsia="zh-CN"/>
              </w:rPr>
              <w:t>，该托管协议由《博时国证新能源电池指数型证券投资基金托管协议》修订而来。</w:t>
            </w:r>
          </w:p>
          <w:p w14:paraId="266B8926">
            <w:pPr>
              <w:spacing w:after="60" w:line="264" w:lineRule="auto"/>
              <w:rPr>
                <w:rFonts w:hint="eastAsia" w:ascii="宋体" w:hAnsi="宋体" w:cs="宋体"/>
                <w:lang w:eastAsia="zh-CN"/>
              </w:rPr>
            </w:pPr>
            <w:r>
              <w:rPr>
                <w:rFonts w:hint="eastAsia" w:ascii="宋体" w:hAnsi="宋体" w:cs="宋体"/>
                <w:lang w:eastAsia="zh-CN"/>
              </w:rPr>
              <w:t>6、招募说明书：指《博时</w:t>
            </w:r>
            <w:r>
              <w:rPr>
                <w:rFonts w:hint="eastAsia" w:ascii="宋体" w:hAnsi="宋体" w:cs="宋体"/>
                <w:b/>
                <w:lang w:eastAsia="zh-CN"/>
              </w:rPr>
              <w:t>国证储能电池</w:t>
            </w:r>
            <w:r>
              <w:rPr>
                <w:rFonts w:hint="eastAsia" w:ascii="宋体" w:hAnsi="宋体" w:cs="宋体"/>
                <w:lang w:eastAsia="zh-CN"/>
              </w:rPr>
              <w:t>指数型证券投资基金招募说明书》及其更新</w:t>
            </w:r>
          </w:p>
          <w:p w14:paraId="3FC114B6">
            <w:pPr>
              <w:spacing w:after="60" w:line="264" w:lineRule="auto"/>
              <w:rPr>
                <w:rFonts w:hint="eastAsia" w:ascii="宋体" w:hAnsi="宋体" w:cs="宋体"/>
                <w:lang w:eastAsia="zh-CN"/>
              </w:rPr>
            </w:pPr>
            <w:r>
              <w:rPr>
                <w:rFonts w:hint="eastAsia" w:ascii="宋体" w:hAnsi="宋体" w:cs="宋体"/>
                <w:lang w:eastAsia="zh-CN"/>
              </w:rPr>
              <w:t>8、基金产品资料概要：指《博时</w:t>
            </w:r>
            <w:r>
              <w:rPr>
                <w:rFonts w:hint="eastAsia" w:ascii="宋体" w:hAnsi="宋体" w:cs="宋体"/>
                <w:b/>
                <w:lang w:eastAsia="zh-CN"/>
              </w:rPr>
              <w:t>国证储能电池</w:t>
            </w:r>
            <w:r>
              <w:rPr>
                <w:rFonts w:hint="eastAsia" w:ascii="宋体" w:hAnsi="宋体" w:cs="宋体"/>
                <w:lang w:eastAsia="zh-CN"/>
              </w:rPr>
              <w:t>指数型证券投资基金基金产品资料概要》及其更新</w:t>
            </w:r>
          </w:p>
        </w:tc>
      </w:tr>
      <w:tr w14:paraId="78DE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17B50DBF">
            <w:pPr>
              <w:spacing w:after="0" w:line="240" w:lineRule="auto"/>
              <w:jc w:val="center"/>
              <w:rPr>
                <w:rFonts w:hint="eastAsia"/>
              </w:rPr>
            </w:pPr>
            <w:r>
              <w:rPr>
                <w:b/>
                <w:lang w:eastAsia="zh-CN"/>
              </w:rPr>
              <w:t>第三部分 基金的基本情况</w:t>
            </w:r>
          </w:p>
        </w:tc>
        <w:tc>
          <w:tcPr>
            <w:tcW w:w="4195" w:type="dxa"/>
            <w:tcMar>
              <w:top w:w="70" w:type="dxa"/>
              <w:left w:w="80" w:type="dxa"/>
              <w:bottom w:w="70" w:type="dxa"/>
              <w:right w:w="80" w:type="dxa"/>
            </w:tcMar>
            <w:vAlign w:val="center"/>
          </w:tcPr>
          <w:p w14:paraId="37C461DD">
            <w:pPr>
              <w:spacing w:after="60" w:line="264" w:lineRule="auto"/>
              <w:rPr>
                <w:rFonts w:hint="eastAsia" w:ascii="宋体" w:hAnsi="宋体" w:cs="宋体"/>
                <w:lang w:eastAsia="zh-CN"/>
              </w:rPr>
            </w:pPr>
            <w:r>
              <w:rPr>
                <w:rFonts w:hint="eastAsia" w:ascii="宋体" w:hAnsi="宋体" w:cs="宋体"/>
                <w:lang w:eastAsia="zh-CN"/>
              </w:rPr>
              <w:t>一、基金名称</w:t>
            </w:r>
          </w:p>
          <w:p w14:paraId="385C4F24">
            <w:pPr>
              <w:spacing w:after="60" w:line="264" w:lineRule="auto"/>
              <w:rPr>
                <w:rFonts w:hint="eastAsia" w:ascii="宋体" w:hAnsi="宋体" w:cs="宋体"/>
                <w:lang w:eastAsia="zh-CN"/>
              </w:rPr>
            </w:pPr>
            <w:r>
              <w:rPr>
                <w:rFonts w:hint="eastAsia" w:ascii="宋体" w:hAnsi="宋体" w:cs="宋体"/>
                <w:lang w:eastAsia="zh-CN"/>
              </w:rPr>
              <w:t>博时</w:t>
            </w:r>
            <w:r>
              <w:rPr>
                <w:rFonts w:hint="eastAsia" w:ascii="宋体" w:hAnsi="宋体" w:cs="宋体"/>
                <w:strike/>
                <w:lang w:eastAsia="zh-CN"/>
              </w:rPr>
              <w:t>国证新能源电池</w:t>
            </w:r>
            <w:r>
              <w:rPr>
                <w:rFonts w:hint="eastAsia" w:ascii="宋体" w:hAnsi="宋体" w:cs="宋体"/>
                <w:lang w:eastAsia="zh-CN"/>
              </w:rPr>
              <w:t>指数型证券投资基金</w:t>
            </w:r>
          </w:p>
          <w:p w14:paraId="03779744">
            <w:pPr>
              <w:spacing w:after="60" w:line="264" w:lineRule="auto"/>
              <w:rPr>
                <w:rFonts w:hint="eastAsia" w:ascii="宋体" w:hAnsi="宋体" w:cs="宋体"/>
                <w:lang w:eastAsia="zh-CN"/>
              </w:rPr>
            </w:pPr>
          </w:p>
          <w:p w14:paraId="02C89B68">
            <w:pPr>
              <w:spacing w:after="60" w:line="264" w:lineRule="auto"/>
              <w:rPr>
                <w:rFonts w:hint="eastAsia" w:ascii="宋体" w:hAnsi="宋体" w:cs="宋体"/>
                <w:lang w:eastAsia="zh-CN"/>
              </w:rPr>
            </w:pPr>
            <w:r>
              <w:rPr>
                <w:rFonts w:hint="eastAsia" w:ascii="宋体" w:hAnsi="宋体" w:cs="宋体"/>
                <w:lang w:eastAsia="zh-CN"/>
              </w:rPr>
              <w:t>五、标的指数</w:t>
            </w:r>
          </w:p>
          <w:p w14:paraId="677326CC">
            <w:pPr>
              <w:spacing w:after="60" w:line="264" w:lineRule="auto"/>
              <w:rPr>
                <w:rFonts w:hint="eastAsia" w:ascii="宋体" w:hAnsi="宋体" w:cs="宋体"/>
                <w:lang w:eastAsia="zh-CN"/>
              </w:rPr>
            </w:pPr>
            <w:r>
              <w:rPr>
                <w:rFonts w:hint="eastAsia" w:ascii="宋体" w:hAnsi="宋体" w:cs="宋体"/>
                <w:lang w:eastAsia="zh-CN"/>
              </w:rPr>
              <w:t>本基金的标的指数为</w:t>
            </w:r>
            <w:r>
              <w:rPr>
                <w:rFonts w:hint="eastAsia" w:ascii="宋体" w:hAnsi="宋体" w:cs="宋体"/>
                <w:strike/>
                <w:lang w:eastAsia="zh-CN"/>
              </w:rPr>
              <w:t>国证新能源电池</w:t>
            </w:r>
            <w:r>
              <w:rPr>
                <w:rFonts w:hint="eastAsia" w:ascii="宋体" w:hAnsi="宋体" w:cs="宋体"/>
                <w:lang w:eastAsia="zh-CN"/>
              </w:rPr>
              <w:t>指数</w:t>
            </w:r>
          </w:p>
        </w:tc>
        <w:tc>
          <w:tcPr>
            <w:tcW w:w="4195" w:type="dxa"/>
            <w:tcMar>
              <w:top w:w="70" w:type="dxa"/>
              <w:left w:w="80" w:type="dxa"/>
              <w:bottom w:w="70" w:type="dxa"/>
              <w:right w:w="80" w:type="dxa"/>
            </w:tcMar>
            <w:vAlign w:val="center"/>
          </w:tcPr>
          <w:p w14:paraId="13C2B520">
            <w:pPr>
              <w:spacing w:after="60" w:line="264" w:lineRule="auto"/>
              <w:rPr>
                <w:rFonts w:hint="eastAsia" w:ascii="宋体" w:hAnsi="宋体" w:cs="宋体"/>
                <w:lang w:eastAsia="zh-CN"/>
              </w:rPr>
            </w:pPr>
            <w:r>
              <w:rPr>
                <w:rFonts w:hint="eastAsia" w:ascii="宋体" w:hAnsi="宋体" w:cs="宋体"/>
                <w:lang w:eastAsia="zh-CN"/>
              </w:rPr>
              <w:t>一、基金名称</w:t>
            </w:r>
          </w:p>
          <w:p w14:paraId="2583B804">
            <w:pPr>
              <w:spacing w:after="60" w:line="264" w:lineRule="auto"/>
              <w:rPr>
                <w:rFonts w:hint="eastAsia" w:ascii="宋体" w:hAnsi="宋体" w:cs="宋体"/>
                <w:lang w:eastAsia="zh-CN"/>
              </w:rPr>
            </w:pPr>
            <w:r>
              <w:rPr>
                <w:rFonts w:hint="eastAsia" w:ascii="宋体" w:hAnsi="宋体" w:cs="宋体"/>
                <w:lang w:eastAsia="zh-CN"/>
              </w:rPr>
              <w:t>博时</w:t>
            </w:r>
            <w:r>
              <w:rPr>
                <w:rFonts w:hint="eastAsia" w:ascii="宋体" w:hAnsi="宋体" w:cs="宋体"/>
                <w:b/>
                <w:lang w:eastAsia="zh-CN"/>
              </w:rPr>
              <w:t>国证储能电池</w:t>
            </w:r>
            <w:r>
              <w:rPr>
                <w:rFonts w:hint="eastAsia" w:ascii="宋体" w:hAnsi="宋体" w:cs="宋体"/>
                <w:lang w:eastAsia="zh-CN"/>
              </w:rPr>
              <w:t>指数型证券投资基金</w:t>
            </w:r>
          </w:p>
          <w:p w14:paraId="1A0115B7">
            <w:pPr>
              <w:spacing w:after="60" w:line="264" w:lineRule="auto"/>
              <w:rPr>
                <w:rFonts w:hint="eastAsia" w:ascii="宋体" w:hAnsi="宋体" w:cs="宋体"/>
                <w:lang w:eastAsia="zh-CN"/>
              </w:rPr>
            </w:pPr>
          </w:p>
          <w:p w14:paraId="1BDACC38">
            <w:pPr>
              <w:spacing w:after="60" w:line="264" w:lineRule="auto"/>
              <w:rPr>
                <w:rFonts w:hint="eastAsia" w:ascii="宋体" w:hAnsi="宋体" w:cs="宋体"/>
                <w:lang w:eastAsia="zh-CN"/>
              </w:rPr>
            </w:pPr>
            <w:r>
              <w:rPr>
                <w:rFonts w:hint="eastAsia" w:ascii="宋体" w:hAnsi="宋体" w:cs="宋体"/>
                <w:lang w:eastAsia="zh-CN"/>
              </w:rPr>
              <w:t>五、标的指数</w:t>
            </w:r>
          </w:p>
          <w:p w14:paraId="0A539D80">
            <w:pPr>
              <w:spacing w:after="60" w:line="264" w:lineRule="auto"/>
              <w:rPr>
                <w:rFonts w:hint="eastAsia" w:ascii="宋体" w:hAnsi="宋体" w:cs="宋体"/>
                <w:lang w:eastAsia="zh-CN"/>
              </w:rPr>
            </w:pPr>
            <w:r>
              <w:rPr>
                <w:rFonts w:hint="eastAsia" w:ascii="宋体" w:hAnsi="宋体" w:cs="宋体"/>
                <w:lang w:eastAsia="zh-CN"/>
              </w:rPr>
              <w:t>本基金的标的指数为</w:t>
            </w:r>
            <w:r>
              <w:rPr>
                <w:rFonts w:hint="eastAsia" w:ascii="宋体" w:hAnsi="宋体" w:cs="宋体"/>
                <w:b/>
                <w:lang w:eastAsia="zh-CN"/>
              </w:rPr>
              <w:t>国证储能电池</w:t>
            </w:r>
            <w:r>
              <w:rPr>
                <w:rFonts w:hint="eastAsia" w:ascii="宋体" w:hAnsi="宋体" w:cs="宋体"/>
                <w:lang w:eastAsia="zh-CN"/>
              </w:rPr>
              <w:t>指数</w:t>
            </w:r>
          </w:p>
        </w:tc>
      </w:tr>
      <w:tr w14:paraId="6830A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3ADFB214">
            <w:pPr>
              <w:spacing w:after="0" w:line="240" w:lineRule="auto"/>
              <w:jc w:val="center"/>
              <w:rPr>
                <w:b/>
                <w:lang w:eastAsia="zh-CN"/>
              </w:rPr>
            </w:pPr>
            <w:r>
              <w:rPr>
                <w:rFonts w:hint="eastAsia"/>
                <w:b/>
                <w:lang w:eastAsia="zh-CN"/>
              </w:rPr>
              <w:t>第七部分 基金合同当事人及权利义务</w:t>
            </w:r>
          </w:p>
        </w:tc>
        <w:tc>
          <w:tcPr>
            <w:tcW w:w="4195" w:type="dxa"/>
            <w:tcMar>
              <w:top w:w="70" w:type="dxa"/>
              <w:left w:w="80" w:type="dxa"/>
              <w:bottom w:w="70" w:type="dxa"/>
              <w:right w:w="80" w:type="dxa"/>
            </w:tcMar>
            <w:vAlign w:val="center"/>
          </w:tcPr>
          <w:p w14:paraId="4C924D8D">
            <w:pPr>
              <w:spacing w:after="60" w:line="264" w:lineRule="auto"/>
              <w:rPr>
                <w:rFonts w:hint="eastAsia" w:ascii="宋体" w:hAnsi="宋体" w:cs="宋体"/>
                <w:lang w:eastAsia="zh-CN"/>
              </w:rPr>
            </w:pPr>
            <w:r>
              <w:rPr>
                <w:rFonts w:hint="eastAsia" w:ascii="宋体" w:hAnsi="宋体" w:cs="宋体"/>
                <w:lang w:eastAsia="zh-CN"/>
              </w:rPr>
              <w:t>二、基金托管人</w:t>
            </w:r>
          </w:p>
          <w:p w14:paraId="68ADA0CD">
            <w:pPr>
              <w:spacing w:after="60" w:line="264" w:lineRule="auto"/>
              <w:rPr>
                <w:rFonts w:hint="eastAsia" w:ascii="宋体" w:hAnsi="宋体" w:cs="宋体"/>
                <w:lang w:eastAsia="zh-CN"/>
              </w:rPr>
            </w:pPr>
            <w:r>
              <w:rPr>
                <w:rFonts w:hint="eastAsia" w:ascii="宋体" w:hAnsi="宋体" w:cs="宋体"/>
                <w:lang w:eastAsia="zh-CN"/>
              </w:rPr>
              <w:t>（一）</w:t>
            </w:r>
            <w:r>
              <w:rPr>
                <w:rFonts w:hint="eastAsia" w:ascii="宋体" w:hAnsi="宋体" w:cs="宋体"/>
                <w:lang w:eastAsia="zh-CN"/>
              </w:rPr>
              <w:tab/>
            </w:r>
            <w:r>
              <w:rPr>
                <w:rFonts w:hint="eastAsia" w:ascii="宋体" w:hAnsi="宋体" w:cs="宋体"/>
                <w:lang w:eastAsia="zh-CN"/>
              </w:rPr>
              <w:t>基金托管人简况</w:t>
            </w:r>
          </w:p>
          <w:p w14:paraId="129B12C1">
            <w:pPr>
              <w:spacing w:after="60" w:line="264" w:lineRule="auto"/>
              <w:rPr>
                <w:rFonts w:hint="eastAsia" w:ascii="宋体" w:hAnsi="宋体" w:cs="宋体"/>
                <w:lang w:eastAsia="zh-CN"/>
              </w:rPr>
            </w:pPr>
            <w:r>
              <w:rPr>
                <w:rFonts w:hint="eastAsia" w:ascii="宋体" w:hAnsi="宋体" w:cs="宋体"/>
                <w:lang w:eastAsia="zh-CN"/>
              </w:rPr>
              <w:t>名称：交通银行股份有限公司（简称：交通银行）</w:t>
            </w:r>
          </w:p>
          <w:p w14:paraId="7A973355">
            <w:pPr>
              <w:spacing w:after="60" w:line="264" w:lineRule="auto"/>
              <w:rPr>
                <w:rFonts w:hint="eastAsia" w:ascii="宋体" w:hAnsi="宋体" w:cs="宋体"/>
                <w:lang w:eastAsia="zh-CN"/>
              </w:rPr>
            </w:pPr>
            <w:r>
              <w:rPr>
                <w:rFonts w:hint="eastAsia" w:ascii="宋体" w:hAnsi="宋体" w:cs="宋体"/>
                <w:lang w:eastAsia="zh-CN"/>
              </w:rPr>
              <w:t>住所：中国（上海）自由贸易试验区银城中路188号（邮政编码：200120）</w:t>
            </w:r>
          </w:p>
          <w:p w14:paraId="2307574D">
            <w:pPr>
              <w:spacing w:after="60" w:line="264" w:lineRule="auto"/>
              <w:rPr>
                <w:rFonts w:hint="eastAsia" w:ascii="宋体" w:hAnsi="宋体" w:cs="宋体"/>
                <w:lang w:eastAsia="zh-CN"/>
              </w:rPr>
            </w:pPr>
            <w:r>
              <w:rPr>
                <w:rFonts w:hint="eastAsia" w:ascii="宋体" w:hAnsi="宋体" w:cs="宋体"/>
                <w:lang w:eastAsia="zh-CN"/>
              </w:rPr>
              <w:t>办公地址：上海市长宁区仙霞路18号（邮政编码：200336）</w:t>
            </w:r>
          </w:p>
          <w:p w14:paraId="0BD9F7DC">
            <w:pPr>
              <w:spacing w:after="60" w:line="264" w:lineRule="auto"/>
              <w:rPr>
                <w:rFonts w:hint="eastAsia" w:ascii="宋体" w:hAnsi="宋体" w:cs="宋体"/>
                <w:lang w:eastAsia="zh-CN"/>
              </w:rPr>
            </w:pPr>
            <w:r>
              <w:rPr>
                <w:rFonts w:hint="eastAsia" w:ascii="宋体" w:hAnsi="宋体" w:cs="宋体"/>
                <w:lang w:eastAsia="zh-CN"/>
              </w:rPr>
              <w:t>法定代表人：任德奇</w:t>
            </w:r>
          </w:p>
          <w:p w14:paraId="0F3FB033">
            <w:pPr>
              <w:spacing w:after="60" w:line="264" w:lineRule="auto"/>
              <w:rPr>
                <w:rFonts w:hint="eastAsia" w:ascii="宋体" w:hAnsi="宋体" w:cs="宋体"/>
                <w:lang w:eastAsia="zh-CN"/>
              </w:rPr>
            </w:pPr>
            <w:r>
              <w:rPr>
                <w:rFonts w:hint="eastAsia" w:ascii="宋体" w:hAnsi="宋体" w:cs="宋体"/>
                <w:lang w:eastAsia="zh-CN"/>
              </w:rPr>
              <w:t>成立时间：1987年3月30日</w:t>
            </w:r>
          </w:p>
          <w:p w14:paraId="2D45BC99">
            <w:pPr>
              <w:spacing w:after="60" w:line="264" w:lineRule="auto"/>
              <w:rPr>
                <w:rFonts w:hint="eastAsia" w:ascii="宋体" w:hAnsi="宋体" w:cs="宋体"/>
                <w:lang w:eastAsia="zh-CN"/>
              </w:rPr>
            </w:pPr>
            <w:r>
              <w:rPr>
                <w:rFonts w:hint="eastAsia" w:ascii="宋体" w:hAnsi="宋体" w:cs="宋体"/>
                <w:lang w:eastAsia="zh-CN"/>
              </w:rPr>
              <w:t>批准设立机关及批准设立文号：国务院国发(1986)字第81 号文和中国人民银行银发［1987］40号文</w:t>
            </w:r>
          </w:p>
          <w:p w14:paraId="110A1E15">
            <w:pPr>
              <w:spacing w:after="60" w:line="264" w:lineRule="auto"/>
              <w:rPr>
                <w:rFonts w:hint="eastAsia" w:ascii="宋体" w:hAnsi="宋体" w:cs="宋体"/>
                <w:lang w:eastAsia="zh-CN"/>
              </w:rPr>
            </w:pPr>
            <w:r>
              <w:rPr>
                <w:rFonts w:hint="eastAsia" w:ascii="宋体" w:hAnsi="宋体" w:cs="宋体"/>
                <w:lang w:eastAsia="zh-CN"/>
              </w:rPr>
              <w:t>基金托管业务批准文号：中国证监会证监基字［1998］25号</w:t>
            </w:r>
          </w:p>
          <w:p w14:paraId="68535DBF">
            <w:pPr>
              <w:spacing w:after="60" w:line="264" w:lineRule="auto"/>
              <w:rPr>
                <w:rFonts w:hint="eastAsia" w:ascii="宋体" w:hAnsi="宋体" w:cs="宋体"/>
                <w:lang w:eastAsia="zh-CN"/>
              </w:rPr>
            </w:pPr>
            <w:r>
              <w:rPr>
                <w:rFonts w:hint="eastAsia" w:ascii="宋体" w:hAnsi="宋体" w:cs="宋体"/>
                <w:lang w:eastAsia="zh-CN"/>
              </w:rPr>
              <w:t>注册资本：</w:t>
            </w:r>
            <w:r>
              <w:rPr>
                <w:rFonts w:hint="eastAsia" w:ascii="宋体" w:hAnsi="宋体" w:cs="宋体"/>
                <w:strike/>
                <w:lang w:eastAsia="zh-CN"/>
              </w:rPr>
              <w:t>742.63</w:t>
            </w:r>
            <w:r>
              <w:rPr>
                <w:rFonts w:hint="eastAsia" w:ascii="宋体" w:hAnsi="宋体" w:cs="宋体"/>
                <w:lang w:eastAsia="zh-CN"/>
              </w:rPr>
              <w:t>亿元人民币</w:t>
            </w:r>
          </w:p>
        </w:tc>
        <w:tc>
          <w:tcPr>
            <w:tcW w:w="4195" w:type="dxa"/>
            <w:tcMar>
              <w:top w:w="70" w:type="dxa"/>
              <w:left w:w="80" w:type="dxa"/>
              <w:bottom w:w="70" w:type="dxa"/>
              <w:right w:w="80" w:type="dxa"/>
            </w:tcMar>
            <w:vAlign w:val="center"/>
          </w:tcPr>
          <w:p w14:paraId="412FD878">
            <w:pPr>
              <w:spacing w:after="60" w:line="264" w:lineRule="auto"/>
              <w:rPr>
                <w:rFonts w:hint="eastAsia" w:ascii="宋体" w:hAnsi="宋体" w:cs="宋体"/>
                <w:lang w:eastAsia="zh-CN"/>
              </w:rPr>
            </w:pPr>
            <w:r>
              <w:rPr>
                <w:rFonts w:hint="eastAsia" w:ascii="宋体" w:hAnsi="宋体" w:cs="宋体"/>
                <w:lang w:eastAsia="zh-CN"/>
              </w:rPr>
              <w:t>二、基金托管人</w:t>
            </w:r>
          </w:p>
          <w:p w14:paraId="19BE856D">
            <w:pPr>
              <w:spacing w:after="60" w:line="264" w:lineRule="auto"/>
              <w:rPr>
                <w:rFonts w:hint="eastAsia" w:ascii="宋体" w:hAnsi="宋体" w:cs="宋体"/>
                <w:lang w:eastAsia="zh-CN"/>
              </w:rPr>
            </w:pPr>
            <w:r>
              <w:rPr>
                <w:rFonts w:hint="eastAsia" w:ascii="宋体" w:hAnsi="宋体" w:cs="宋体"/>
                <w:lang w:eastAsia="zh-CN"/>
              </w:rPr>
              <w:t>（一）</w:t>
            </w:r>
            <w:r>
              <w:rPr>
                <w:rFonts w:hint="eastAsia" w:ascii="宋体" w:hAnsi="宋体" w:cs="宋体"/>
                <w:lang w:eastAsia="zh-CN"/>
              </w:rPr>
              <w:tab/>
            </w:r>
            <w:r>
              <w:rPr>
                <w:rFonts w:hint="eastAsia" w:ascii="宋体" w:hAnsi="宋体" w:cs="宋体"/>
                <w:lang w:eastAsia="zh-CN"/>
              </w:rPr>
              <w:t>基金托管人简况</w:t>
            </w:r>
          </w:p>
          <w:p w14:paraId="4032A4B2">
            <w:pPr>
              <w:spacing w:after="60" w:line="264" w:lineRule="auto"/>
              <w:rPr>
                <w:rFonts w:hint="eastAsia" w:ascii="宋体" w:hAnsi="宋体" w:cs="宋体"/>
                <w:lang w:eastAsia="zh-CN"/>
              </w:rPr>
            </w:pPr>
            <w:r>
              <w:rPr>
                <w:rFonts w:hint="eastAsia" w:ascii="宋体" w:hAnsi="宋体" w:cs="宋体"/>
                <w:lang w:eastAsia="zh-CN"/>
              </w:rPr>
              <w:t>名称：交通银行股份有限公司（简称：交通银行）</w:t>
            </w:r>
          </w:p>
          <w:p w14:paraId="527E519B">
            <w:pPr>
              <w:spacing w:after="60" w:line="264" w:lineRule="auto"/>
              <w:rPr>
                <w:rFonts w:hint="eastAsia" w:ascii="宋体" w:hAnsi="宋体" w:cs="宋体"/>
                <w:lang w:eastAsia="zh-CN"/>
              </w:rPr>
            </w:pPr>
            <w:r>
              <w:rPr>
                <w:rFonts w:hint="eastAsia" w:ascii="宋体" w:hAnsi="宋体" w:cs="宋体"/>
                <w:lang w:eastAsia="zh-CN"/>
              </w:rPr>
              <w:t>住所：中国（上海）自由贸易试验区银城中路188号（邮政编码：200120）</w:t>
            </w:r>
          </w:p>
          <w:p w14:paraId="30F585C1">
            <w:pPr>
              <w:spacing w:after="60" w:line="264" w:lineRule="auto"/>
              <w:rPr>
                <w:rFonts w:hint="eastAsia" w:ascii="宋体" w:hAnsi="宋体" w:cs="宋体"/>
                <w:lang w:eastAsia="zh-CN"/>
              </w:rPr>
            </w:pPr>
            <w:r>
              <w:rPr>
                <w:rFonts w:hint="eastAsia" w:ascii="宋体" w:hAnsi="宋体" w:cs="宋体"/>
                <w:lang w:eastAsia="zh-CN"/>
              </w:rPr>
              <w:t>办公地址：上海市长宁区仙霞路18号（邮政编码：200336）</w:t>
            </w:r>
          </w:p>
          <w:p w14:paraId="15E1BAD3">
            <w:pPr>
              <w:spacing w:after="60" w:line="264" w:lineRule="auto"/>
              <w:rPr>
                <w:rFonts w:hint="eastAsia" w:ascii="宋体" w:hAnsi="宋体" w:cs="宋体"/>
                <w:lang w:eastAsia="zh-CN"/>
              </w:rPr>
            </w:pPr>
            <w:r>
              <w:rPr>
                <w:rFonts w:hint="eastAsia" w:ascii="宋体" w:hAnsi="宋体" w:cs="宋体"/>
                <w:lang w:eastAsia="zh-CN"/>
              </w:rPr>
              <w:t>法定代表人：任德奇</w:t>
            </w:r>
          </w:p>
          <w:p w14:paraId="0F6171D5">
            <w:pPr>
              <w:spacing w:after="60" w:line="264" w:lineRule="auto"/>
              <w:rPr>
                <w:rFonts w:hint="eastAsia" w:ascii="宋体" w:hAnsi="宋体" w:cs="宋体"/>
                <w:lang w:eastAsia="zh-CN"/>
              </w:rPr>
            </w:pPr>
            <w:r>
              <w:rPr>
                <w:rFonts w:hint="eastAsia" w:ascii="宋体" w:hAnsi="宋体" w:cs="宋体"/>
                <w:lang w:eastAsia="zh-CN"/>
              </w:rPr>
              <w:t>成立时间：1987年3月30日</w:t>
            </w:r>
          </w:p>
          <w:p w14:paraId="5E88CE36">
            <w:pPr>
              <w:spacing w:after="60" w:line="264" w:lineRule="auto"/>
              <w:rPr>
                <w:rFonts w:hint="eastAsia" w:ascii="宋体" w:hAnsi="宋体" w:cs="宋体"/>
                <w:lang w:eastAsia="zh-CN"/>
              </w:rPr>
            </w:pPr>
            <w:r>
              <w:rPr>
                <w:rFonts w:hint="eastAsia" w:ascii="宋体" w:hAnsi="宋体" w:cs="宋体"/>
                <w:lang w:eastAsia="zh-CN"/>
              </w:rPr>
              <w:t>批准设立机关及批准设立文号：国务院国发(1986)字第81 号文和中国人民银行银发［1987］40号文</w:t>
            </w:r>
          </w:p>
          <w:p w14:paraId="50473808">
            <w:pPr>
              <w:spacing w:after="60" w:line="264" w:lineRule="auto"/>
              <w:rPr>
                <w:rFonts w:hint="eastAsia" w:ascii="宋体" w:hAnsi="宋体" w:cs="宋体"/>
                <w:lang w:eastAsia="zh-CN"/>
              </w:rPr>
            </w:pPr>
            <w:r>
              <w:rPr>
                <w:rFonts w:hint="eastAsia" w:ascii="宋体" w:hAnsi="宋体" w:cs="宋体"/>
                <w:lang w:eastAsia="zh-CN"/>
              </w:rPr>
              <w:t>基金托管业务批准文号：中国证监会证监基字［1998］25号</w:t>
            </w:r>
          </w:p>
          <w:p w14:paraId="105AA0FB">
            <w:pPr>
              <w:spacing w:after="60" w:line="264" w:lineRule="auto"/>
              <w:rPr>
                <w:rFonts w:hint="eastAsia" w:ascii="宋体" w:hAnsi="宋体" w:cs="宋体"/>
                <w:lang w:eastAsia="zh-CN"/>
              </w:rPr>
            </w:pPr>
            <w:r>
              <w:rPr>
                <w:rFonts w:hint="eastAsia" w:ascii="宋体" w:hAnsi="宋体" w:cs="宋体"/>
                <w:lang w:eastAsia="zh-CN"/>
              </w:rPr>
              <w:t>注册资本：</w:t>
            </w:r>
            <w:r>
              <w:rPr>
                <w:rFonts w:hint="eastAsia" w:ascii="宋体" w:hAnsi="宋体" w:cs="宋体"/>
                <w:b/>
                <w:bCs/>
                <w:lang w:eastAsia="zh-CN"/>
              </w:rPr>
              <w:t>883.64</w:t>
            </w:r>
            <w:r>
              <w:rPr>
                <w:rFonts w:hint="eastAsia" w:ascii="宋体" w:hAnsi="宋体" w:cs="宋体"/>
                <w:lang w:eastAsia="zh-CN"/>
              </w:rPr>
              <w:t>亿元人民币</w:t>
            </w:r>
          </w:p>
        </w:tc>
      </w:tr>
      <w:tr w14:paraId="6ED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71418019">
            <w:pPr>
              <w:spacing w:after="0" w:line="240" w:lineRule="auto"/>
              <w:jc w:val="center"/>
              <w:rPr>
                <w:rFonts w:hint="eastAsia"/>
              </w:rPr>
            </w:pPr>
            <w:r>
              <w:rPr>
                <w:b/>
                <w:lang w:eastAsia="zh-CN"/>
              </w:rPr>
              <w:t>第十二部分 基金的投资</w:t>
            </w:r>
          </w:p>
        </w:tc>
        <w:tc>
          <w:tcPr>
            <w:tcW w:w="4195" w:type="dxa"/>
            <w:tcMar>
              <w:top w:w="70" w:type="dxa"/>
              <w:left w:w="80" w:type="dxa"/>
              <w:bottom w:w="70" w:type="dxa"/>
              <w:right w:w="80" w:type="dxa"/>
            </w:tcMar>
            <w:vAlign w:val="center"/>
          </w:tcPr>
          <w:p w14:paraId="1FE646AA">
            <w:pPr>
              <w:spacing w:after="60" w:line="264" w:lineRule="auto"/>
              <w:rPr>
                <w:rFonts w:hint="eastAsia" w:ascii="宋体" w:hAnsi="宋体" w:cs="宋体"/>
                <w:lang w:eastAsia="zh-CN"/>
              </w:rPr>
            </w:pPr>
            <w:r>
              <w:rPr>
                <w:rFonts w:hint="eastAsia" w:ascii="宋体" w:hAnsi="宋体" w:cs="宋体"/>
                <w:lang w:eastAsia="zh-CN"/>
              </w:rPr>
              <w:t>五、标的指数和业绩比较基准</w:t>
            </w:r>
          </w:p>
          <w:p w14:paraId="39054F15">
            <w:pPr>
              <w:spacing w:after="60" w:line="264" w:lineRule="auto"/>
              <w:rPr>
                <w:rFonts w:hint="eastAsia" w:ascii="宋体" w:hAnsi="宋体" w:cs="宋体"/>
                <w:lang w:eastAsia="zh-CN"/>
              </w:rPr>
            </w:pPr>
            <w:r>
              <w:rPr>
                <w:rFonts w:hint="eastAsia" w:ascii="宋体" w:hAnsi="宋体" w:cs="宋体"/>
                <w:lang w:eastAsia="zh-CN"/>
              </w:rPr>
              <w:t>本基金的标的指数为：</w:t>
            </w:r>
            <w:r>
              <w:rPr>
                <w:rFonts w:hint="eastAsia" w:ascii="宋体" w:hAnsi="宋体" w:cs="宋体"/>
                <w:strike/>
                <w:lang w:eastAsia="zh-CN"/>
              </w:rPr>
              <w:t>国证新能源电池</w:t>
            </w:r>
            <w:r>
              <w:rPr>
                <w:rFonts w:hint="eastAsia" w:ascii="宋体" w:hAnsi="宋体" w:cs="宋体"/>
                <w:lang w:eastAsia="zh-CN"/>
              </w:rPr>
              <w:t>指数。</w:t>
            </w:r>
          </w:p>
          <w:p w14:paraId="3D8117E9">
            <w:pPr>
              <w:spacing w:after="60" w:line="264" w:lineRule="auto"/>
              <w:rPr>
                <w:rFonts w:hint="eastAsia" w:ascii="宋体" w:hAnsi="宋体" w:cs="宋体"/>
                <w:lang w:eastAsia="zh-CN"/>
              </w:rPr>
            </w:pPr>
            <w:r>
              <w:rPr>
                <w:rFonts w:hint="eastAsia" w:ascii="宋体" w:hAnsi="宋体" w:cs="宋体"/>
                <w:lang w:eastAsia="zh-CN"/>
              </w:rPr>
              <w:t>本基金业绩比较基准为：</w:t>
            </w:r>
            <w:r>
              <w:rPr>
                <w:rFonts w:hint="eastAsia" w:ascii="宋体" w:hAnsi="宋体" w:cs="宋体"/>
                <w:strike/>
                <w:lang w:eastAsia="zh-CN"/>
              </w:rPr>
              <w:t>国证新能源电池</w:t>
            </w:r>
            <w:r>
              <w:rPr>
                <w:rFonts w:hint="eastAsia" w:ascii="宋体" w:hAnsi="宋体" w:cs="宋体"/>
                <w:lang w:eastAsia="zh-CN"/>
              </w:rPr>
              <w:t>指数收益率×95%+活期存款基准利率×5%。</w:t>
            </w:r>
          </w:p>
          <w:p w14:paraId="68AEDB9D">
            <w:pPr>
              <w:spacing w:after="60" w:line="264" w:lineRule="auto"/>
              <w:rPr>
                <w:rFonts w:hint="eastAsia" w:ascii="宋体" w:hAnsi="宋体" w:cs="宋体"/>
                <w:lang w:eastAsia="zh-CN"/>
              </w:rPr>
            </w:pPr>
            <w:r>
              <w:rPr>
                <w:rFonts w:hint="eastAsia" w:ascii="宋体" w:hAnsi="宋体" w:cs="宋体"/>
                <w:lang w:eastAsia="zh-CN"/>
              </w:rPr>
              <w:t>1、业绩比较基准设定的原因</w:t>
            </w:r>
          </w:p>
          <w:p w14:paraId="598292EA">
            <w:pPr>
              <w:spacing w:after="60" w:line="264" w:lineRule="auto"/>
              <w:rPr>
                <w:rFonts w:hint="eastAsia" w:ascii="宋体" w:hAnsi="宋体" w:cs="宋体"/>
                <w:lang w:eastAsia="zh-CN"/>
              </w:rPr>
            </w:pPr>
            <w:r>
              <w:rPr>
                <w:rFonts w:hint="eastAsia" w:ascii="宋体" w:hAnsi="宋体" w:cs="宋体"/>
                <w:lang w:eastAsia="zh-CN"/>
              </w:rPr>
              <w:t>本基金为指数基金,主要采用完全复制法跟踪标的指数，以“紧密跟踪标的指数，追求跟踪偏离度和跟踪误差的最小化”作为投资目标，在投资中将不低于基金资产净值90%的资产投资于标的指数成份股及备选成份股。本基金的标的指数为</w:t>
            </w:r>
            <w:r>
              <w:rPr>
                <w:rFonts w:hint="eastAsia" w:ascii="宋体" w:hAnsi="宋体" w:cs="宋体"/>
                <w:strike/>
                <w:lang w:eastAsia="zh-CN"/>
              </w:rPr>
              <w:t>国证新能源电池</w:t>
            </w:r>
            <w:r>
              <w:rPr>
                <w:rFonts w:hint="eastAsia" w:ascii="宋体" w:hAnsi="宋体" w:cs="宋体"/>
                <w:lang w:eastAsia="zh-CN"/>
              </w:rPr>
              <w:t>指数，相应选取</w:t>
            </w:r>
            <w:r>
              <w:rPr>
                <w:rFonts w:hint="eastAsia" w:ascii="宋体" w:hAnsi="宋体" w:cs="宋体"/>
                <w:strike/>
                <w:lang w:eastAsia="zh-CN"/>
              </w:rPr>
              <w:t>国证新能源电池</w:t>
            </w:r>
            <w:r>
              <w:rPr>
                <w:rFonts w:hint="eastAsia" w:ascii="宋体" w:hAnsi="宋体" w:cs="宋体"/>
                <w:lang w:eastAsia="zh-CN"/>
              </w:rPr>
              <w:t>指数作为基准要素，同时将</w:t>
            </w:r>
            <w:r>
              <w:rPr>
                <w:rFonts w:hint="eastAsia" w:ascii="宋体" w:hAnsi="宋体" w:cs="宋体"/>
                <w:strike/>
                <w:lang w:eastAsia="zh-CN"/>
              </w:rPr>
              <w:t>国证新能源电池</w:t>
            </w:r>
            <w:r>
              <w:rPr>
                <w:rFonts w:hint="eastAsia" w:ascii="宋体" w:hAnsi="宋体" w:cs="宋体"/>
                <w:lang w:eastAsia="zh-CN"/>
              </w:rPr>
              <w:t>指数的基准要素权重设置为95%；选取活期存款基准利率作为流动性管理部分的业绩比较基准，同时将活期存款基准利率的基准要素权重设置为5%。</w:t>
            </w:r>
          </w:p>
          <w:p w14:paraId="61594876">
            <w:pPr>
              <w:spacing w:after="60" w:line="264" w:lineRule="auto"/>
              <w:rPr>
                <w:rFonts w:hint="eastAsia" w:ascii="宋体" w:hAnsi="宋体" w:cs="宋体"/>
                <w:strike/>
                <w:lang w:eastAsia="zh-CN"/>
              </w:rPr>
            </w:pPr>
            <w:r>
              <w:rPr>
                <w:rFonts w:hint="eastAsia" w:ascii="宋体" w:hAnsi="宋体" w:cs="宋体"/>
                <w:lang w:eastAsia="zh-CN"/>
              </w:rPr>
              <w:t>2、业绩比较基准要素的基本信息</w:t>
            </w:r>
          </w:p>
          <w:p w14:paraId="32BDF78F">
            <w:pPr>
              <w:spacing w:after="60" w:line="264" w:lineRule="auto"/>
              <w:rPr>
                <w:rFonts w:hint="eastAsia" w:ascii="宋体" w:hAnsi="宋体" w:cs="宋体"/>
                <w:lang w:eastAsia="zh-CN"/>
              </w:rPr>
            </w:pPr>
            <w:r>
              <w:rPr>
                <w:rFonts w:hint="eastAsia" w:ascii="宋体" w:hAnsi="宋体" w:cs="宋体"/>
                <w:strike/>
                <w:lang w:eastAsia="zh-CN"/>
              </w:rPr>
              <w:t>国证新能源电池</w:t>
            </w:r>
            <w:r>
              <w:rPr>
                <w:rFonts w:hint="eastAsia" w:ascii="宋体" w:hAnsi="宋体" w:cs="宋体"/>
                <w:lang w:eastAsia="zh-CN"/>
              </w:rPr>
              <w:t>指数由深圳证券信息有限公司编制发布，指数代码为980027，具体信息详见深圳证券信息有限公司网站，网址：</w:t>
            </w:r>
            <w:r>
              <w:rPr>
                <w:rFonts w:hint="eastAsia" w:ascii="宋体" w:hAnsi="宋体" w:cs="宋体"/>
                <w:lang w:eastAsia="zh-CN"/>
              </w:rPr>
              <w:fldChar w:fldCharType="begin"/>
            </w:r>
            <w:r>
              <w:rPr>
                <w:rFonts w:hint="eastAsia" w:ascii="宋体" w:hAnsi="宋体" w:cs="宋体"/>
                <w:lang w:eastAsia="zh-CN"/>
              </w:rPr>
              <w:instrText xml:space="preserve"> HYPERLINK "https://www.cnindex.com.cn。" </w:instrText>
            </w:r>
            <w:r>
              <w:rPr>
                <w:rFonts w:hint="eastAsia" w:ascii="宋体" w:hAnsi="宋体" w:cs="宋体"/>
                <w:lang w:eastAsia="zh-CN"/>
              </w:rPr>
              <w:fldChar w:fldCharType="separate"/>
            </w:r>
            <w:r>
              <w:rPr>
                <w:rStyle w:val="136"/>
                <w:rFonts w:hint="eastAsia" w:ascii="宋体" w:hAnsi="宋体" w:cs="宋体"/>
                <w:lang w:eastAsia="zh-CN"/>
              </w:rPr>
              <w:t>https://www.cnindex.com.cn。</w:t>
            </w:r>
            <w:r>
              <w:rPr>
                <w:rFonts w:hint="eastAsia" w:ascii="宋体" w:hAnsi="宋体" w:cs="宋体"/>
                <w:lang w:eastAsia="zh-CN"/>
              </w:rPr>
              <w:fldChar w:fldCharType="end"/>
            </w:r>
          </w:p>
          <w:p w14:paraId="65B14C0F">
            <w:pPr>
              <w:spacing w:after="60" w:line="264" w:lineRule="auto"/>
              <w:rPr>
                <w:rFonts w:hint="eastAsia" w:ascii="宋体" w:hAnsi="宋体" w:cs="宋体"/>
                <w:lang w:eastAsia="zh-CN"/>
              </w:rPr>
            </w:pPr>
          </w:p>
          <w:p w14:paraId="4FFE50D0">
            <w:pPr>
              <w:spacing w:after="60" w:line="264" w:lineRule="auto"/>
              <w:rPr>
                <w:rFonts w:hint="eastAsia" w:ascii="宋体" w:hAnsi="宋体" w:cs="宋体"/>
                <w:lang w:eastAsia="zh-CN"/>
              </w:rPr>
            </w:pPr>
            <w:r>
              <w:rPr>
                <w:rFonts w:hint="eastAsia" w:ascii="宋体" w:hAnsi="宋体" w:cs="宋体"/>
                <w:lang w:eastAsia="zh-CN"/>
              </w:rPr>
              <w:t>六、风险收益特征</w:t>
            </w:r>
          </w:p>
          <w:p w14:paraId="0F01CF4C">
            <w:pPr>
              <w:spacing w:after="60" w:line="264" w:lineRule="auto"/>
              <w:rPr>
                <w:rFonts w:hint="eastAsia" w:ascii="宋体" w:hAnsi="宋体" w:cs="宋体"/>
                <w:lang w:eastAsia="zh-CN"/>
              </w:rPr>
            </w:pPr>
            <w:r>
              <w:rPr>
                <w:rFonts w:hint="eastAsia" w:ascii="宋体" w:hAnsi="宋体" w:cs="宋体"/>
                <w:lang w:eastAsia="zh-CN"/>
              </w:rPr>
              <w:t>本基金属于股票型基金，其预期收益及预期风险水平高于混合型基金、债券型基金与货币市场基金。本基金为被动式投资的股票型指数基金，跟踪</w:t>
            </w:r>
            <w:r>
              <w:rPr>
                <w:rFonts w:hint="eastAsia" w:ascii="宋体" w:hAnsi="宋体" w:cs="宋体"/>
                <w:strike/>
                <w:lang w:eastAsia="zh-CN"/>
              </w:rPr>
              <w:t>国证新能源电池</w:t>
            </w:r>
            <w:r>
              <w:rPr>
                <w:rFonts w:hint="eastAsia" w:ascii="宋体" w:hAnsi="宋体" w:cs="宋体"/>
                <w:lang w:eastAsia="zh-CN"/>
              </w:rPr>
              <w:t xml:space="preserve">指数，其风险收益特征与标的指数所表征的市场组合的风险收益特征相似。 </w:t>
            </w:r>
          </w:p>
        </w:tc>
        <w:tc>
          <w:tcPr>
            <w:tcW w:w="4195" w:type="dxa"/>
            <w:tcMar>
              <w:top w:w="70" w:type="dxa"/>
              <w:left w:w="80" w:type="dxa"/>
              <w:bottom w:w="70" w:type="dxa"/>
              <w:right w:w="80" w:type="dxa"/>
            </w:tcMar>
            <w:vAlign w:val="center"/>
          </w:tcPr>
          <w:p w14:paraId="0B7463E8">
            <w:pPr>
              <w:spacing w:after="60" w:line="264" w:lineRule="auto"/>
              <w:rPr>
                <w:rFonts w:hint="eastAsia" w:ascii="宋体" w:hAnsi="宋体" w:cs="宋体"/>
                <w:lang w:eastAsia="zh-CN"/>
              </w:rPr>
            </w:pPr>
            <w:r>
              <w:rPr>
                <w:rFonts w:hint="eastAsia" w:ascii="宋体" w:hAnsi="宋体" w:cs="宋体"/>
                <w:lang w:eastAsia="zh-CN"/>
              </w:rPr>
              <w:t>五、标的指数和业绩比较基准</w:t>
            </w:r>
          </w:p>
          <w:p w14:paraId="6375E0CC">
            <w:pPr>
              <w:spacing w:after="60" w:line="264" w:lineRule="auto"/>
              <w:rPr>
                <w:rFonts w:hint="eastAsia" w:ascii="宋体" w:hAnsi="宋体" w:cs="宋体"/>
                <w:lang w:eastAsia="zh-CN"/>
              </w:rPr>
            </w:pPr>
            <w:r>
              <w:rPr>
                <w:rFonts w:hint="eastAsia" w:ascii="宋体" w:hAnsi="宋体" w:cs="宋体"/>
                <w:lang w:eastAsia="zh-CN"/>
              </w:rPr>
              <w:t>本基金的标的指数为：</w:t>
            </w:r>
            <w:r>
              <w:rPr>
                <w:rFonts w:hint="eastAsia" w:ascii="宋体" w:hAnsi="宋体" w:cs="宋体"/>
                <w:b/>
                <w:lang w:eastAsia="zh-CN"/>
              </w:rPr>
              <w:t>国证储能电池</w:t>
            </w:r>
            <w:r>
              <w:rPr>
                <w:rFonts w:hint="eastAsia" w:ascii="宋体" w:hAnsi="宋体" w:cs="宋体"/>
                <w:lang w:eastAsia="zh-CN"/>
              </w:rPr>
              <w:t>指数。</w:t>
            </w:r>
          </w:p>
          <w:p w14:paraId="72EFFF40">
            <w:pPr>
              <w:spacing w:after="60" w:line="264" w:lineRule="auto"/>
              <w:rPr>
                <w:rFonts w:hint="eastAsia" w:ascii="宋体" w:hAnsi="宋体" w:cs="宋体"/>
                <w:lang w:eastAsia="zh-CN"/>
              </w:rPr>
            </w:pPr>
            <w:r>
              <w:rPr>
                <w:rFonts w:hint="eastAsia" w:ascii="宋体" w:hAnsi="宋体" w:cs="宋体"/>
                <w:lang w:eastAsia="zh-CN"/>
              </w:rPr>
              <w:t>本基金业绩比较基准为：</w:t>
            </w:r>
            <w:r>
              <w:rPr>
                <w:rFonts w:hint="eastAsia" w:ascii="宋体" w:hAnsi="宋体" w:cs="宋体"/>
                <w:b/>
                <w:lang w:eastAsia="zh-CN"/>
              </w:rPr>
              <w:t>国证储能电池</w:t>
            </w:r>
            <w:r>
              <w:rPr>
                <w:rFonts w:hint="eastAsia" w:ascii="宋体" w:hAnsi="宋体" w:cs="宋体"/>
                <w:lang w:eastAsia="zh-CN"/>
              </w:rPr>
              <w:t>指数收益率×95%+活期存款基准利率×5%。</w:t>
            </w:r>
          </w:p>
          <w:p w14:paraId="2260F274">
            <w:pPr>
              <w:spacing w:after="60" w:line="264" w:lineRule="auto"/>
              <w:rPr>
                <w:rFonts w:hint="eastAsia" w:ascii="宋体" w:hAnsi="宋体" w:cs="宋体"/>
                <w:lang w:eastAsia="zh-CN"/>
              </w:rPr>
            </w:pPr>
            <w:r>
              <w:rPr>
                <w:rFonts w:hint="eastAsia" w:ascii="宋体" w:hAnsi="宋体" w:cs="宋体"/>
                <w:lang w:eastAsia="zh-CN"/>
              </w:rPr>
              <w:t>1、业绩比较基准设定的原因</w:t>
            </w:r>
          </w:p>
          <w:p w14:paraId="5187ECAB">
            <w:pPr>
              <w:spacing w:after="60" w:line="264" w:lineRule="auto"/>
              <w:rPr>
                <w:rFonts w:hint="eastAsia" w:ascii="宋体" w:hAnsi="宋体" w:cs="宋体"/>
                <w:lang w:eastAsia="zh-CN"/>
              </w:rPr>
            </w:pPr>
            <w:r>
              <w:rPr>
                <w:rFonts w:hint="eastAsia" w:ascii="宋体" w:hAnsi="宋体" w:cs="宋体"/>
                <w:lang w:eastAsia="zh-CN"/>
              </w:rPr>
              <w:t>本基金为指数基金,主要采用完全复制法跟踪标的指数，以“紧密跟踪标的指数，追求跟踪偏离度和跟踪误差的最小化”作为投资目标，在投资中将不低于基金资产净值90%的资产投资于标的指数成份股及备选成份股。本基金的标的指数为</w:t>
            </w:r>
            <w:r>
              <w:rPr>
                <w:rFonts w:hint="eastAsia" w:ascii="宋体" w:hAnsi="宋体" w:cs="宋体"/>
                <w:b/>
                <w:lang w:eastAsia="zh-CN"/>
              </w:rPr>
              <w:t>国证储能电池</w:t>
            </w:r>
            <w:r>
              <w:rPr>
                <w:rFonts w:hint="eastAsia" w:ascii="宋体" w:hAnsi="宋体" w:cs="宋体"/>
                <w:lang w:eastAsia="zh-CN"/>
              </w:rPr>
              <w:t>指数，相应选取</w:t>
            </w:r>
            <w:r>
              <w:rPr>
                <w:rFonts w:hint="eastAsia" w:ascii="宋体" w:hAnsi="宋体" w:cs="宋体"/>
                <w:b/>
                <w:lang w:eastAsia="zh-CN"/>
              </w:rPr>
              <w:t>国证储能电池</w:t>
            </w:r>
            <w:r>
              <w:rPr>
                <w:rFonts w:hint="eastAsia" w:ascii="宋体" w:hAnsi="宋体" w:cs="宋体"/>
                <w:lang w:eastAsia="zh-CN"/>
              </w:rPr>
              <w:t>指数作为基准要素，同时将</w:t>
            </w:r>
            <w:r>
              <w:rPr>
                <w:rFonts w:hint="eastAsia" w:ascii="宋体" w:hAnsi="宋体" w:cs="宋体"/>
                <w:b/>
                <w:lang w:eastAsia="zh-CN"/>
              </w:rPr>
              <w:t>国证储能电池</w:t>
            </w:r>
            <w:r>
              <w:rPr>
                <w:rFonts w:hint="eastAsia" w:ascii="宋体" w:hAnsi="宋体" w:cs="宋体"/>
                <w:lang w:eastAsia="zh-CN"/>
              </w:rPr>
              <w:t>指数的基准要素权重设置为95%；选取活期存款基准利率作为流动性管理部分的业绩比较基准，同时将活期存款基准利率的基准要素权重设置为5%。</w:t>
            </w:r>
          </w:p>
          <w:p w14:paraId="0D24E264">
            <w:pPr>
              <w:spacing w:after="60" w:line="264" w:lineRule="auto"/>
              <w:rPr>
                <w:rFonts w:hint="eastAsia" w:ascii="宋体" w:hAnsi="宋体" w:cs="宋体"/>
                <w:lang w:eastAsia="zh-CN"/>
              </w:rPr>
            </w:pPr>
            <w:r>
              <w:rPr>
                <w:rFonts w:hint="eastAsia" w:ascii="宋体" w:hAnsi="宋体" w:cs="宋体"/>
                <w:lang w:eastAsia="zh-CN"/>
              </w:rPr>
              <w:t>2、业绩比较基准要素的基本信息</w:t>
            </w:r>
          </w:p>
          <w:p w14:paraId="2EAADF47">
            <w:pPr>
              <w:spacing w:after="60" w:line="264" w:lineRule="auto"/>
              <w:rPr>
                <w:rFonts w:hint="eastAsia" w:ascii="宋体" w:hAnsi="宋体" w:cs="宋体"/>
                <w:lang w:eastAsia="zh-CN"/>
              </w:rPr>
            </w:pPr>
            <w:r>
              <w:rPr>
                <w:rFonts w:hint="eastAsia" w:ascii="宋体" w:hAnsi="宋体" w:cs="宋体"/>
                <w:b/>
                <w:lang w:eastAsia="zh-CN"/>
              </w:rPr>
              <w:t>国证储能电池</w:t>
            </w:r>
            <w:r>
              <w:rPr>
                <w:rFonts w:hint="eastAsia" w:ascii="宋体" w:hAnsi="宋体" w:cs="宋体"/>
                <w:lang w:eastAsia="zh-CN"/>
              </w:rPr>
              <w:t>指数由深圳证券信息有限公司编制发布，指数代码为980027，具体信息详见深圳证券信息有限公司网站，网址：</w:t>
            </w:r>
            <w:r>
              <w:rPr>
                <w:rFonts w:hint="eastAsia" w:ascii="宋体" w:hAnsi="宋体" w:cs="宋体"/>
                <w:lang w:eastAsia="zh-CN"/>
              </w:rPr>
              <w:fldChar w:fldCharType="begin"/>
            </w:r>
            <w:r>
              <w:rPr>
                <w:rFonts w:hint="eastAsia" w:ascii="宋体" w:hAnsi="宋体" w:cs="宋体"/>
                <w:lang w:eastAsia="zh-CN"/>
              </w:rPr>
              <w:instrText xml:space="preserve"> HYPERLINK "https://www.cnindex.com.cn。" </w:instrText>
            </w:r>
            <w:r>
              <w:rPr>
                <w:rFonts w:hint="eastAsia" w:ascii="宋体" w:hAnsi="宋体" w:cs="宋体"/>
                <w:lang w:eastAsia="zh-CN"/>
              </w:rPr>
              <w:fldChar w:fldCharType="separate"/>
            </w:r>
            <w:r>
              <w:rPr>
                <w:rStyle w:val="136"/>
                <w:rFonts w:hint="eastAsia" w:ascii="宋体" w:hAnsi="宋体" w:cs="宋体"/>
                <w:lang w:eastAsia="zh-CN"/>
              </w:rPr>
              <w:t>https://www.cnindex.com.cn。</w:t>
            </w:r>
            <w:r>
              <w:rPr>
                <w:rFonts w:hint="eastAsia" w:ascii="宋体" w:hAnsi="宋体" w:cs="宋体"/>
                <w:lang w:eastAsia="zh-CN"/>
              </w:rPr>
              <w:fldChar w:fldCharType="end"/>
            </w:r>
          </w:p>
          <w:p w14:paraId="18702277">
            <w:pPr>
              <w:spacing w:after="60" w:line="264" w:lineRule="auto"/>
              <w:rPr>
                <w:rFonts w:hint="eastAsia" w:ascii="宋体" w:hAnsi="宋体" w:cs="宋体"/>
                <w:lang w:eastAsia="zh-CN"/>
              </w:rPr>
            </w:pPr>
          </w:p>
          <w:p w14:paraId="261A9981">
            <w:pPr>
              <w:spacing w:after="60" w:line="264" w:lineRule="auto"/>
              <w:rPr>
                <w:rFonts w:hint="eastAsia" w:ascii="宋体" w:hAnsi="宋体" w:cs="宋体"/>
                <w:lang w:eastAsia="zh-CN"/>
              </w:rPr>
            </w:pPr>
            <w:r>
              <w:rPr>
                <w:rFonts w:hint="eastAsia" w:ascii="宋体" w:hAnsi="宋体" w:cs="宋体"/>
                <w:lang w:eastAsia="zh-CN"/>
              </w:rPr>
              <w:t>六、风险收益特征</w:t>
            </w:r>
          </w:p>
          <w:p w14:paraId="3FD1C718">
            <w:pPr>
              <w:spacing w:after="60" w:line="264" w:lineRule="auto"/>
              <w:rPr>
                <w:rFonts w:hint="eastAsia" w:ascii="宋体" w:hAnsi="宋体" w:cs="宋体"/>
                <w:lang w:eastAsia="zh-CN"/>
              </w:rPr>
            </w:pPr>
            <w:r>
              <w:rPr>
                <w:rFonts w:hint="eastAsia" w:ascii="宋体" w:hAnsi="宋体" w:cs="宋体"/>
                <w:lang w:eastAsia="zh-CN"/>
              </w:rPr>
              <w:t>本基金属于股票型基金，其预期收益及预期风险水平高于混合型基金、债券型基金与货币市场基金。本基金为被动式投资的股票型指数基金，跟踪</w:t>
            </w:r>
            <w:r>
              <w:rPr>
                <w:rFonts w:hint="eastAsia" w:ascii="宋体" w:hAnsi="宋体" w:cs="宋体"/>
                <w:b/>
                <w:lang w:eastAsia="zh-CN"/>
              </w:rPr>
              <w:t>国证储能电池</w:t>
            </w:r>
            <w:r>
              <w:rPr>
                <w:rFonts w:hint="eastAsia" w:ascii="宋体" w:hAnsi="宋体" w:cs="宋体"/>
                <w:lang w:eastAsia="zh-CN"/>
              </w:rPr>
              <w:t xml:space="preserve">指数，其风险收益特征与标的指数所表征的市场组合的风险收益特征相似。 </w:t>
            </w:r>
          </w:p>
        </w:tc>
      </w:tr>
    </w:tbl>
    <w:p w14:paraId="662CE83A">
      <w:pPr>
        <w:rPr>
          <w:rFonts w:hint="eastAsia"/>
          <w:lang w:eastAsia="zh-CN"/>
        </w:rPr>
      </w:pPr>
      <w:r>
        <w:rPr>
          <w:lang w:eastAsia="zh-CN"/>
        </w:rPr>
        <w:br w:type="textWrapping"/>
      </w:r>
    </w:p>
    <w:p w14:paraId="648AA54B">
      <w:pPr>
        <w:spacing w:before="80" w:after="80"/>
        <w:rPr>
          <w:rFonts w:hint="eastAsia"/>
        </w:rPr>
      </w:pPr>
      <w:r>
        <w:rPr>
          <w:b/>
          <w:sz w:val="22"/>
        </w:rPr>
        <w:t>2、托管协议</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4195"/>
        <w:gridCol w:w="4195"/>
      </w:tblGrid>
      <w:tr w14:paraId="17C68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275" w:type="dxa"/>
            <w:shd w:val="clear" w:color="auto" w:fill="E7E6E6"/>
            <w:tcMar>
              <w:top w:w="70" w:type="dxa"/>
              <w:left w:w="80" w:type="dxa"/>
              <w:bottom w:w="70" w:type="dxa"/>
              <w:right w:w="80" w:type="dxa"/>
            </w:tcMar>
            <w:vAlign w:val="center"/>
          </w:tcPr>
          <w:p w14:paraId="40563552">
            <w:pPr>
              <w:spacing w:after="0" w:line="240" w:lineRule="auto"/>
              <w:jc w:val="center"/>
              <w:rPr>
                <w:rFonts w:hint="eastAsia"/>
              </w:rPr>
            </w:pPr>
            <w:r>
              <w:rPr>
                <w:b/>
                <w:sz w:val="20"/>
              </w:rPr>
              <w:t>章节</w:t>
            </w:r>
          </w:p>
        </w:tc>
        <w:tc>
          <w:tcPr>
            <w:tcW w:w="4195" w:type="dxa"/>
            <w:shd w:val="clear" w:color="auto" w:fill="E7E6E6"/>
            <w:tcMar>
              <w:top w:w="70" w:type="dxa"/>
              <w:left w:w="80" w:type="dxa"/>
              <w:bottom w:w="70" w:type="dxa"/>
              <w:right w:w="80" w:type="dxa"/>
            </w:tcMar>
            <w:vAlign w:val="center"/>
          </w:tcPr>
          <w:p w14:paraId="2649B948">
            <w:pPr>
              <w:spacing w:after="0" w:line="240" w:lineRule="auto"/>
              <w:jc w:val="center"/>
              <w:rPr>
                <w:rFonts w:hint="eastAsia"/>
              </w:rPr>
            </w:pPr>
            <w:r>
              <w:rPr>
                <w:b/>
                <w:sz w:val="20"/>
              </w:rPr>
              <w:t>修订前</w:t>
            </w:r>
          </w:p>
        </w:tc>
        <w:tc>
          <w:tcPr>
            <w:tcW w:w="4195" w:type="dxa"/>
            <w:shd w:val="clear" w:color="auto" w:fill="E7E6E6"/>
            <w:tcMar>
              <w:top w:w="70" w:type="dxa"/>
              <w:left w:w="80" w:type="dxa"/>
              <w:bottom w:w="70" w:type="dxa"/>
              <w:right w:w="80" w:type="dxa"/>
            </w:tcMar>
            <w:vAlign w:val="center"/>
          </w:tcPr>
          <w:p w14:paraId="7D029396">
            <w:pPr>
              <w:spacing w:after="0" w:line="240" w:lineRule="auto"/>
              <w:jc w:val="center"/>
              <w:rPr>
                <w:rFonts w:hint="eastAsia"/>
              </w:rPr>
            </w:pPr>
            <w:r>
              <w:rPr>
                <w:b/>
                <w:sz w:val="20"/>
              </w:rPr>
              <w:t>修订后</w:t>
            </w:r>
          </w:p>
        </w:tc>
      </w:tr>
      <w:tr w14:paraId="105F2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1C4CBAEB">
            <w:pPr>
              <w:spacing w:after="0" w:line="240" w:lineRule="auto"/>
              <w:jc w:val="center"/>
              <w:rPr>
                <w:rFonts w:hint="eastAsia"/>
              </w:rPr>
            </w:pPr>
            <w:r>
              <w:rPr>
                <w:b/>
                <w:lang w:eastAsia="zh-CN"/>
              </w:rPr>
              <w:t>前言</w:t>
            </w:r>
          </w:p>
        </w:tc>
        <w:tc>
          <w:tcPr>
            <w:tcW w:w="4195" w:type="dxa"/>
            <w:tcMar>
              <w:top w:w="70" w:type="dxa"/>
              <w:left w:w="80" w:type="dxa"/>
              <w:bottom w:w="70" w:type="dxa"/>
              <w:right w:w="80" w:type="dxa"/>
            </w:tcMar>
            <w:vAlign w:val="center"/>
          </w:tcPr>
          <w:p w14:paraId="31EB332A">
            <w:pPr>
              <w:spacing w:after="60" w:line="264" w:lineRule="auto"/>
              <w:rPr>
                <w:rFonts w:hint="eastAsia" w:ascii="宋体" w:hAnsi="宋体" w:cs="宋体"/>
                <w:lang w:eastAsia="zh-CN"/>
              </w:rPr>
            </w:pPr>
            <w:r>
              <w:rPr>
                <w:rFonts w:hint="eastAsia" w:ascii="宋体" w:hAnsi="宋体" w:cs="宋体"/>
                <w:strike/>
                <w:lang w:eastAsia="zh-CN"/>
              </w:rPr>
              <w:t>本基金（以下简称“本基金”或“基金”）</w:t>
            </w:r>
            <w:r>
              <w:rPr>
                <w:rFonts w:hint="eastAsia" w:ascii="宋体" w:hAnsi="宋体" w:cs="宋体"/>
                <w:lang w:eastAsia="zh-CN"/>
              </w:rPr>
              <w:t>鉴于博时基金管理有限公司系一家依照中国法律合法成立并有效存续的有限责任公司，拟募集博时国证新能源电池指数型证券投资基金（以下简称“本基金”或“基金”）；</w:t>
            </w:r>
          </w:p>
          <w:p w14:paraId="7690FCFB">
            <w:pPr>
              <w:spacing w:after="60" w:line="264" w:lineRule="auto"/>
              <w:rPr>
                <w:rFonts w:hint="eastAsia" w:ascii="宋体" w:hAnsi="宋体" w:cs="宋体"/>
                <w:lang w:eastAsia="zh-CN"/>
              </w:rPr>
            </w:pPr>
            <w:r>
              <w:rPr>
                <w:rFonts w:hint="eastAsia" w:ascii="宋体" w:hAnsi="宋体" w:cs="宋体"/>
                <w:lang w:eastAsia="zh-CN"/>
              </w:rPr>
              <w:t>鉴于博时基金管理有限公司拟担任博时</w:t>
            </w:r>
            <w:r>
              <w:rPr>
                <w:rFonts w:hint="eastAsia" w:ascii="宋体" w:hAnsi="宋体" w:cs="宋体"/>
                <w:strike/>
                <w:lang w:eastAsia="zh-CN"/>
              </w:rPr>
              <w:t>国证新能源电池</w:t>
            </w:r>
            <w:r>
              <w:rPr>
                <w:rFonts w:hint="eastAsia" w:ascii="宋体" w:hAnsi="宋体" w:cs="宋体"/>
                <w:lang w:eastAsia="zh-CN"/>
              </w:rPr>
              <w:t>指数型证券投资基金的基金管理人，交通银行股份有限公司拟担任博时</w:t>
            </w:r>
            <w:r>
              <w:rPr>
                <w:rFonts w:hint="eastAsia" w:ascii="宋体" w:hAnsi="宋体" w:cs="宋体"/>
                <w:strike/>
                <w:lang w:eastAsia="zh-CN"/>
              </w:rPr>
              <w:t>国证新能源电池</w:t>
            </w:r>
            <w:r>
              <w:rPr>
                <w:rFonts w:hint="eastAsia" w:ascii="宋体" w:hAnsi="宋体" w:cs="宋体"/>
                <w:lang w:eastAsia="zh-CN"/>
              </w:rPr>
              <w:t>指数型证券投资基金的基金托管人；</w:t>
            </w:r>
          </w:p>
          <w:p w14:paraId="00829783">
            <w:pPr>
              <w:spacing w:after="60" w:line="264" w:lineRule="auto"/>
              <w:rPr>
                <w:rFonts w:hint="eastAsia" w:ascii="宋体" w:hAnsi="宋体" w:cs="宋体"/>
                <w:lang w:eastAsia="zh-CN"/>
              </w:rPr>
            </w:pPr>
            <w:r>
              <w:rPr>
                <w:rFonts w:hint="eastAsia" w:ascii="宋体" w:hAnsi="宋体" w:cs="宋体"/>
                <w:lang w:eastAsia="zh-CN"/>
              </w:rPr>
              <w:t>为明确博时</w:t>
            </w:r>
            <w:r>
              <w:rPr>
                <w:rFonts w:hint="eastAsia" w:ascii="宋体" w:hAnsi="宋体" w:cs="宋体"/>
                <w:strike/>
                <w:lang w:eastAsia="zh-CN"/>
              </w:rPr>
              <w:t>国证新能源电池</w:t>
            </w:r>
            <w:r>
              <w:rPr>
                <w:rFonts w:hint="eastAsia" w:ascii="宋体" w:hAnsi="宋体" w:cs="宋体"/>
                <w:lang w:eastAsia="zh-CN"/>
              </w:rPr>
              <w:t>指数型证券投资基金的基金管理人和基金托管人之间的权利义务关系，特制订本协议；</w:t>
            </w:r>
          </w:p>
          <w:p w14:paraId="0A7DA48E">
            <w:pPr>
              <w:spacing w:after="60" w:line="264" w:lineRule="auto"/>
              <w:rPr>
                <w:rFonts w:hint="eastAsia" w:ascii="宋体" w:hAnsi="宋体" w:cs="宋体"/>
                <w:lang w:eastAsia="zh-CN"/>
              </w:rPr>
            </w:pPr>
            <w:r>
              <w:rPr>
                <w:rFonts w:hint="eastAsia" w:ascii="宋体" w:hAnsi="宋体" w:cs="宋体"/>
                <w:lang w:eastAsia="zh-CN"/>
              </w:rPr>
              <w:t>除非文义另有所指，本协议的所有术语与《博时</w:t>
            </w:r>
            <w:r>
              <w:rPr>
                <w:rFonts w:hint="eastAsia" w:ascii="宋体" w:hAnsi="宋体" w:cs="宋体"/>
                <w:strike/>
                <w:lang w:eastAsia="zh-CN"/>
              </w:rPr>
              <w:t>国证新能源电池</w:t>
            </w:r>
            <w:r>
              <w:rPr>
                <w:rFonts w:hint="eastAsia" w:ascii="宋体" w:hAnsi="宋体" w:cs="宋体"/>
                <w:lang w:eastAsia="zh-CN"/>
              </w:rPr>
              <w:t>指数型证券投资基金基金合同》（以下简称“《基金合同》”或“基金合同”）中定义的相应术语具有相同的含义。若有抵触应以《基金合同》为准，并依其条款解释。</w:t>
            </w:r>
          </w:p>
        </w:tc>
        <w:tc>
          <w:tcPr>
            <w:tcW w:w="4195" w:type="dxa"/>
            <w:tcMar>
              <w:top w:w="70" w:type="dxa"/>
              <w:left w:w="80" w:type="dxa"/>
              <w:bottom w:w="70" w:type="dxa"/>
              <w:right w:w="80" w:type="dxa"/>
            </w:tcMar>
            <w:vAlign w:val="center"/>
          </w:tcPr>
          <w:p w14:paraId="52F9160D">
            <w:pPr>
              <w:spacing w:after="60" w:line="264" w:lineRule="auto"/>
              <w:rPr>
                <w:rFonts w:hint="eastAsia" w:ascii="宋体" w:hAnsi="宋体" w:cs="宋体"/>
                <w:lang w:eastAsia="zh-CN"/>
              </w:rPr>
            </w:pPr>
            <w:r>
              <w:rPr>
                <w:rFonts w:hint="eastAsia" w:ascii="宋体" w:hAnsi="宋体" w:cs="宋体"/>
                <w:b/>
                <w:lang w:eastAsia="zh-CN"/>
              </w:rPr>
              <w:t>博时国证储能电池指数型证券投资基金（以下简称“本基金”或“基金”）由博时国证新能源电池指数型证券投资基金更名而来。</w:t>
            </w:r>
            <w:r>
              <w:rPr>
                <w:rFonts w:hint="eastAsia" w:ascii="宋体" w:hAnsi="宋体" w:cs="宋体"/>
                <w:lang w:eastAsia="zh-CN"/>
              </w:rPr>
              <w:t>鉴于博时基金管理有限公司系一家依照中国法律合法成立并有效存续的有限责任公司，拟募集博时国证新能源电池指数型证券投资基金；</w:t>
            </w:r>
          </w:p>
          <w:p w14:paraId="229A6692">
            <w:pPr>
              <w:spacing w:after="60" w:line="264" w:lineRule="auto"/>
              <w:rPr>
                <w:rFonts w:hint="eastAsia" w:ascii="宋体" w:hAnsi="宋体" w:cs="宋体"/>
                <w:lang w:eastAsia="zh-CN"/>
              </w:rPr>
            </w:pPr>
            <w:r>
              <w:rPr>
                <w:rFonts w:hint="eastAsia" w:ascii="宋体" w:hAnsi="宋体" w:cs="宋体"/>
                <w:lang w:eastAsia="zh-CN"/>
              </w:rPr>
              <w:t>鉴于博时基金管理有限公司拟担任博时</w:t>
            </w:r>
            <w:r>
              <w:rPr>
                <w:rFonts w:hint="eastAsia" w:ascii="宋体" w:hAnsi="宋体" w:cs="宋体"/>
                <w:b/>
                <w:lang w:eastAsia="zh-CN"/>
              </w:rPr>
              <w:t>国证储能电池</w:t>
            </w:r>
            <w:r>
              <w:rPr>
                <w:rFonts w:hint="eastAsia" w:ascii="宋体" w:hAnsi="宋体" w:cs="宋体"/>
                <w:lang w:eastAsia="zh-CN"/>
              </w:rPr>
              <w:t>指数型证券投资基金的基金管理人，交通银行股份有限公司拟担任博时</w:t>
            </w:r>
            <w:r>
              <w:rPr>
                <w:rFonts w:hint="eastAsia" w:ascii="宋体" w:hAnsi="宋体" w:cs="宋体"/>
                <w:b/>
                <w:lang w:eastAsia="zh-CN"/>
              </w:rPr>
              <w:t>国证储能电池</w:t>
            </w:r>
            <w:r>
              <w:rPr>
                <w:rFonts w:hint="eastAsia" w:ascii="宋体" w:hAnsi="宋体" w:cs="宋体"/>
                <w:lang w:eastAsia="zh-CN"/>
              </w:rPr>
              <w:t>指数型证券投资基金的基金托管人；</w:t>
            </w:r>
          </w:p>
          <w:p w14:paraId="72EA9099">
            <w:pPr>
              <w:spacing w:after="60" w:line="264" w:lineRule="auto"/>
              <w:rPr>
                <w:rFonts w:hint="eastAsia" w:ascii="宋体" w:hAnsi="宋体" w:cs="宋体"/>
                <w:lang w:eastAsia="zh-CN"/>
              </w:rPr>
            </w:pPr>
            <w:r>
              <w:rPr>
                <w:rFonts w:hint="eastAsia" w:ascii="宋体" w:hAnsi="宋体" w:cs="宋体"/>
                <w:lang w:eastAsia="zh-CN"/>
              </w:rPr>
              <w:t>为明确博时</w:t>
            </w:r>
            <w:r>
              <w:rPr>
                <w:rFonts w:hint="eastAsia" w:ascii="宋体" w:hAnsi="宋体" w:cs="宋体"/>
                <w:b/>
                <w:lang w:eastAsia="zh-CN"/>
              </w:rPr>
              <w:t>国证储能电池</w:t>
            </w:r>
            <w:r>
              <w:rPr>
                <w:rFonts w:hint="eastAsia" w:ascii="宋体" w:hAnsi="宋体" w:cs="宋体"/>
                <w:lang w:eastAsia="zh-CN"/>
              </w:rPr>
              <w:t>指数型证券投资基金的基金管理人和基金托管人之间的权利义务关系，特制订本协议；</w:t>
            </w:r>
          </w:p>
          <w:p w14:paraId="7C2640B7">
            <w:pPr>
              <w:spacing w:after="60" w:line="264" w:lineRule="auto"/>
              <w:rPr>
                <w:rFonts w:hint="eastAsia" w:ascii="宋体" w:hAnsi="宋体" w:cs="宋体"/>
                <w:lang w:eastAsia="zh-CN"/>
              </w:rPr>
            </w:pPr>
            <w:r>
              <w:rPr>
                <w:rFonts w:hint="eastAsia" w:ascii="宋体" w:hAnsi="宋体" w:cs="宋体"/>
                <w:lang w:eastAsia="zh-CN"/>
              </w:rPr>
              <w:t>除非文义另有所指，本协议的所有术语与《博时</w:t>
            </w:r>
            <w:r>
              <w:rPr>
                <w:rFonts w:hint="eastAsia" w:ascii="宋体" w:hAnsi="宋体" w:cs="宋体"/>
                <w:b/>
                <w:lang w:eastAsia="zh-CN"/>
              </w:rPr>
              <w:t>国证储能电池</w:t>
            </w:r>
            <w:r>
              <w:rPr>
                <w:rFonts w:hint="eastAsia" w:ascii="宋体" w:hAnsi="宋体" w:cs="宋体"/>
                <w:lang w:eastAsia="zh-CN"/>
              </w:rPr>
              <w:t>指数型证券投资基金基金合同》（以下简称“《基金合同》”或“基金合同”）中定义的相应术语具有相同的含义。若有抵触应以《基金合同》为准，并依其条款解释。</w:t>
            </w:r>
          </w:p>
        </w:tc>
      </w:tr>
      <w:tr w14:paraId="68299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759DA2F2">
            <w:pPr>
              <w:spacing w:after="0" w:line="240" w:lineRule="auto"/>
              <w:jc w:val="center"/>
              <w:rPr>
                <w:b/>
                <w:lang w:eastAsia="zh-CN"/>
              </w:rPr>
            </w:pPr>
            <w:r>
              <w:rPr>
                <w:rFonts w:hint="eastAsia"/>
                <w:b/>
                <w:lang w:eastAsia="zh-CN"/>
              </w:rPr>
              <w:t>一、基金托管协议当事人</w:t>
            </w:r>
          </w:p>
        </w:tc>
        <w:tc>
          <w:tcPr>
            <w:tcW w:w="4195" w:type="dxa"/>
            <w:tcMar>
              <w:top w:w="70" w:type="dxa"/>
              <w:left w:w="80" w:type="dxa"/>
              <w:bottom w:w="70" w:type="dxa"/>
              <w:right w:w="80" w:type="dxa"/>
            </w:tcMar>
            <w:vAlign w:val="center"/>
          </w:tcPr>
          <w:p w14:paraId="57AF55FB">
            <w:pPr>
              <w:spacing w:after="60" w:line="264" w:lineRule="auto"/>
              <w:rPr>
                <w:rFonts w:hint="eastAsia" w:ascii="宋体" w:hAnsi="宋体" w:cs="宋体"/>
                <w:lang w:eastAsia="zh-CN"/>
              </w:rPr>
            </w:pPr>
            <w:r>
              <w:rPr>
                <w:rFonts w:hint="eastAsia" w:ascii="宋体" w:hAnsi="宋体" w:cs="宋体"/>
                <w:lang w:eastAsia="zh-CN"/>
              </w:rPr>
              <w:t>（二）基金托管人</w:t>
            </w:r>
          </w:p>
          <w:p w14:paraId="799E624B">
            <w:pPr>
              <w:spacing w:after="60" w:line="264" w:lineRule="auto"/>
              <w:rPr>
                <w:rFonts w:hint="eastAsia" w:ascii="宋体" w:hAnsi="宋体" w:cs="宋体"/>
                <w:lang w:eastAsia="zh-CN"/>
              </w:rPr>
            </w:pPr>
            <w:r>
              <w:rPr>
                <w:rFonts w:hint="eastAsia" w:ascii="宋体" w:hAnsi="宋体" w:cs="宋体"/>
                <w:lang w:eastAsia="zh-CN"/>
              </w:rPr>
              <w:t>名称：交通银行股份有限公司（简称：交通银行）</w:t>
            </w:r>
          </w:p>
          <w:p w14:paraId="50F2DC6F">
            <w:pPr>
              <w:spacing w:after="60" w:line="264" w:lineRule="auto"/>
              <w:rPr>
                <w:rFonts w:hint="eastAsia" w:ascii="宋体" w:hAnsi="宋体" w:cs="宋体"/>
                <w:lang w:eastAsia="zh-CN"/>
              </w:rPr>
            </w:pPr>
            <w:r>
              <w:rPr>
                <w:rFonts w:hint="eastAsia" w:ascii="宋体" w:hAnsi="宋体" w:cs="宋体"/>
                <w:lang w:eastAsia="zh-CN"/>
              </w:rPr>
              <w:t>住所：中国（上海）自由贸易试验区银城中路188号（邮政编码：200120）</w:t>
            </w:r>
          </w:p>
          <w:p w14:paraId="3F300F39">
            <w:pPr>
              <w:spacing w:after="60" w:line="264" w:lineRule="auto"/>
              <w:rPr>
                <w:rFonts w:hint="eastAsia" w:ascii="宋体" w:hAnsi="宋体" w:cs="宋体"/>
                <w:lang w:eastAsia="zh-CN"/>
              </w:rPr>
            </w:pPr>
            <w:r>
              <w:rPr>
                <w:rFonts w:hint="eastAsia" w:ascii="宋体" w:hAnsi="宋体" w:cs="宋体"/>
                <w:lang w:eastAsia="zh-CN"/>
              </w:rPr>
              <w:t>办公地址：上海市长宁区仙霞路18号（邮政编码：200336）</w:t>
            </w:r>
          </w:p>
          <w:p w14:paraId="6AFDC849">
            <w:pPr>
              <w:spacing w:after="60" w:line="264" w:lineRule="auto"/>
              <w:rPr>
                <w:rFonts w:hint="eastAsia" w:ascii="宋体" w:hAnsi="宋体" w:cs="宋体"/>
                <w:lang w:eastAsia="zh-CN"/>
              </w:rPr>
            </w:pPr>
            <w:r>
              <w:rPr>
                <w:rFonts w:hint="eastAsia" w:ascii="宋体" w:hAnsi="宋体" w:cs="宋体"/>
                <w:lang w:eastAsia="zh-CN"/>
              </w:rPr>
              <w:t>法定代表人：任德奇</w:t>
            </w:r>
          </w:p>
          <w:p w14:paraId="0AE285D1">
            <w:pPr>
              <w:spacing w:after="60" w:line="264" w:lineRule="auto"/>
              <w:rPr>
                <w:rFonts w:hint="eastAsia" w:ascii="宋体" w:hAnsi="宋体" w:cs="宋体"/>
                <w:lang w:eastAsia="zh-CN"/>
              </w:rPr>
            </w:pPr>
            <w:r>
              <w:rPr>
                <w:rFonts w:hint="eastAsia" w:ascii="宋体" w:hAnsi="宋体" w:cs="宋体"/>
                <w:lang w:eastAsia="zh-CN"/>
              </w:rPr>
              <w:t>成立时间：1987年3月30日</w:t>
            </w:r>
          </w:p>
          <w:p w14:paraId="1A5DD116">
            <w:pPr>
              <w:spacing w:after="60" w:line="264" w:lineRule="auto"/>
              <w:rPr>
                <w:rFonts w:hint="eastAsia" w:ascii="宋体" w:hAnsi="宋体" w:cs="宋体"/>
                <w:lang w:eastAsia="zh-CN"/>
              </w:rPr>
            </w:pPr>
            <w:r>
              <w:rPr>
                <w:rFonts w:hint="eastAsia" w:ascii="宋体" w:hAnsi="宋体" w:cs="宋体"/>
                <w:lang w:eastAsia="zh-CN"/>
              </w:rPr>
              <w:t>批准设立机关及批准设立文号：国务院国发(1986)字第81 号文和中国人民银行银发［1987］40号文</w:t>
            </w:r>
          </w:p>
          <w:p w14:paraId="15394434">
            <w:pPr>
              <w:spacing w:after="60" w:line="264" w:lineRule="auto"/>
              <w:rPr>
                <w:rFonts w:hint="eastAsia" w:ascii="宋体" w:hAnsi="宋体" w:cs="宋体"/>
                <w:lang w:eastAsia="zh-CN"/>
              </w:rPr>
            </w:pPr>
            <w:r>
              <w:rPr>
                <w:rFonts w:hint="eastAsia" w:ascii="宋体" w:hAnsi="宋体" w:cs="宋体"/>
                <w:lang w:eastAsia="zh-CN"/>
              </w:rPr>
              <w:t>基金托管业务批准文号：中国证监会证监基字［1998］25号</w:t>
            </w:r>
          </w:p>
          <w:p w14:paraId="6905EDB7">
            <w:pPr>
              <w:spacing w:after="60" w:line="264" w:lineRule="auto"/>
              <w:rPr>
                <w:rFonts w:hint="eastAsia" w:ascii="宋体" w:hAnsi="宋体" w:cs="宋体"/>
                <w:lang w:eastAsia="zh-CN"/>
              </w:rPr>
            </w:pPr>
            <w:r>
              <w:rPr>
                <w:rFonts w:hint="eastAsia" w:ascii="宋体" w:hAnsi="宋体" w:cs="宋体"/>
                <w:lang w:eastAsia="zh-CN"/>
              </w:rPr>
              <w:t>注册资本：</w:t>
            </w:r>
            <w:r>
              <w:rPr>
                <w:rFonts w:hint="eastAsia" w:ascii="宋体" w:hAnsi="宋体" w:cs="宋体"/>
                <w:strike/>
                <w:lang w:eastAsia="zh-CN"/>
              </w:rPr>
              <w:t>742.63</w:t>
            </w:r>
            <w:r>
              <w:rPr>
                <w:rFonts w:hint="eastAsia" w:ascii="宋体" w:hAnsi="宋体" w:cs="宋体"/>
                <w:lang w:eastAsia="zh-CN"/>
              </w:rPr>
              <w:t>亿元人民币</w:t>
            </w:r>
          </w:p>
        </w:tc>
        <w:tc>
          <w:tcPr>
            <w:tcW w:w="4195" w:type="dxa"/>
            <w:tcMar>
              <w:top w:w="70" w:type="dxa"/>
              <w:left w:w="80" w:type="dxa"/>
              <w:bottom w:w="70" w:type="dxa"/>
              <w:right w:w="80" w:type="dxa"/>
            </w:tcMar>
            <w:vAlign w:val="center"/>
          </w:tcPr>
          <w:p w14:paraId="76941F53">
            <w:pPr>
              <w:spacing w:after="60" w:line="264" w:lineRule="auto"/>
              <w:rPr>
                <w:rFonts w:hint="eastAsia" w:ascii="宋体" w:hAnsi="宋体" w:cs="宋体"/>
                <w:lang w:eastAsia="zh-CN"/>
              </w:rPr>
            </w:pPr>
            <w:r>
              <w:rPr>
                <w:rFonts w:hint="eastAsia" w:ascii="宋体" w:hAnsi="宋体" w:cs="宋体"/>
                <w:lang w:eastAsia="zh-CN"/>
              </w:rPr>
              <w:t>（二）基金托管人</w:t>
            </w:r>
          </w:p>
          <w:p w14:paraId="3D4CE7CF">
            <w:pPr>
              <w:spacing w:after="60" w:line="264" w:lineRule="auto"/>
              <w:rPr>
                <w:rFonts w:hint="eastAsia" w:ascii="宋体" w:hAnsi="宋体" w:cs="宋体"/>
                <w:lang w:eastAsia="zh-CN"/>
              </w:rPr>
            </w:pPr>
            <w:r>
              <w:rPr>
                <w:rFonts w:hint="eastAsia" w:ascii="宋体" w:hAnsi="宋体" w:cs="宋体"/>
                <w:lang w:eastAsia="zh-CN"/>
              </w:rPr>
              <w:t>名称：交通银行股份有限公司（简称：交通银行）</w:t>
            </w:r>
          </w:p>
          <w:p w14:paraId="626DA7C8">
            <w:pPr>
              <w:spacing w:after="60" w:line="264" w:lineRule="auto"/>
              <w:rPr>
                <w:rFonts w:hint="eastAsia" w:ascii="宋体" w:hAnsi="宋体" w:cs="宋体"/>
                <w:lang w:eastAsia="zh-CN"/>
              </w:rPr>
            </w:pPr>
            <w:r>
              <w:rPr>
                <w:rFonts w:hint="eastAsia" w:ascii="宋体" w:hAnsi="宋体" w:cs="宋体"/>
                <w:lang w:eastAsia="zh-CN"/>
              </w:rPr>
              <w:t>住所：中国（上海）自由贸易试验区银城中路188号（邮政编码：200120）</w:t>
            </w:r>
          </w:p>
          <w:p w14:paraId="3651376B">
            <w:pPr>
              <w:spacing w:after="60" w:line="264" w:lineRule="auto"/>
              <w:rPr>
                <w:rFonts w:hint="eastAsia" w:ascii="宋体" w:hAnsi="宋体" w:cs="宋体"/>
                <w:lang w:eastAsia="zh-CN"/>
              </w:rPr>
            </w:pPr>
            <w:r>
              <w:rPr>
                <w:rFonts w:hint="eastAsia" w:ascii="宋体" w:hAnsi="宋体" w:cs="宋体"/>
                <w:lang w:eastAsia="zh-CN"/>
              </w:rPr>
              <w:t>办公地址：上海市长宁区仙霞路18号（邮政编码：200336）</w:t>
            </w:r>
          </w:p>
          <w:p w14:paraId="04897CFC">
            <w:pPr>
              <w:spacing w:after="60" w:line="264" w:lineRule="auto"/>
              <w:rPr>
                <w:rFonts w:hint="eastAsia" w:ascii="宋体" w:hAnsi="宋体" w:cs="宋体"/>
                <w:lang w:eastAsia="zh-CN"/>
              </w:rPr>
            </w:pPr>
            <w:r>
              <w:rPr>
                <w:rFonts w:hint="eastAsia" w:ascii="宋体" w:hAnsi="宋体" w:cs="宋体"/>
                <w:lang w:eastAsia="zh-CN"/>
              </w:rPr>
              <w:t>法定代表人：任德奇</w:t>
            </w:r>
          </w:p>
          <w:p w14:paraId="0370CCBA">
            <w:pPr>
              <w:spacing w:after="60" w:line="264" w:lineRule="auto"/>
              <w:rPr>
                <w:rFonts w:hint="eastAsia" w:ascii="宋体" w:hAnsi="宋体" w:cs="宋体"/>
                <w:lang w:eastAsia="zh-CN"/>
              </w:rPr>
            </w:pPr>
            <w:r>
              <w:rPr>
                <w:rFonts w:hint="eastAsia" w:ascii="宋体" w:hAnsi="宋体" w:cs="宋体"/>
                <w:lang w:eastAsia="zh-CN"/>
              </w:rPr>
              <w:t>成立时间：1987年3月30日</w:t>
            </w:r>
          </w:p>
          <w:p w14:paraId="674EC7B8">
            <w:pPr>
              <w:spacing w:after="60" w:line="264" w:lineRule="auto"/>
              <w:rPr>
                <w:rFonts w:hint="eastAsia" w:ascii="宋体" w:hAnsi="宋体" w:cs="宋体"/>
                <w:lang w:eastAsia="zh-CN"/>
              </w:rPr>
            </w:pPr>
            <w:r>
              <w:rPr>
                <w:rFonts w:hint="eastAsia" w:ascii="宋体" w:hAnsi="宋体" w:cs="宋体"/>
                <w:lang w:eastAsia="zh-CN"/>
              </w:rPr>
              <w:t>批准设立机关及批准设立文号：国务院国发(1986)字第81 号文和中国人民银行银发［1987］40号文</w:t>
            </w:r>
          </w:p>
          <w:p w14:paraId="40B6727F">
            <w:pPr>
              <w:spacing w:after="60" w:line="264" w:lineRule="auto"/>
              <w:rPr>
                <w:rFonts w:hint="eastAsia" w:ascii="宋体" w:hAnsi="宋体" w:cs="宋体"/>
                <w:lang w:eastAsia="zh-CN"/>
              </w:rPr>
            </w:pPr>
            <w:r>
              <w:rPr>
                <w:rFonts w:hint="eastAsia" w:ascii="宋体" w:hAnsi="宋体" w:cs="宋体"/>
                <w:lang w:eastAsia="zh-CN"/>
              </w:rPr>
              <w:t>基金托管业务批准文号：中国证监会证监基字［1998］25号</w:t>
            </w:r>
          </w:p>
          <w:p w14:paraId="74FC30D3">
            <w:pPr>
              <w:spacing w:after="60" w:line="264" w:lineRule="auto"/>
              <w:rPr>
                <w:rFonts w:hint="eastAsia" w:ascii="宋体" w:hAnsi="宋体" w:cs="宋体"/>
                <w:lang w:eastAsia="zh-CN"/>
              </w:rPr>
            </w:pPr>
            <w:r>
              <w:rPr>
                <w:rFonts w:hint="eastAsia" w:ascii="宋体" w:hAnsi="宋体" w:cs="宋体"/>
                <w:lang w:eastAsia="zh-CN"/>
              </w:rPr>
              <w:t>注册资本：</w:t>
            </w:r>
            <w:r>
              <w:rPr>
                <w:rFonts w:hint="eastAsia" w:ascii="宋体" w:hAnsi="宋体" w:cs="宋体"/>
                <w:b/>
                <w:bCs/>
                <w:lang w:eastAsia="zh-CN"/>
              </w:rPr>
              <w:t>883.64</w:t>
            </w:r>
            <w:r>
              <w:rPr>
                <w:rFonts w:hint="eastAsia" w:ascii="宋体" w:hAnsi="宋体" w:cs="宋体"/>
                <w:lang w:eastAsia="zh-CN"/>
              </w:rPr>
              <w:t>亿元人民币</w:t>
            </w:r>
          </w:p>
        </w:tc>
      </w:tr>
      <w:tr w14:paraId="5E791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356F78A4">
            <w:pPr>
              <w:spacing w:after="0" w:line="240" w:lineRule="auto"/>
              <w:jc w:val="center"/>
              <w:rPr>
                <w:rFonts w:hint="eastAsia"/>
              </w:rPr>
            </w:pPr>
            <w:r>
              <w:rPr>
                <w:b/>
                <w:lang w:eastAsia="zh-CN"/>
              </w:rPr>
              <w:t>二、基金托管协议的依据、目的和原则</w:t>
            </w:r>
          </w:p>
        </w:tc>
        <w:tc>
          <w:tcPr>
            <w:tcW w:w="4195" w:type="dxa"/>
            <w:tcMar>
              <w:top w:w="70" w:type="dxa"/>
              <w:left w:w="80" w:type="dxa"/>
              <w:bottom w:w="70" w:type="dxa"/>
              <w:right w:w="80" w:type="dxa"/>
            </w:tcMar>
            <w:vAlign w:val="center"/>
          </w:tcPr>
          <w:p w14:paraId="5F883C5D">
            <w:pPr>
              <w:spacing w:after="60" w:line="264" w:lineRule="auto"/>
              <w:rPr>
                <w:rFonts w:hint="eastAsia" w:ascii="宋体" w:hAnsi="宋体" w:cs="宋体"/>
                <w:lang w:eastAsia="zh-CN"/>
              </w:rPr>
            </w:pPr>
            <w:r>
              <w:rPr>
                <w:rFonts w:hint="eastAsia" w:ascii="宋体" w:hAnsi="宋体" w:cs="宋体"/>
                <w:lang w:eastAsia="zh-CN"/>
              </w:rPr>
              <w:t>本协议依据《中华人民共和国证券投资基金法》（以下简称《基金法》）、《公开募集证券投资基金销售机构监督管理办法》（以下简称《销售办法》）、《公开募集证券投资基金运作管理办法》（以下简称《运作办法》）、《公开募集证券投资基金信息披露管理办法》（以下简称《信息披露办法》）、《公开募集开放式证券投资基金流动性风险管理规定》(以下简称《流动性风险管理规定》)、《博时</w:t>
            </w:r>
            <w:r>
              <w:rPr>
                <w:rFonts w:hint="eastAsia" w:ascii="宋体" w:hAnsi="宋体" w:cs="宋体"/>
                <w:strike/>
                <w:lang w:eastAsia="zh-CN"/>
              </w:rPr>
              <w:t>国证新能源电池</w:t>
            </w:r>
            <w:r>
              <w:rPr>
                <w:rFonts w:hint="eastAsia" w:ascii="宋体" w:hAnsi="宋体" w:cs="宋体"/>
                <w:lang w:eastAsia="zh-CN"/>
              </w:rPr>
              <w:t>指数型证券投资基金基金合同》（以下简称《基金合同》）及其他有关规定订立。</w:t>
            </w:r>
          </w:p>
        </w:tc>
        <w:tc>
          <w:tcPr>
            <w:tcW w:w="4195" w:type="dxa"/>
            <w:tcMar>
              <w:top w:w="70" w:type="dxa"/>
              <w:left w:w="80" w:type="dxa"/>
              <w:bottom w:w="70" w:type="dxa"/>
              <w:right w:w="80" w:type="dxa"/>
            </w:tcMar>
            <w:vAlign w:val="center"/>
          </w:tcPr>
          <w:p w14:paraId="125C324F">
            <w:pPr>
              <w:spacing w:after="60" w:line="264" w:lineRule="auto"/>
              <w:rPr>
                <w:rFonts w:hint="eastAsia" w:ascii="宋体" w:hAnsi="宋体" w:cs="宋体"/>
                <w:lang w:eastAsia="zh-CN"/>
              </w:rPr>
            </w:pPr>
            <w:r>
              <w:rPr>
                <w:rFonts w:hint="eastAsia" w:ascii="宋体" w:hAnsi="宋体" w:cs="宋体"/>
                <w:lang w:eastAsia="zh-CN"/>
              </w:rPr>
              <w:t>本协议依据《中华人民共和国证券投资基金法》（以下简称《基金法》）、《公开募集证券投资基金销售机构监督管理办法》（以下简称《销售办法》）、《公开募集证券投资基金运作管理办法》（以下简称《运作办法》）、《公开募集证券投资基金信息披露管理办法》（以下简称《信息披露办法》）、《公开募集开放式证券投资基金流动性风险管理规定》(以下简称《流动性风险管理规定》)、《博时</w:t>
            </w:r>
            <w:r>
              <w:rPr>
                <w:rFonts w:hint="eastAsia" w:ascii="宋体" w:hAnsi="宋体" w:cs="宋体"/>
                <w:b/>
                <w:lang w:eastAsia="zh-CN"/>
              </w:rPr>
              <w:t>国证储能电池</w:t>
            </w:r>
            <w:r>
              <w:rPr>
                <w:rFonts w:hint="eastAsia" w:ascii="宋体" w:hAnsi="宋体" w:cs="宋体"/>
                <w:lang w:eastAsia="zh-CN"/>
              </w:rPr>
              <w:t>指数型证券投资基金基金合同》（以下简称《基金合同》）及其他有关规定订立。</w:t>
            </w:r>
          </w:p>
        </w:tc>
      </w:tr>
    </w:tbl>
    <w:p w14:paraId="7D40CEC9">
      <w:pPr>
        <w:rPr>
          <w:lang w:eastAsia="zh-CN"/>
        </w:rPr>
      </w:pPr>
    </w:p>
    <w:p w14:paraId="0207F490">
      <w:pPr>
        <w:rPr>
          <w:lang w:eastAsia="zh-CN"/>
        </w:rPr>
      </w:pPr>
    </w:p>
    <w:sectPr>
      <w:footerReference r:id="rId6" w:type="default"/>
      <w:pgSz w:w="11906" w:h="16838"/>
      <w:pgMar w:top="907" w:right="822" w:bottom="907" w:left="822"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宋体"/>
    <w:panose1 w:val="00000000000000000000"/>
    <w:charset w:val="86"/>
    <w:family w:val="auto"/>
    <w:pitch w:val="default"/>
    <w:sig w:usb0="00000000" w:usb1="00000000" w:usb2="00000000" w:usb3="00000000" w:csb0="0000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70409020205020404"/>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BFD0F">
    <w:pPr>
      <w:pStyle w:val="25"/>
      <w:jc w:val="center"/>
    </w:pPr>
    <w:r>
      <w:rPr>
        <w:rFonts w:cs="Times New Roman"/>
        <w:sz w:val="18"/>
      </w:rPr>
      <w:fldChar w:fldCharType="begin"/>
    </w:r>
    <w:r>
      <w:rPr>
        <w:rFonts w:cs="Times New Roman"/>
        <w:sz w:val="18"/>
      </w:rPr>
      <w:instrText xml:space="preserve"> PAGE </w:instrText>
    </w:r>
    <w:r>
      <w:rPr>
        <w:rFonts w:cs="Times New Roman"/>
        <w:sz w:val="18"/>
      </w:rPr>
      <w:fldChar w:fldCharType="separate"/>
    </w:r>
    <w:r>
      <w:rPr>
        <w:rFonts w:cs="Times New Roman"/>
        <w:sz w:val="18"/>
      </w:rPr>
      <w:t>1</w:t>
    </w:r>
    <w:r>
      <w:rPr>
        <w:rFonts w:cs="Times New Roman"/>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2BFB4">
    <w:pPr>
      <w:pStyle w:val="25"/>
      <w:jc w:val="center"/>
      <w:rPr>
        <w:rFonts w:hint="eastAsia"/>
      </w:rPr>
    </w:pPr>
    <w:r>
      <w:rPr>
        <w:sz w:val="17"/>
      </w:rPr>
      <w:t xml:space="preserve">— </w:t>
    </w:r>
    <w:r>
      <w:fldChar w:fldCharType="begin"/>
    </w:r>
    <w:r>
      <w:instrText xml:space="preserve">PAGE</w:instrText>
    </w:r>
    <w:r>
      <w:rPr>
        <w:rFonts w:hint="eastAsia"/>
      </w:rPr>
      <w:fldChar w:fldCharType="separate"/>
    </w:r>
    <w:r>
      <w:rPr>
        <w:rFonts w:hint="eastAsia"/>
      </w:rPr>
      <w:t>1</w:t>
    </w:r>
    <w:r>
      <w:fldChar w:fldCharType="end"/>
    </w:r>
    <w:r>
      <w:rPr>
        <w:sz w:val="17"/>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1"/>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9"/>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4"/>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trackRevisions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2B0EB7"/>
    <w:rsid w:val="00326F90"/>
    <w:rsid w:val="003927D6"/>
    <w:rsid w:val="003A5CFF"/>
    <w:rsid w:val="004D22D2"/>
    <w:rsid w:val="008C3CDD"/>
    <w:rsid w:val="0097469E"/>
    <w:rsid w:val="00A45340"/>
    <w:rsid w:val="00A679AD"/>
    <w:rsid w:val="00AA1D8D"/>
    <w:rsid w:val="00B47730"/>
    <w:rsid w:val="00BC5514"/>
    <w:rsid w:val="00BE4EE9"/>
    <w:rsid w:val="00C72585"/>
    <w:rsid w:val="00CB0664"/>
    <w:rsid w:val="00CC1688"/>
    <w:rsid w:val="00FC693F"/>
    <w:rsid w:val="0851537C"/>
    <w:rsid w:val="16F83DC9"/>
    <w:rsid w:val="22A738A1"/>
    <w:rsid w:val="2331054B"/>
    <w:rsid w:val="2B675347"/>
    <w:rsid w:val="3A451AC7"/>
    <w:rsid w:val="40871328"/>
    <w:rsid w:val="42562326"/>
    <w:rsid w:val="439D5CFD"/>
    <w:rsid w:val="44F44F34"/>
    <w:rsid w:val="47C77FBF"/>
    <w:rsid w:val="48F04E2A"/>
    <w:rsid w:val="49605E6E"/>
    <w:rsid w:val="4C3A4CA5"/>
    <w:rsid w:val="4DB766CD"/>
    <w:rsid w:val="4FB96CA6"/>
    <w:rsid w:val="51131C92"/>
    <w:rsid w:val="53253C47"/>
    <w:rsid w:val="56031FB4"/>
    <w:rsid w:val="69E34433"/>
    <w:rsid w:val="6A6708C5"/>
    <w:rsid w:val="78512F0D"/>
    <w:rsid w:val="7C544EC4"/>
    <w:rsid w:val="7D26648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0" w:line="360" w:lineRule="auto"/>
      <w:jc w:val="both"/>
    </w:pPr>
    <w:rPr>
      <w:rFonts w:ascii="Times New Roman" w:hAnsi="Times New Roman" w:eastAsia="宋体" w:cstheme="minorBidi"/>
      <w:color w:val="000000"/>
      <w:sz w:val="22"/>
      <w:szCs w:val="22"/>
      <w:lang w:val="en-US" w:eastAsia="en-US" w:bidi="ar-SA"/>
    </w:rPr>
  </w:style>
  <w:style w:type="paragraph" w:styleId="3">
    <w:name w:val="heading 1"/>
    <w:basedOn w:val="1"/>
    <w:next w:val="1"/>
    <w:link w:val="140"/>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41"/>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2"/>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2"/>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3"/>
    <w:semiHidden/>
    <w:unhideWhenUsed/>
    <w:qFormat/>
    <w:uiPriority w:val="9"/>
    <w:pPr>
      <w:keepNext/>
      <w:keepLines/>
      <w:spacing w:before="20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4"/>
    <w:semiHidden/>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5"/>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6"/>
    <w:semiHidden/>
    <w:unhideWhenUsed/>
    <w:qFormat/>
    <w:uiPriority w:val="9"/>
    <w:pPr>
      <w:keepNext/>
      <w:keepLines/>
      <w:spacing w:before="20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7"/>
    <w:semiHidden/>
    <w:unhideWhenUsed/>
    <w:qFormat/>
    <w:uiPriority w:val="9"/>
    <w:pPr>
      <w:keepNext/>
      <w:keepLines/>
      <w:spacing w:before="20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3">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macro"/>
    <w:link w:val="149"/>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annotation text"/>
    <w:basedOn w:val="1"/>
    <w:semiHidden/>
    <w:unhideWhenUsed/>
    <w:qFormat/>
    <w:uiPriority w:val="99"/>
    <w:pPr>
      <w:jc w:val="left"/>
    </w:pPr>
  </w:style>
  <w:style w:type="paragraph" w:styleId="18">
    <w:name w:val="Body Text 3"/>
    <w:basedOn w:val="1"/>
    <w:link w:val="148"/>
    <w:unhideWhenUsed/>
    <w:qFormat/>
    <w:uiPriority w:val="99"/>
    <w:pPr>
      <w:spacing w:after="120"/>
    </w:pPr>
    <w:rPr>
      <w:sz w:val="16"/>
      <w:szCs w:val="16"/>
    </w:rPr>
  </w:style>
  <w:style w:type="paragraph" w:styleId="19">
    <w:name w:val="List Bullet 3"/>
    <w:basedOn w:val="1"/>
    <w:unhideWhenUsed/>
    <w:qFormat/>
    <w:uiPriority w:val="99"/>
    <w:pPr>
      <w:numPr>
        <w:ilvl w:val="0"/>
        <w:numId w:val="4"/>
      </w:numPr>
      <w:contextualSpacing/>
    </w:pPr>
  </w:style>
  <w:style w:type="paragraph" w:styleId="20">
    <w:name w:val="Body Text"/>
    <w:basedOn w:val="1"/>
    <w:link w:val="146"/>
    <w:unhideWhenUsed/>
    <w:qFormat/>
    <w:uiPriority w:val="99"/>
    <w:pPr>
      <w:spacing w:after="120"/>
    </w:pPr>
  </w:style>
  <w:style w:type="paragraph" w:styleId="21">
    <w:name w:val="List Number 3"/>
    <w:basedOn w:val="1"/>
    <w:unhideWhenUsed/>
    <w:qFormat/>
    <w:uiPriority w:val="99"/>
    <w:pPr>
      <w:numPr>
        <w:ilvl w:val="0"/>
        <w:numId w:val="5"/>
      </w:numPr>
      <w:contextualSpacing/>
    </w:pPr>
  </w:style>
  <w:style w:type="paragraph" w:styleId="22">
    <w:name w:val="List 2"/>
    <w:basedOn w:val="1"/>
    <w:unhideWhenUsed/>
    <w:qFormat/>
    <w:uiPriority w:val="99"/>
    <w:pPr>
      <w:ind w:left="720" w:hanging="360"/>
      <w:contextualSpacing/>
    </w:pPr>
  </w:style>
  <w:style w:type="paragraph" w:styleId="23">
    <w:name w:val="List Continue"/>
    <w:basedOn w:val="1"/>
    <w:unhideWhenUsed/>
    <w:qFormat/>
    <w:uiPriority w:val="99"/>
    <w:pPr>
      <w:spacing w:after="120"/>
      <w:ind w:left="360"/>
      <w:contextualSpacing/>
    </w:pPr>
  </w:style>
  <w:style w:type="paragraph" w:styleId="24">
    <w:name w:val="List Bullet 2"/>
    <w:basedOn w:val="1"/>
    <w:unhideWhenUsed/>
    <w:qFormat/>
    <w:uiPriority w:val="99"/>
    <w:pPr>
      <w:numPr>
        <w:ilvl w:val="0"/>
        <w:numId w:val="6"/>
      </w:numPr>
      <w:contextualSpacing/>
    </w:pPr>
  </w:style>
  <w:style w:type="paragraph" w:styleId="25">
    <w:name w:val="footer"/>
    <w:basedOn w:val="1"/>
    <w:link w:val="138"/>
    <w:unhideWhenUsed/>
    <w:qFormat/>
    <w:uiPriority w:val="99"/>
    <w:pPr>
      <w:tabs>
        <w:tab w:val="center" w:pos="4680"/>
        <w:tab w:val="right" w:pos="9360"/>
      </w:tabs>
      <w:spacing w:line="240" w:lineRule="auto"/>
    </w:pPr>
  </w:style>
  <w:style w:type="paragraph" w:styleId="26">
    <w:name w:val="header"/>
    <w:basedOn w:val="1"/>
    <w:link w:val="137"/>
    <w:unhideWhenUsed/>
    <w:qFormat/>
    <w:uiPriority w:val="99"/>
    <w:pPr>
      <w:tabs>
        <w:tab w:val="center" w:pos="4680"/>
        <w:tab w:val="right" w:pos="9360"/>
      </w:tabs>
      <w:spacing w:line="240" w:lineRule="auto"/>
    </w:pPr>
  </w:style>
  <w:style w:type="paragraph" w:styleId="27">
    <w:name w:val="Subtitle"/>
    <w:basedOn w:val="1"/>
    <w:next w:val="1"/>
    <w:link w:val="144"/>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8">
    <w:name w:val="List"/>
    <w:basedOn w:val="1"/>
    <w:unhideWhenUsed/>
    <w:qFormat/>
    <w:uiPriority w:val="99"/>
    <w:pPr>
      <w:ind w:left="360" w:hanging="360"/>
      <w:contextualSpacing/>
    </w:pPr>
  </w:style>
  <w:style w:type="paragraph" w:styleId="29">
    <w:name w:val="Body Text 2"/>
    <w:basedOn w:val="1"/>
    <w:link w:val="147"/>
    <w:unhideWhenUsed/>
    <w:qFormat/>
    <w:uiPriority w:val="99"/>
    <w:pPr>
      <w:spacing w:after="120" w:line="480" w:lineRule="auto"/>
    </w:pPr>
  </w:style>
  <w:style w:type="paragraph" w:styleId="30">
    <w:name w:val="List Continue 2"/>
    <w:basedOn w:val="1"/>
    <w:unhideWhenUsed/>
    <w:qFormat/>
    <w:uiPriority w:val="99"/>
    <w:pPr>
      <w:spacing w:after="120"/>
      <w:ind w:left="720"/>
      <w:contextualSpacing/>
    </w:pPr>
  </w:style>
  <w:style w:type="paragraph" w:styleId="31">
    <w:name w:val="List Continue 3"/>
    <w:basedOn w:val="1"/>
    <w:unhideWhenUsed/>
    <w:qFormat/>
    <w:uiPriority w:val="99"/>
    <w:pPr>
      <w:spacing w:after="120"/>
      <w:ind w:left="1080"/>
      <w:contextualSpacing/>
    </w:pPr>
  </w:style>
  <w:style w:type="paragraph" w:styleId="32">
    <w:name w:val="Title"/>
    <w:basedOn w:val="1"/>
    <w:next w:val="1"/>
    <w:link w:val="143"/>
    <w:qFormat/>
    <w:uiPriority w:val="10"/>
    <w:pPr>
      <w:spacing w:before="240" w:after="360"/>
      <w:contextualSpacing/>
      <w:jc w:val="center"/>
    </w:pPr>
    <w:rPr>
      <w:rFonts w:asciiTheme="majorHAnsi" w:hAnsiTheme="majorHAnsi" w:eastAsiaTheme="majorEastAsia" w:cstheme="majorBidi"/>
      <w:b/>
      <w:spacing w:val="5"/>
      <w:kern w:val="28"/>
      <w:sz w:val="32"/>
      <w:szCs w:val="52"/>
    </w:rPr>
  </w:style>
  <w:style w:type="table" w:styleId="34">
    <w:name w:val="Table Grid"/>
    <w:basedOn w:val="3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5">
    <w:name w:val="Light Shading"/>
    <w:basedOn w:val="33"/>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6">
    <w:name w:val="Light Shading Accent 1"/>
    <w:basedOn w:val="33"/>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7">
    <w:name w:val="Light Shading Accent 2"/>
    <w:basedOn w:val="33"/>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8">
    <w:name w:val="Light Shading Accent 3"/>
    <w:basedOn w:val="33"/>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9">
    <w:name w:val="Light Shading Accent 4"/>
    <w:basedOn w:val="33"/>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40">
    <w:name w:val="Light Shading Accent 5"/>
    <w:basedOn w:val="33"/>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1">
    <w:name w:val="Light Shading Accent 6"/>
    <w:basedOn w:val="33"/>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2">
    <w:name w:val="Light List"/>
    <w:basedOn w:val="33"/>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3">
    <w:name w:val="Light List Accent 1"/>
    <w:basedOn w:val="33"/>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4">
    <w:name w:val="Light List Accent 2"/>
    <w:basedOn w:val="33"/>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5">
    <w:name w:val="Light List Accent 3"/>
    <w:basedOn w:val="33"/>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6">
    <w:name w:val="Light List Accent 4"/>
    <w:basedOn w:val="33"/>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7">
    <w:name w:val="Light List Accent 5"/>
    <w:basedOn w:val="33"/>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8">
    <w:name w:val="Light List Accent 6"/>
    <w:basedOn w:val="33"/>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9">
    <w:name w:val="Light Grid"/>
    <w:basedOn w:val="33"/>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0">
    <w:name w:val="Light Grid Accent 1"/>
    <w:basedOn w:val="33"/>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1">
    <w:name w:val="Light Grid Accent 2"/>
    <w:basedOn w:val="33"/>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2">
    <w:name w:val="Light Grid Accent 3"/>
    <w:basedOn w:val="33"/>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3">
    <w:name w:val="Light Grid Accent 4"/>
    <w:basedOn w:val="33"/>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4">
    <w:name w:val="Light Grid Accent 5"/>
    <w:basedOn w:val="33"/>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5">
    <w:name w:val="Light Grid Accent 6"/>
    <w:basedOn w:val="33"/>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6">
    <w:name w:val="Medium Shading 1"/>
    <w:basedOn w:val="33"/>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7">
    <w:name w:val="Medium Shading 1 Accent 1"/>
    <w:basedOn w:val="33"/>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8">
    <w:name w:val="Medium Shading 1 Accent 2"/>
    <w:basedOn w:val="33"/>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9">
    <w:name w:val="Medium Shading 1 Accent 3"/>
    <w:basedOn w:val="33"/>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60">
    <w:name w:val="Medium Shading 1 Accent 4"/>
    <w:basedOn w:val="33"/>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1">
    <w:name w:val="Medium Shading 1 Accent 5"/>
    <w:basedOn w:val="33"/>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2">
    <w:name w:val="Medium Shading 1 Accent 6"/>
    <w:basedOn w:val="33"/>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3">
    <w:name w:val="Medium Shading 2"/>
    <w:basedOn w:val="33"/>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1"/>
    <w:basedOn w:val="33"/>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2"/>
    <w:basedOn w:val="33"/>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3"/>
    <w:basedOn w:val="33"/>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4"/>
    <w:basedOn w:val="33"/>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5"/>
    <w:basedOn w:val="33"/>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Shading 2 Accent 6"/>
    <w:basedOn w:val="33"/>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70">
    <w:name w:val="Medium List 1"/>
    <w:basedOn w:val="33"/>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1">
    <w:name w:val="Medium List 1 Accent 1"/>
    <w:basedOn w:val="33"/>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2">
    <w:name w:val="Medium List 1 Accent 2"/>
    <w:basedOn w:val="33"/>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3">
    <w:name w:val="Medium List 1 Accent 3"/>
    <w:basedOn w:val="33"/>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4">
    <w:name w:val="Medium List 1 Accent 4"/>
    <w:basedOn w:val="33"/>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5">
    <w:name w:val="Medium List 1 Accent 5"/>
    <w:basedOn w:val="33"/>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6">
    <w:name w:val="Medium List 1 Accent 6"/>
    <w:basedOn w:val="33"/>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7">
    <w:name w:val="Medium Lis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1"/>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2"/>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3"/>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4"/>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5"/>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List 2 Accent 6"/>
    <w:basedOn w:val="33"/>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4">
    <w:name w:val="Medium Grid 1"/>
    <w:basedOn w:val="33"/>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5">
    <w:name w:val="Medium Grid 1 Accent 1"/>
    <w:basedOn w:val="33"/>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6">
    <w:name w:val="Medium Grid 1 Accent 2"/>
    <w:basedOn w:val="33"/>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7">
    <w:name w:val="Medium Grid 1 Accent 3"/>
    <w:basedOn w:val="33"/>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8">
    <w:name w:val="Medium Grid 1 Accent 4"/>
    <w:basedOn w:val="33"/>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9">
    <w:name w:val="Medium Grid 1 Accent 5"/>
    <w:basedOn w:val="33"/>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90">
    <w:name w:val="Medium Grid 1 Accent 6"/>
    <w:basedOn w:val="33"/>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2">
    <w:name w:val="Medium Grid 2 Accent 1"/>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3">
    <w:name w:val="Medium Grid 2 Accent 2"/>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33"/>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8">
    <w:name w:val="Medium Grid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9">
    <w:name w:val="Medium Grid 3 Accent 1"/>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0">
    <w:name w:val="Medium Grid 3 Accent 2"/>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1">
    <w:name w:val="Medium Grid 3 Accent 3"/>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2">
    <w:name w:val="Medium Grid 3 Accent 4"/>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3">
    <w:name w:val="Medium Grid 3 Accent 5"/>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4">
    <w:name w:val="Medium Grid 3 Accent 6"/>
    <w:basedOn w:val="33"/>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5">
    <w:name w:val="Dark List"/>
    <w:basedOn w:val="33"/>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6">
    <w:name w:val="Dark List Accent 1"/>
    <w:basedOn w:val="33"/>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7">
    <w:name w:val="Dark List Accent 2"/>
    <w:basedOn w:val="33"/>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8">
    <w:name w:val="Dark List Accent 3"/>
    <w:basedOn w:val="33"/>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9">
    <w:name w:val="Dark List Accent 4"/>
    <w:basedOn w:val="33"/>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0">
    <w:name w:val="Dark List Accent 5"/>
    <w:basedOn w:val="33"/>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1">
    <w:name w:val="Dark List Accent 6"/>
    <w:basedOn w:val="33"/>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2">
    <w:name w:val="Colorful Shading"/>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1"/>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2"/>
    <w:basedOn w:val="33"/>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3"/>
    <w:basedOn w:val="33"/>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6">
    <w:name w:val="Colorful Shading Accent 4"/>
    <w:basedOn w:val="33"/>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5"/>
    <w:basedOn w:val="33"/>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Shading Accent 6"/>
    <w:basedOn w:val="33"/>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List"/>
    <w:basedOn w:val="33"/>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20">
    <w:name w:val="Colorful List Accent 1"/>
    <w:basedOn w:val="33"/>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1">
    <w:name w:val="Colorful List Accent 2"/>
    <w:basedOn w:val="33"/>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2">
    <w:name w:val="Colorful List Accent 3"/>
    <w:basedOn w:val="33"/>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3">
    <w:name w:val="Colorful List Accent 4"/>
    <w:basedOn w:val="33"/>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4">
    <w:name w:val="Colorful List Accent 5"/>
    <w:basedOn w:val="33"/>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5">
    <w:name w:val="Colorful List Accent 6"/>
    <w:basedOn w:val="33"/>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6">
    <w:name w:val="Colorful Grid"/>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7">
    <w:name w:val="Colorful Grid Accent 1"/>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8">
    <w:name w:val="Colorful Grid Accent 2"/>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9">
    <w:name w:val="Colorful Grid Accent 3"/>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30">
    <w:name w:val="Colorful Grid Accent 4"/>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1">
    <w:name w:val="Colorful Grid Accent 5"/>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2">
    <w:name w:val="Colorful Grid Accent 6"/>
    <w:basedOn w:val="33"/>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4">
    <w:name w:val="Strong"/>
    <w:basedOn w:val="133"/>
    <w:qFormat/>
    <w:uiPriority w:val="22"/>
    <w:rPr>
      <w:b/>
      <w:bCs/>
    </w:rPr>
  </w:style>
  <w:style w:type="character" w:styleId="135">
    <w:name w:val="Emphasis"/>
    <w:basedOn w:val="133"/>
    <w:qFormat/>
    <w:uiPriority w:val="20"/>
    <w:rPr>
      <w:i/>
      <w:iCs/>
    </w:rPr>
  </w:style>
  <w:style w:type="character" w:styleId="136">
    <w:name w:val="Hyperlink"/>
    <w:basedOn w:val="133"/>
    <w:semiHidden/>
    <w:unhideWhenUsed/>
    <w:qFormat/>
    <w:uiPriority w:val="99"/>
    <w:rPr>
      <w:color w:val="0000FF"/>
      <w:u w:val="single"/>
    </w:rPr>
  </w:style>
  <w:style w:type="character" w:customStyle="1" w:styleId="137">
    <w:name w:val="页眉 字符"/>
    <w:basedOn w:val="133"/>
    <w:link w:val="26"/>
    <w:qFormat/>
    <w:uiPriority w:val="99"/>
  </w:style>
  <w:style w:type="character" w:customStyle="1" w:styleId="138">
    <w:name w:val="页脚 字符"/>
    <w:basedOn w:val="133"/>
    <w:link w:val="25"/>
    <w:qFormat/>
    <w:uiPriority w:val="99"/>
  </w:style>
  <w:style w:type="paragraph" w:styleId="139">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0">
    <w:name w:val="标题 1 字符"/>
    <w:basedOn w:val="133"/>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41">
    <w:name w:val="标题 2 字符"/>
    <w:basedOn w:val="133"/>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2">
    <w:name w:val="标题 3 字符"/>
    <w:basedOn w:val="133"/>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3">
    <w:name w:val="标题 字符"/>
    <w:basedOn w:val="133"/>
    <w:link w:val="32"/>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4">
    <w:name w:val="副标题 字符"/>
    <w:basedOn w:val="133"/>
    <w:link w:val="27"/>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5">
    <w:name w:val="List Paragraph"/>
    <w:basedOn w:val="1"/>
    <w:qFormat/>
    <w:uiPriority w:val="34"/>
    <w:pPr>
      <w:ind w:left="720"/>
      <w:contextualSpacing/>
    </w:pPr>
  </w:style>
  <w:style w:type="character" w:customStyle="1" w:styleId="146">
    <w:name w:val="正文文本 字符"/>
    <w:basedOn w:val="133"/>
    <w:link w:val="20"/>
    <w:qFormat/>
    <w:uiPriority w:val="99"/>
  </w:style>
  <w:style w:type="character" w:customStyle="1" w:styleId="147">
    <w:name w:val="正文文本 2 字符"/>
    <w:basedOn w:val="133"/>
    <w:link w:val="29"/>
    <w:qFormat/>
    <w:uiPriority w:val="99"/>
  </w:style>
  <w:style w:type="character" w:customStyle="1" w:styleId="148">
    <w:name w:val="正文文本 3 字符"/>
    <w:basedOn w:val="133"/>
    <w:link w:val="18"/>
    <w:qFormat/>
    <w:uiPriority w:val="99"/>
    <w:rPr>
      <w:sz w:val="16"/>
      <w:szCs w:val="16"/>
    </w:rPr>
  </w:style>
  <w:style w:type="character" w:customStyle="1" w:styleId="149">
    <w:name w:val="宏文本 字符"/>
    <w:basedOn w:val="133"/>
    <w:link w:val="2"/>
    <w:qFormat/>
    <w:uiPriority w:val="99"/>
    <w:rPr>
      <w:rFonts w:ascii="Courier" w:hAnsi="Courier"/>
      <w:sz w:val="20"/>
      <w:szCs w:val="20"/>
    </w:rPr>
  </w:style>
  <w:style w:type="paragraph" w:styleId="150">
    <w:name w:val="Quote"/>
    <w:basedOn w:val="1"/>
    <w:next w:val="1"/>
    <w:link w:val="151"/>
    <w:qFormat/>
    <w:uiPriority w:val="29"/>
    <w:rPr>
      <w:i/>
      <w:iCs/>
      <w:color w:val="000000" w:themeColor="text1"/>
      <w14:textFill>
        <w14:solidFill>
          <w14:schemeClr w14:val="tx1"/>
        </w14:solidFill>
      </w14:textFill>
    </w:rPr>
  </w:style>
  <w:style w:type="character" w:customStyle="1" w:styleId="151">
    <w:name w:val="引用 字符"/>
    <w:basedOn w:val="133"/>
    <w:link w:val="150"/>
    <w:qFormat/>
    <w:uiPriority w:val="29"/>
    <w:rPr>
      <w:i/>
      <w:iCs/>
      <w:color w:val="000000" w:themeColor="text1"/>
      <w14:textFill>
        <w14:solidFill>
          <w14:schemeClr w14:val="tx1"/>
        </w14:solidFill>
      </w14:textFill>
    </w:rPr>
  </w:style>
  <w:style w:type="character" w:customStyle="1" w:styleId="152">
    <w:name w:val="标题 4 字符"/>
    <w:basedOn w:val="133"/>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3">
    <w:name w:val="标题 5 字符"/>
    <w:basedOn w:val="133"/>
    <w:link w:val="7"/>
    <w:semiHidden/>
    <w:qFormat/>
    <w:uiPriority w:val="9"/>
    <w:rPr>
      <w:rFonts w:asciiTheme="majorHAnsi" w:hAnsiTheme="majorHAnsi" w:eastAsiaTheme="majorEastAsia" w:cstheme="majorBidi"/>
      <w:color w:val="254061" w:themeColor="accent1" w:themeShade="80"/>
    </w:rPr>
  </w:style>
  <w:style w:type="character" w:customStyle="1" w:styleId="154">
    <w:name w:val="标题 6 字符"/>
    <w:basedOn w:val="133"/>
    <w:link w:val="8"/>
    <w:semiHidden/>
    <w:qFormat/>
    <w:uiPriority w:val="9"/>
    <w:rPr>
      <w:rFonts w:asciiTheme="majorHAnsi" w:hAnsiTheme="majorHAnsi" w:eastAsiaTheme="majorEastAsia" w:cstheme="majorBidi"/>
      <w:i/>
      <w:iCs/>
      <w:color w:val="254061" w:themeColor="accent1" w:themeShade="80"/>
    </w:rPr>
  </w:style>
  <w:style w:type="character" w:customStyle="1" w:styleId="155">
    <w:name w:val="标题 7 字符"/>
    <w:basedOn w:val="133"/>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6">
    <w:name w:val="标题 8 字符"/>
    <w:basedOn w:val="133"/>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7">
    <w:name w:val="标题 9 字符"/>
    <w:basedOn w:val="133"/>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8">
    <w:name w:val="Intense Quote"/>
    <w:basedOn w:val="1"/>
    <w:next w:val="1"/>
    <w:link w:val="159"/>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9">
    <w:name w:val="明显引用 字符"/>
    <w:basedOn w:val="133"/>
    <w:link w:val="158"/>
    <w:qFormat/>
    <w:uiPriority w:val="30"/>
    <w:rPr>
      <w:b/>
      <w:bCs/>
      <w:i/>
      <w:iCs/>
      <w:color w:val="4F81BD" w:themeColor="accent1"/>
      <w14:textFill>
        <w14:solidFill>
          <w14:schemeClr w14:val="accent1"/>
        </w14:solidFill>
      </w14:textFill>
    </w:rPr>
  </w:style>
  <w:style w:type="character" w:customStyle="1" w:styleId="160">
    <w:name w:val="Subtle Emphasis"/>
    <w:basedOn w:val="133"/>
    <w:qFormat/>
    <w:uiPriority w:val="19"/>
    <w:rPr>
      <w:i/>
      <w:iCs/>
      <w:color w:val="808080" w:themeColor="text1" w:themeTint="80"/>
      <w14:textFill>
        <w14:solidFill>
          <w14:schemeClr w14:val="tx1">
            <w14:lumMod w14:val="50000"/>
            <w14:lumOff w14:val="50000"/>
          </w14:schemeClr>
        </w14:solidFill>
      </w14:textFill>
    </w:rPr>
  </w:style>
  <w:style w:type="character" w:customStyle="1" w:styleId="161">
    <w:name w:val="Intense Emphasis"/>
    <w:basedOn w:val="133"/>
    <w:qFormat/>
    <w:uiPriority w:val="21"/>
    <w:rPr>
      <w:b/>
      <w:bCs/>
      <w:i/>
      <w:iCs/>
      <w:color w:val="4F81BD" w:themeColor="accent1"/>
      <w14:textFill>
        <w14:solidFill>
          <w14:schemeClr w14:val="accent1"/>
        </w14:solidFill>
      </w14:textFill>
    </w:rPr>
  </w:style>
  <w:style w:type="character" w:customStyle="1" w:styleId="162">
    <w:name w:val="Subtle Reference"/>
    <w:basedOn w:val="133"/>
    <w:qFormat/>
    <w:uiPriority w:val="31"/>
    <w:rPr>
      <w:smallCaps/>
      <w:color w:val="C0504D" w:themeColor="accent2"/>
      <w:u w:val="single"/>
      <w14:textFill>
        <w14:solidFill>
          <w14:schemeClr w14:val="accent2"/>
        </w14:solidFill>
      </w14:textFill>
    </w:rPr>
  </w:style>
  <w:style w:type="character" w:customStyle="1" w:styleId="163">
    <w:name w:val="Intense Reference"/>
    <w:basedOn w:val="133"/>
    <w:qFormat/>
    <w:uiPriority w:val="32"/>
    <w:rPr>
      <w:b/>
      <w:bCs/>
      <w:smallCaps/>
      <w:color w:val="C0504D" w:themeColor="accent2"/>
      <w:spacing w:val="5"/>
      <w:u w:val="single"/>
      <w14:textFill>
        <w14:solidFill>
          <w14:schemeClr w14:val="accent2"/>
        </w14:solidFill>
      </w14:textFill>
    </w:rPr>
  </w:style>
  <w:style w:type="character" w:customStyle="1" w:styleId="164">
    <w:name w:val="Book Title"/>
    <w:basedOn w:val="133"/>
    <w:qFormat/>
    <w:uiPriority w:val="33"/>
    <w:rPr>
      <w:b/>
      <w:bCs/>
      <w:smallCaps/>
      <w:spacing w:val="5"/>
    </w:rPr>
  </w:style>
  <w:style w:type="paragraph" w:customStyle="1" w:styleId="165">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6</Pages>
  <Words>514</Words>
  <Characters>2931</Characters>
  <Lines>24</Lines>
  <Paragraphs>6</Paragraphs>
  <TotalTime>41</TotalTime>
  <ScaleCrop>false</ScaleCrop>
  <LinksUpToDate>false</LinksUpToDate>
  <CharactersWithSpaces>3439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博时基金管理有限公司</dc:creator>
  <dc:description>generated by python-docx</dc:description>
  <cp:lastModifiedBy>liwen</cp:lastModifiedBy>
  <dcterms:modified xsi:type="dcterms:W3CDTF">2026-09-17T07:43:49Z</dcterms:modified>
  <dc:subject>基金变更名称及修订基金合同和托管协议公告</dc:subject>
  <dc:title>博时恒生港股通高股息率ETF发起式联接基金变更基金名称及修订法律文件公告-补充稿</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D35EF571A1EC4E5283C9CAEA5B18BF3B</vt:lpwstr>
  </property>
</Properties>
</file>