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DAEE7">
      <w:pPr>
        <w:jc w:val="center"/>
        <w:rPr>
          <w:rFonts w:hint="eastAsia"/>
          <w:b/>
          <w:bCs/>
          <w:sz w:val="28"/>
          <w:szCs w:val="28"/>
        </w:rPr>
      </w:pPr>
      <w:r>
        <w:rPr>
          <w:rFonts w:hint="eastAsia"/>
          <w:b/>
          <w:bCs/>
          <w:sz w:val="28"/>
          <w:szCs w:val="28"/>
        </w:rPr>
        <w:t>博时基金管理有限公司关于博时中证半导体产业交易型开放式指数证券投资基金实施基金份额拆分并调整最小申购、赎回单位及相关业务安排的公告</w:t>
      </w:r>
    </w:p>
    <w:p w14:paraId="30EA1E25">
      <w:pPr>
        <w:rPr>
          <w:rFonts w:hint="eastAsia"/>
        </w:rPr>
      </w:pPr>
    </w:p>
    <w:p w14:paraId="6BF41349">
      <w:pPr>
        <w:spacing w:line="360" w:lineRule="auto"/>
        <w:ind w:firstLine="420" w:firstLineChars="200"/>
        <w:rPr>
          <w:rFonts w:hint="default" w:ascii="Times New Roman" w:hAnsi="Times New Roman" w:cs="Times New Roman"/>
        </w:rPr>
      </w:pPr>
      <w:r>
        <w:rPr>
          <w:rFonts w:hint="default" w:ascii="Times New Roman" w:hAnsi="Times New Roman" w:cs="Times New Roman"/>
        </w:rPr>
        <w:t>为满足广大投资者的需求，提高博时中证半导体产业交易型开放式指数证券投资基金（场内简称：</w:t>
      </w:r>
      <w:r>
        <w:rPr>
          <w:rFonts w:hint="eastAsia" w:ascii="Times New Roman" w:hAnsi="Times New Roman" w:cs="Times New Roman"/>
          <w:lang w:val="en-US" w:eastAsia="zh-CN"/>
        </w:rPr>
        <w:t>半导体</w:t>
      </w:r>
      <w:r>
        <w:rPr>
          <w:rFonts w:hint="default" w:ascii="Times New Roman" w:hAnsi="Times New Roman" w:cs="Times New Roman"/>
        </w:rPr>
        <w:t>ETF</w:t>
      </w:r>
      <w:r>
        <w:rPr>
          <w:rFonts w:hint="eastAsia" w:ascii="Times New Roman" w:hAnsi="Times New Roman" w:cs="Times New Roman"/>
          <w:lang w:val="en-US" w:eastAsia="zh-CN"/>
        </w:rPr>
        <w:t>博时</w:t>
      </w:r>
      <w:r>
        <w:rPr>
          <w:rFonts w:hint="default" w:ascii="Times New Roman" w:hAnsi="Times New Roman" w:cs="Times New Roman"/>
        </w:rPr>
        <w:t>，基金代码：</w:t>
      </w:r>
      <w:r>
        <w:rPr>
          <w:rFonts w:hint="eastAsia" w:ascii="Times New Roman" w:hAnsi="Times New Roman" w:cs="Times New Roman"/>
          <w:lang w:val="en-US" w:eastAsia="zh-CN"/>
        </w:rPr>
        <w:t>159582</w:t>
      </w:r>
      <w:r>
        <w:rPr>
          <w:rFonts w:hint="default" w:ascii="Times New Roman" w:hAnsi="Times New Roman" w:cs="Times New Roman"/>
        </w:rPr>
        <w:t>，以下简称“本基金”）的交易便利性，经与基金托管人中信证券股份有限公司协商一致，</w:t>
      </w:r>
      <w:r>
        <w:rPr>
          <w:rFonts w:hint="eastAsia" w:ascii="Times New Roman" w:hAnsi="Times New Roman" w:cs="Times New Roman"/>
          <w:lang w:val="en-US" w:eastAsia="zh-CN"/>
        </w:rPr>
        <w:t>博时</w:t>
      </w:r>
      <w:r>
        <w:rPr>
          <w:rFonts w:hint="default" w:ascii="Times New Roman" w:hAnsi="Times New Roman" w:cs="Times New Roman"/>
        </w:rPr>
        <w:t>基金管理有限公司（以下简称“本基金管理人”）决定对本基金实施份额拆分，并调整最小申购、赎回单位。现将有关情况公告如下：</w:t>
      </w:r>
    </w:p>
    <w:p w14:paraId="15268FFE">
      <w:pPr>
        <w:numPr>
          <w:ilvl w:val="0"/>
          <w:numId w:val="1"/>
        </w:numPr>
        <w:spacing w:line="360" w:lineRule="auto"/>
        <w:ind w:firstLine="422" w:firstLineChars="200"/>
        <w:rPr>
          <w:rFonts w:hint="default" w:ascii="Times New Roman" w:hAnsi="Times New Roman" w:cs="Times New Roman"/>
          <w:b/>
          <w:bCs/>
        </w:rPr>
      </w:pPr>
      <w:r>
        <w:rPr>
          <w:rFonts w:hint="default" w:ascii="Times New Roman" w:hAnsi="Times New Roman" w:cs="Times New Roman"/>
          <w:b/>
          <w:bCs/>
        </w:rPr>
        <w:t>基金份额的拆分</w:t>
      </w:r>
    </w:p>
    <w:p w14:paraId="6DE0DE39">
      <w:pPr>
        <w:numPr>
          <w:ilvl w:val="0"/>
          <w:numId w:val="2"/>
        </w:numPr>
        <w:spacing w:line="360" w:lineRule="auto"/>
        <w:ind w:firstLine="420" w:firstLineChars="200"/>
        <w:rPr>
          <w:rFonts w:hint="default" w:ascii="Times New Roman" w:hAnsi="Times New Roman" w:cs="Times New Roman"/>
        </w:rPr>
      </w:pPr>
      <w:r>
        <w:rPr>
          <w:rFonts w:hint="default" w:ascii="Times New Roman" w:hAnsi="Times New Roman" w:cs="Times New Roman"/>
        </w:rPr>
        <w:t>份额拆分权益登记日：2026年</w:t>
      </w:r>
      <w:r>
        <w:rPr>
          <w:rFonts w:hint="eastAsia" w:ascii="Times New Roman" w:hAnsi="Times New Roman"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10</w:t>
      </w:r>
      <w:r>
        <w:rPr>
          <w:rFonts w:hint="default" w:ascii="Times New Roman" w:hAnsi="Times New Roman" w:cs="Times New Roman"/>
        </w:rPr>
        <w:t>日</w:t>
      </w:r>
    </w:p>
    <w:p w14:paraId="5C15E26D">
      <w:pPr>
        <w:numPr>
          <w:ilvl w:val="0"/>
          <w:numId w:val="2"/>
        </w:numPr>
        <w:spacing w:line="360" w:lineRule="auto"/>
        <w:ind w:firstLine="420" w:firstLineChars="200"/>
        <w:rPr>
          <w:rFonts w:hint="default" w:ascii="Times New Roman" w:hAnsi="Times New Roman" w:cs="Times New Roman"/>
        </w:rPr>
      </w:pPr>
      <w:r>
        <w:rPr>
          <w:rFonts w:hint="default" w:ascii="Times New Roman" w:hAnsi="Times New Roman" w:cs="Times New Roman"/>
        </w:rPr>
        <w:t>份额拆分除权日：2026年</w:t>
      </w:r>
      <w:r>
        <w:rPr>
          <w:rFonts w:hint="eastAsia" w:ascii="Times New Roman" w:hAnsi="Times New Roman"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13</w:t>
      </w:r>
      <w:r>
        <w:rPr>
          <w:rFonts w:hint="default" w:ascii="Times New Roman" w:hAnsi="Times New Roman" w:cs="Times New Roman"/>
        </w:rPr>
        <w:t>日</w:t>
      </w:r>
    </w:p>
    <w:p w14:paraId="7A9DBA0A">
      <w:pPr>
        <w:numPr>
          <w:ilvl w:val="0"/>
          <w:numId w:val="2"/>
        </w:numPr>
        <w:spacing w:line="360" w:lineRule="auto"/>
        <w:ind w:firstLine="420" w:firstLineChars="200"/>
        <w:rPr>
          <w:rFonts w:hint="default" w:ascii="Times New Roman" w:hAnsi="Times New Roman" w:cs="Times New Roman"/>
        </w:rPr>
      </w:pPr>
      <w:r>
        <w:rPr>
          <w:rFonts w:hint="default" w:ascii="Times New Roman" w:hAnsi="Times New Roman" w:cs="Times New Roman"/>
        </w:rPr>
        <w:t>拆分对象：份额拆分权益登记日在本基金登记机构登记在册的本基金基金份额</w:t>
      </w:r>
    </w:p>
    <w:p w14:paraId="12A2DEBA">
      <w:pPr>
        <w:numPr>
          <w:ilvl w:val="0"/>
          <w:numId w:val="2"/>
        </w:numPr>
        <w:spacing w:line="360" w:lineRule="auto"/>
        <w:ind w:firstLine="420" w:firstLineChars="200"/>
        <w:rPr>
          <w:rFonts w:hint="default" w:ascii="Times New Roman" w:hAnsi="Times New Roman" w:cs="Times New Roman"/>
        </w:rPr>
      </w:pPr>
      <w:r>
        <w:rPr>
          <w:rFonts w:hint="default" w:ascii="Times New Roman" w:hAnsi="Times New Roman" w:cs="Times New Roman"/>
        </w:rPr>
        <w:t>拆分方式</w:t>
      </w:r>
    </w:p>
    <w:p w14:paraId="4100B6F8">
      <w:pPr>
        <w:numPr>
          <w:ilvl w:val="0"/>
          <w:numId w:val="3"/>
        </w:numPr>
        <w:spacing w:line="360" w:lineRule="auto"/>
        <w:ind w:firstLine="420" w:firstLineChars="200"/>
        <w:rPr>
          <w:rFonts w:hint="default" w:ascii="Times New Roman" w:hAnsi="Times New Roman" w:cs="Times New Roman"/>
        </w:rPr>
      </w:pPr>
      <w:r>
        <w:rPr>
          <w:rFonts w:hint="default" w:ascii="Times New Roman" w:hAnsi="Times New Roman" w:cs="Times New Roman"/>
        </w:rPr>
        <w:t>拆分比例份额拆分权益登记日登记在册的基金份额将按1：</w:t>
      </w:r>
      <w:r>
        <w:rPr>
          <w:rFonts w:hint="eastAsia" w:ascii="Times New Roman" w:hAnsi="Times New Roman" w:cs="Times New Roman"/>
          <w:lang w:val="en-US" w:eastAsia="zh-CN"/>
        </w:rPr>
        <w:t>5</w:t>
      </w:r>
      <w:r>
        <w:rPr>
          <w:rFonts w:hint="default" w:ascii="Times New Roman" w:hAnsi="Times New Roman" w:cs="Times New Roman"/>
        </w:rPr>
        <w:t>的拆分比例进行拆分，即每1份基金份额拆成</w:t>
      </w:r>
      <w:r>
        <w:rPr>
          <w:rFonts w:hint="eastAsia" w:ascii="Times New Roman" w:hAnsi="Times New Roman" w:cs="Times New Roman"/>
          <w:lang w:val="en-US" w:eastAsia="zh-CN"/>
        </w:rPr>
        <w:t>5</w:t>
      </w:r>
      <w:r>
        <w:rPr>
          <w:rFonts w:hint="default" w:ascii="Times New Roman" w:hAnsi="Times New Roman" w:cs="Times New Roman"/>
        </w:rPr>
        <w:t>份。</w:t>
      </w:r>
    </w:p>
    <w:p w14:paraId="53BAECFD">
      <w:pPr>
        <w:numPr>
          <w:ilvl w:val="0"/>
          <w:numId w:val="3"/>
        </w:numPr>
        <w:spacing w:line="360" w:lineRule="auto"/>
        <w:ind w:left="0" w:leftChars="0" w:firstLine="420" w:firstLineChars="200"/>
        <w:rPr>
          <w:rFonts w:hint="default" w:ascii="Times New Roman" w:hAnsi="Times New Roman" w:cs="Times New Roman"/>
        </w:rPr>
      </w:pPr>
      <w:r>
        <w:rPr>
          <w:rFonts w:hint="default" w:ascii="Times New Roman" w:hAnsi="Times New Roman" w:cs="Times New Roman"/>
        </w:rPr>
        <w:t>拆分后基金份额的计算公式：</w:t>
      </w:r>
    </w:p>
    <w:p w14:paraId="1ABECF59">
      <w:pPr>
        <w:numPr>
          <w:ilvl w:val="0"/>
          <w:numId w:val="0"/>
        </w:numPr>
        <w:spacing w:line="360" w:lineRule="auto"/>
        <w:ind w:firstLine="420" w:firstLineChars="200"/>
        <w:rPr>
          <w:rFonts w:hint="eastAsia" w:ascii="Times New Roman" w:hAnsi="Times New Roman" w:cs="Times New Roman"/>
          <w:highlight w:val="yellow"/>
          <w:lang w:val="en-US" w:eastAsia="zh-CN"/>
        </w:rPr>
      </w:pPr>
      <w:r>
        <w:rPr>
          <w:rFonts w:hint="default" w:ascii="Times New Roman" w:hAnsi="Times New Roman" w:cs="Times New Roman"/>
        </w:rPr>
        <w:t>拆分后的基金份额数量＝拆分前基金份额</w:t>
      </w:r>
      <w:r>
        <w:rPr>
          <w:rFonts w:hint="eastAsia" w:ascii="Times New Roman" w:hAnsi="Times New Roman" w:cs="Times New Roman"/>
          <w:lang w:val="en-US" w:eastAsia="zh-CN"/>
        </w:rPr>
        <w:t>数量</w:t>
      </w:r>
      <w:r>
        <w:rPr>
          <w:rFonts w:hint="default" w:ascii="Times New Roman" w:hAnsi="Times New Roman" w:cs="Times New Roman"/>
        </w:rPr>
        <w:t>×</w:t>
      </w:r>
      <w:r>
        <w:rPr>
          <w:rFonts w:hint="eastAsia" w:ascii="Times New Roman" w:hAnsi="Times New Roman" w:cs="Times New Roman"/>
          <w:highlight w:val="none"/>
          <w:lang w:val="en-US" w:eastAsia="zh-CN"/>
        </w:rPr>
        <w:t>5</w:t>
      </w:r>
    </w:p>
    <w:p w14:paraId="3EFEAA58">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份额拆分权益登记日日终，本基金</w:t>
      </w:r>
      <w:r>
        <w:rPr>
          <w:rFonts w:hint="eastAsia" w:ascii="Times New Roman" w:hAnsi="Times New Roman" w:cs="Times New Roman"/>
          <w:lang w:val="en-US" w:eastAsia="zh-CN"/>
        </w:rPr>
        <w:t>注册</w:t>
      </w:r>
      <w:r>
        <w:rPr>
          <w:rFonts w:hint="default" w:ascii="Times New Roman" w:hAnsi="Times New Roman" w:cs="Times New Roman"/>
        </w:rPr>
        <w:t>登记机构根据本基金管理人的委托，按照上述拆分比例对该日登记在册的各基金份额持有人持有的本基金基金份额进行拆分并进行变更登记。拆分后的基金份额采用截位法保留至整数位，不足1份部分归入基金资产。</w:t>
      </w:r>
    </w:p>
    <w:p w14:paraId="4D50F125">
      <w:pPr>
        <w:numPr>
          <w:ilvl w:val="0"/>
          <w:numId w:val="2"/>
        </w:numPr>
        <w:spacing w:line="360" w:lineRule="auto"/>
        <w:ind w:left="0" w:leftChars="0" w:firstLine="420" w:firstLineChars="200"/>
        <w:rPr>
          <w:rFonts w:hint="default" w:ascii="Times New Roman" w:hAnsi="Times New Roman" w:cs="Times New Roman"/>
        </w:rPr>
      </w:pPr>
      <w:r>
        <w:rPr>
          <w:rFonts w:hint="default" w:ascii="Times New Roman" w:hAnsi="Times New Roman" w:cs="Times New Roman"/>
        </w:rPr>
        <w:t>拆分后的基金份额净值</w:t>
      </w:r>
    </w:p>
    <w:p w14:paraId="25AF728B">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份额拆分权益登记日（拆分当日）基金份额净值＝份额拆分权益登记日基金资产净值/拆分后的基金份额数量</w:t>
      </w:r>
    </w:p>
    <w:p w14:paraId="696C132A">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拆分后的基金份额净值采用四舍五入法保留到小数点后四位。</w:t>
      </w:r>
    </w:p>
    <w:p w14:paraId="62ECB193">
      <w:pPr>
        <w:numPr>
          <w:ilvl w:val="0"/>
          <w:numId w:val="2"/>
        </w:numPr>
        <w:spacing w:line="360" w:lineRule="auto"/>
        <w:ind w:left="0" w:leftChars="0" w:firstLine="420" w:firstLineChars="200"/>
        <w:rPr>
          <w:rFonts w:hint="default" w:ascii="Times New Roman" w:hAnsi="Times New Roman" w:cs="Times New Roman"/>
        </w:rPr>
      </w:pPr>
      <w:r>
        <w:rPr>
          <w:rFonts w:hint="default" w:ascii="Times New Roman" w:hAnsi="Times New Roman" w:cs="Times New Roman"/>
        </w:rPr>
        <w:t>拆分结果的公告和查询</w:t>
      </w:r>
    </w:p>
    <w:p w14:paraId="5A31CF78">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份额拆分权益登记日的下一工作日，本基金管理人将公告基金份额拆分结果。</w:t>
      </w:r>
      <w:r>
        <w:rPr>
          <w:rFonts w:hint="eastAsia" w:ascii="Times New Roman" w:hAnsi="Times New Roman" w:cs="Times New Roman"/>
          <w:lang w:val="en-US" w:eastAsia="zh-CN"/>
        </w:rPr>
        <w:t>敬请</w:t>
      </w:r>
      <w:r>
        <w:rPr>
          <w:rFonts w:hint="default" w:ascii="Times New Roman" w:hAnsi="Times New Roman" w:cs="Times New Roman"/>
        </w:rPr>
        <w:t>基金份额持有人关注并妥善处置自身权益情况，自</w:t>
      </w:r>
      <w:r>
        <w:rPr>
          <w:rFonts w:hint="eastAsia" w:ascii="Times New Roman" w:hAnsi="Times New Roman" w:cs="Times New Roman"/>
          <w:lang w:val="en-US" w:eastAsia="zh-CN"/>
        </w:rPr>
        <w:t>拆分结果</w:t>
      </w:r>
      <w:r>
        <w:rPr>
          <w:rFonts w:hint="default" w:ascii="Times New Roman" w:hAnsi="Times New Roman" w:cs="Times New Roman"/>
        </w:rPr>
        <w:t>公告当日起</w:t>
      </w:r>
      <w:r>
        <w:rPr>
          <w:rFonts w:hint="eastAsia" w:ascii="Times New Roman" w:hAnsi="Times New Roman" w:cs="Times New Roman"/>
          <w:lang w:val="en-US" w:eastAsia="zh-CN"/>
        </w:rPr>
        <w:t>基金份额持有人可</w:t>
      </w:r>
      <w:r>
        <w:rPr>
          <w:rFonts w:hint="default" w:ascii="Times New Roman" w:hAnsi="Times New Roman" w:cs="Times New Roman"/>
        </w:rPr>
        <w:t>通过其所属销售机构查询拆分后其所持有的</w:t>
      </w:r>
      <w:r>
        <w:rPr>
          <w:rFonts w:hint="eastAsia" w:ascii="Times New Roman" w:hAnsi="Times New Roman" w:cs="Times New Roman"/>
          <w:lang w:val="en-US" w:eastAsia="zh-CN"/>
        </w:rPr>
        <w:t>本基金</w:t>
      </w:r>
      <w:r>
        <w:rPr>
          <w:rFonts w:hint="default" w:ascii="Times New Roman" w:hAnsi="Times New Roman" w:cs="Times New Roman"/>
        </w:rPr>
        <w:t>基金份额。</w:t>
      </w:r>
    </w:p>
    <w:p w14:paraId="63AD2984">
      <w:pPr>
        <w:numPr>
          <w:ilvl w:val="0"/>
          <w:numId w:val="1"/>
        </w:numPr>
        <w:spacing w:line="360" w:lineRule="auto"/>
        <w:ind w:left="0" w:leftChars="0" w:firstLine="422" w:firstLineChars="200"/>
        <w:rPr>
          <w:rFonts w:hint="default" w:ascii="Times New Roman" w:hAnsi="Times New Roman" w:cs="Times New Roman"/>
          <w:b/>
          <w:bCs/>
        </w:rPr>
      </w:pPr>
      <w:r>
        <w:rPr>
          <w:rFonts w:hint="default" w:ascii="Times New Roman" w:hAnsi="Times New Roman" w:cs="Times New Roman"/>
          <w:b/>
          <w:bCs/>
        </w:rPr>
        <w:t>最小申购、赎回单位调整</w:t>
      </w:r>
    </w:p>
    <w:p w14:paraId="4BF27B66">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自2026年</w:t>
      </w:r>
      <w:r>
        <w:rPr>
          <w:rFonts w:hint="eastAsia" w:ascii="Times New Roman" w:hAnsi="Times New Roman"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13</w:t>
      </w:r>
      <w:r>
        <w:rPr>
          <w:rFonts w:hint="default" w:ascii="Times New Roman" w:hAnsi="Times New Roman" w:cs="Times New Roman"/>
        </w:rPr>
        <w:t>日起，本基金最小申购、赎回单位由</w:t>
      </w:r>
      <w:r>
        <w:rPr>
          <w:rFonts w:hint="eastAsia" w:ascii="Times New Roman" w:hAnsi="Times New Roman" w:cs="Times New Roman"/>
          <w:lang w:val="en-US" w:eastAsia="zh-CN"/>
        </w:rPr>
        <w:t>150</w:t>
      </w:r>
      <w:r>
        <w:rPr>
          <w:rFonts w:hint="default" w:ascii="Times New Roman" w:hAnsi="Times New Roman" w:cs="Times New Roman"/>
        </w:rPr>
        <w:t>万份调整为</w:t>
      </w:r>
      <w:r>
        <w:rPr>
          <w:rFonts w:hint="eastAsia" w:ascii="Times New Roman" w:hAnsi="Times New Roman" w:cs="Times New Roman"/>
          <w:lang w:val="en-US" w:eastAsia="zh-CN"/>
        </w:rPr>
        <w:t>500</w:t>
      </w:r>
      <w:r>
        <w:rPr>
          <w:rFonts w:hint="default" w:ascii="Times New Roman" w:hAnsi="Times New Roman" w:cs="Times New Roman"/>
        </w:rPr>
        <w:t>万份。投资者申购、赎回的基金份额需为最小申购、赎回单位的整数倍。</w:t>
      </w:r>
    </w:p>
    <w:p w14:paraId="6CC4329E">
      <w:pPr>
        <w:numPr>
          <w:ilvl w:val="0"/>
          <w:numId w:val="1"/>
        </w:numPr>
        <w:spacing w:line="360" w:lineRule="auto"/>
        <w:ind w:left="0" w:leftChars="0" w:firstLine="422" w:firstLineChars="200"/>
        <w:rPr>
          <w:rFonts w:hint="default" w:ascii="Times New Roman" w:hAnsi="Times New Roman" w:cs="Times New Roman"/>
          <w:b/>
          <w:bCs/>
        </w:rPr>
      </w:pPr>
      <w:r>
        <w:rPr>
          <w:rFonts w:hint="default" w:ascii="Times New Roman" w:hAnsi="Times New Roman" w:cs="Times New Roman"/>
          <w:b/>
          <w:bCs/>
        </w:rPr>
        <w:t>风险提示</w:t>
      </w:r>
    </w:p>
    <w:p w14:paraId="01E3CA7E">
      <w:pPr>
        <w:numPr>
          <w:ilvl w:val="0"/>
          <w:numId w:val="4"/>
        </w:numPr>
        <w:spacing w:line="360" w:lineRule="auto"/>
        <w:ind w:firstLine="420" w:firstLineChars="200"/>
        <w:rPr>
          <w:rFonts w:hint="default" w:ascii="Times New Roman" w:hAnsi="Times New Roman" w:cs="Times New Roman"/>
        </w:rPr>
      </w:pPr>
      <w:r>
        <w:rPr>
          <w:rFonts w:hint="default" w:ascii="Times New Roman" w:hAnsi="Times New Roman" w:cs="Times New Roman"/>
        </w:rPr>
        <w:t>基金份额拆分是在保持现有基金份额持有人资产总值不变的前提下，改变基金份额净值和持有基金份额数额的对应关系，重新列示基金资产的一种方式。基金份额拆分后，本基金的基金份额总额与基金份额持有人持有的基金份额数额将发生调整，但调整后的基金份额持有人持有的基金份额占基金份额总额的比例不发生变化。基金份额拆分对基金份额持有人的权益无实质性影响。基金份额拆分后，基金份额持有人将按照拆分后的基金份额享有权利并承担义务。</w:t>
      </w:r>
    </w:p>
    <w:p w14:paraId="693FEA64">
      <w:pPr>
        <w:numPr>
          <w:ilvl w:val="0"/>
          <w:numId w:val="4"/>
        </w:numPr>
        <w:spacing w:line="360" w:lineRule="auto"/>
        <w:ind w:firstLine="420" w:firstLineChars="200"/>
        <w:rPr>
          <w:rFonts w:hint="default" w:ascii="Times New Roman" w:hAnsi="Times New Roman" w:cs="Times New Roman"/>
        </w:rPr>
      </w:pPr>
      <w:r>
        <w:rPr>
          <w:rFonts w:hint="default" w:ascii="Times New Roman" w:hAnsi="Times New Roman" w:cs="Times New Roman"/>
        </w:rPr>
        <w:t>因基金份额拆分导致基金份额净值变化，不会改变基金的风险收益特征，也不会降低基金投资的风险或提高基金投资的预期收益。</w:t>
      </w:r>
    </w:p>
    <w:p w14:paraId="43852C1F">
      <w:pPr>
        <w:numPr>
          <w:ilvl w:val="0"/>
          <w:numId w:val="4"/>
        </w:numPr>
        <w:spacing w:line="360" w:lineRule="auto"/>
        <w:ind w:firstLine="420" w:firstLineChars="200"/>
        <w:rPr>
          <w:rFonts w:hint="default" w:ascii="Times New Roman" w:hAnsi="Times New Roman" w:cs="Times New Roman"/>
        </w:rPr>
      </w:pPr>
      <w:r>
        <w:rPr>
          <w:rFonts w:hint="default" w:ascii="Times New Roman" w:hAnsi="Times New Roman" w:cs="Times New Roman"/>
        </w:rPr>
        <w:t>投资者申购、赎回的基金份额需为基金最小申购、赎回单位的整数倍。本基金本次份额拆分后，最小申购、赎回单位由</w:t>
      </w:r>
      <w:r>
        <w:rPr>
          <w:rFonts w:hint="eastAsia" w:ascii="Times New Roman" w:hAnsi="Times New Roman" w:cs="Times New Roman"/>
          <w:lang w:val="en-US" w:eastAsia="zh-CN"/>
        </w:rPr>
        <w:t>150</w:t>
      </w:r>
      <w:r>
        <w:rPr>
          <w:rFonts w:hint="default" w:ascii="Times New Roman" w:hAnsi="Times New Roman" w:cs="Times New Roman"/>
        </w:rPr>
        <w:t>万份调整为</w:t>
      </w:r>
      <w:r>
        <w:rPr>
          <w:rFonts w:hint="eastAsia" w:ascii="Times New Roman" w:hAnsi="Times New Roman" w:cs="Times New Roman"/>
          <w:lang w:val="en-US" w:eastAsia="zh-CN"/>
        </w:rPr>
        <w:t>500</w:t>
      </w:r>
      <w:r>
        <w:rPr>
          <w:rFonts w:hint="default" w:ascii="Times New Roman" w:hAnsi="Times New Roman" w:cs="Times New Roman"/>
        </w:rPr>
        <w:t>万份，若投资者持有场内份额小于最小申购、赎回单位，则投资者只能在二级市场卖出场内份额。</w:t>
      </w:r>
    </w:p>
    <w:p w14:paraId="333FDCAF">
      <w:pPr>
        <w:numPr>
          <w:ilvl w:val="0"/>
          <w:numId w:val="4"/>
        </w:numPr>
        <w:spacing w:line="360" w:lineRule="auto"/>
        <w:ind w:firstLine="420" w:firstLineChars="200"/>
        <w:rPr>
          <w:rFonts w:hint="default" w:ascii="Times New Roman" w:hAnsi="Times New Roman" w:cs="Times New Roman"/>
        </w:rPr>
      </w:pPr>
      <w:r>
        <w:rPr>
          <w:rFonts w:hint="default" w:ascii="Times New Roman" w:hAnsi="Times New Roman" w:cs="Times New Roman"/>
        </w:rPr>
        <w:t>本基金管理人承诺以诚实信用、勤勉尽责的原则管理和运用基金资产，但不保证基金一定盈利，也不保证最低收益。投资者投资于本基金管理人管理的基金时应认真阅读基金《基金合同》、《招募说明书》等法律文件，了解基金产品的详细情况，选择与自己风险识别能力和风险承受能力相匹</w:t>
      </w:r>
      <w:bookmarkStart w:id="0" w:name="_GoBack"/>
      <w:bookmarkEnd w:id="0"/>
      <w:r>
        <w:rPr>
          <w:rFonts w:hint="default" w:ascii="Times New Roman" w:hAnsi="Times New Roman" w:cs="Times New Roman"/>
        </w:rPr>
        <w:t>配的基金，并注意投资风险。</w:t>
      </w:r>
    </w:p>
    <w:p w14:paraId="75150DEC">
      <w:pPr>
        <w:numPr>
          <w:ilvl w:val="0"/>
          <w:numId w:val="1"/>
        </w:numPr>
        <w:spacing w:line="360" w:lineRule="auto"/>
        <w:ind w:left="0" w:leftChars="0" w:firstLine="420" w:firstLineChars="200"/>
        <w:rPr>
          <w:rFonts w:hint="default" w:ascii="Times New Roman" w:hAnsi="Times New Roman" w:cs="Times New Roman"/>
        </w:rPr>
      </w:pPr>
      <w:r>
        <w:rPr>
          <w:rFonts w:hint="default" w:ascii="Times New Roman" w:hAnsi="Times New Roman" w:cs="Times New Roman"/>
        </w:rPr>
        <w:t>其他事项</w:t>
      </w:r>
    </w:p>
    <w:p w14:paraId="0F9DC684">
      <w:pPr>
        <w:numPr>
          <w:ilvl w:val="0"/>
          <w:numId w:val="5"/>
        </w:numPr>
        <w:spacing w:line="360" w:lineRule="auto"/>
        <w:ind w:firstLine="420" w:firstLineChars="200"/>
        <w:rPr>
          <w:rFonts w:hint="default" w:ascii="Times New Roman" w:hAnsi="Times New Roman" w:cs="Times New Roman"/>
        </w:rPr>
      </w:pPr>
      <w:r>
        <w:rPr>
          <w:rFonts w:hint="default" w:ascii="Times New Roman" w:hAnsi="Times New Roman" w:cs="Times New Roman"/>
        </w:rPr>
        <w:t>本公告仅对本基金本次份额拆分及调整最小申购、赎回单位的有关事项予以说明。投资者欲了解详细情况，请仔细阅读本基金基金合同、招募说明书（更新）及相关公告。</w:t>
      </w:r>
    </w:p>
    <w:p w14:paraId="54151E51">
      <w:pPr>
        <w:numPr>
          <w:ilvl w:val="0"/>
          <w:numId w:val="5"/>
        </w:numPr>
        <w:spacing w:line="360" w:lineRule="auto"/>
        <w:ind w:firstLine="420" w:firstLineChars="200"/>
        <w:rPr>
          <w:rFonts w:hint="default" w:ascii="Times New Roman" w:hAnsi="Times New Roman" w:cs="Times New Roman"/>
        </w:rPr>
      </w:pPr>
      <w:r>
        <w:rPr>
          <w:rFonts w:hint="default" w:ascii="Times New Roman" w:hAnsi="Times New Roman" w:cs="Times New Roman"/>
        </w:rPr>
        <w:t>本基金管理人可根据实际情况对本基金份额拆分及调整最小申购、赎回单位安排进行适当调整并公告。</w:t>
      </w:r>
    </w:p>
    <w:p w14:paraId="4416FEDD">
      <w:pPr>
        <w:numPr>
          <w:ilvl w:val="0"/>
          <w:numId w:val="5"/>
        </w:numPr>
        <w:spacing w:line="360" w:lineRule="auto"/>
        <w:ind w:firstLine="420" w:firstLineChars="200"/>
        <w:rPr>
          <w:rFonts w:hint="default" w:ascii="Times New Roman" w:hAnsi="Times New Roman" w:cs="Times New Roman"/>
        </w:rPr>
      </w:pPr>
      <w:r>
        <w:rPr>
          <w:rFonts w:hint="default" w:ascii="Times New Roman" w:hAnsi="Times New Roman" w:cs="Times New Roman"/>
        </w:rPr>
        <w:t>投资者可访问本基金管理人网站（https://www.bosera.com）或拨打博时一线通95105568（免长途费）咨询相关事宜。</w:t>
      </w:r>
    </w:p>
    <w:p w14:paraId="55906358">
      <w:pPr>
        <w:numPr>
          <w:ilvl w:val="0"/>
          <w:numId w:val="0"/>
        </w:numPr>
        <w:spacing w:line="360" w:lineRule="auto"/>
        <w:ind w:firstLine="420" w:firstLineChars="200"/>
        <w:rPr>
          <w:rFonts w:hint="default" w:ascii="Times New Roman" w:hAnsi="Times New Roman" w:cs="Times New Roman"/>
        </w:rPr>
      </w:pPr>
      <w:r>
        <w:rPr>
          <w:rFonts w:hint="default" w:ascii="Times New Roman" w:hAnsi="Times New Roman" w:cs="Times New Roman"/>
        </w:rPr>
        <w:t>特此公告。</w:t>
      </w:r>
    </w:p>
    <w:p w14:paraId="6A7D8252">
      <w:pPr>
        <w:numPr>
          <w:ilvl w:val="0"/>
          <w:numId w:val="0"/>
        </w:numPr>
        <w:spacing w:line="360" w:lineRule="auto"/>
        <w:jc w:val="right"/>
        <w:rPr>
          <w:rFonts w:hint="default" w:ascii="Times New Roman" w:hAnsi="Times New Roman" w:cs="Times New Roman"/>
        </w:rPr>
      </w:pPr>
      <w:r>
        <w:rPr>
          <w:rFonts w:hint="eastAsia" w:ascii="Times New Roman" w:hAnsi="Times New Roman" w:cs="Times New Roman"/>
          <w:lang w:val="en-US" w:eastAsia="zh-CN"/>
        </w:rPr>
        <w:t>博时</w:t>
      </w:r>
      <w:r>
        <w:rPr>
          <w:rFonts w:hint="default" w:ascii="Times New Roman" w:hAnsi="Times New Roman" w:cs="Times New Roman"/>
        </w:rPr>
        <w:t>基金管理有限公司</w:t>
      </w:r>
    </w:p>
    <w:p w14:paraId="33EA8583">
      <w:pPr>
        <w:numPr>
          <w:ilvl w:val="0"/>
          <w:numId w:val="0"/>
        </w:numPr>
        <w:spacing w:line="360" w:lineRule="auto"/>
        <w:jc w:val="right"/>
        <w:rPr>
          <w:rFonts w:hint="default" w:ascii="Times New Roman" w:hAnsi="Times New Roman" w:cs="Times New Roman"/>
        </w:rPr>
      </w:pPr>
      <w:r>
        <w:rPr>
          <w:rFonts w:hint="default" w:ascii="Times New Roman" w:hAnsi="Times New Roman" w:cs="Times New Roman"/>
        </w:rPr>
        <w:t>2026年</w:t>
      </w:r>
      <w:r>
        <w:rPr>
          <w:rFonts w:hint="eastAsia" w:ascii="Times New Roman" w:hAnsi="Times New Roman"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7</w:t>
      </w:r>
      <w:r>
        <w:rPr>
          <w:rFonts w:hint="default" w:ascii="Times New Roman" w:hAnsi="Times New Roman" w:cs="Times New Roman"/>
        </w:rPr>
        <w:t>日</w:t>
      </w:r>
    </w:p>
    <w:p w14:paraId="689E563B">
      <w:pPr>
        <w:spacing w:line="360" w:lineRule="auto"/>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C9A5B"/>
    <w:multiLevelType w:val="singleLevel"/>
    <w:tmpl w:val="810C9A5B"/>
    <w:lvl w:ilvl="0" w:tentative="0">
      <w:start w:val="1"/>
      <w:numFmt w:val="decimal"/>
      <w:suff w:val="nothing"/>
      <w:lvlText w:val="（%1）"/>
      <w:lvlJc w:val="left"/>
    </w:lvl>
  </w:abstractNum>
  <w:abstractNum w:abstractNumId="1">
    <w:nsid w:val="B8DF9C59"/>
    <w:multiLevelType w:val="singleLevel"/>
    <w:tmpl w:val="B8DF9C59"/>
    <w:lvl w:ilvl="0" w:tentative="0">
      <w:start w:val="1"/>
      <w:numFmt w:val="decimal"/>
      <w:suff w:val="nothing"/>
      <w:lvlText w:val="%1、"/>
      <w:lvlJc w:val="left"/>
    </w:lvl>
  </w:abstractNum>
  <w:abstractNum w:abstractNumId="2">
    <w:nsid w:val="F9E98C92"/>
    <w:multiLevelType w:val="singleLevel"/>
    <w:tmpl w:val="F9E98C92"/>
    <w:lvl w:ilvl="0" w:tentative="0">
      <w:start w:val="1"/>
      <w:numFmt w:val="chineseCounting"/>
      <w:suff w:val="nothing"/>
      <w:lvlText w:val="%1、"/>
      <w:lvlJc w:val="left"/>
      <w:rPr>
        <w:rFonts w:hint="eastAsia"/>
      </w:rPr>
    </w:lvl>
  </w:abstractNum>
  <w:abstractNum w:abstractNumId="3">
    <w:nsid w:val="FB560B38"/>
    <w:multiLevelType w:val="singleLevel"/>
    <w:tmpl w:val="FB560B38"/>
    <w:lvl w:ilvl="0" w:tentative="0">
      <w:start w:val="1"/>
      <w:numFmt w:val="decimal"/>
      <w:suff w:val="nothing"/>
      <w:lvlText w:val="%1、"/>
      <w:lvlJc w:val="left"/>
    </w:lvl>
  </w:abstractNum>
  <w:abstractNum w:abstractNumId="4">
    <w:nsid w:val="1E9530A1"/>
    <w:multiLevelType w:val="singleLevel"/>
    <w:tmpl w:val="1E9530A1"/>
    <w:lvl w:ilvl="0" w:tentative="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2294"/>
    <w:rsid w:val="0427487A"/>
    <w:rsid w:val="0512223F"/>
    <w:rsid w:val="0D6F739F"/>
    <w:rsid w:val="12721536"/>
    <w:rsid w:val="214C12E1"/>
    <w:rsid w:val="2A570957"/>
    <w:rsid w:val="3B6C6355"/>
    <w:rsid w:val="3F92083D"/>
    <w:rsid w:val="466C3B3E"/>
    <w:rsid w:val="47287DC3"/>
    <w:rsid w:val="488D5371"/>
    <w:rsid w:val="5CF12B2D"/>
    <w:rsid w:val="5DFD2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35</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2026-06-30T03:24:00Z</dcterms:created>
  <dc:creator>zhouhy</dc:creator>
  <cp:lastModifiedBy>zhouhy</cp:lastModifiedBy>
  <dcterms:modified xsi:type="dcterms:W3CDTF">2026-07-02T08:01:20Z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F5F5977D521D476691DCF453A7ED5953_12</vt:lpwstr>
  </property>
</Properties>
</file>