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69F23">
      <w:pPr>
        <w:widowControl/>
        <w:jc w:val="left"/>
        <w:rPr>
          <w:rFonts w:ascii="宋体" w:hAnsi="宋体" w:eastAsia="宋体"/>
          <w:sz w:val="30"/>
        </w:rPr>
      </w:pPr>
    </w:p>
    <w:p w14:paraId="57B9A18C">
      <w:pPr>
        <w:widowControl/>
        <w:jc w:val="left"/>
        <w:rPr>
          <w:rFonts w:ascii="宋体" w:hAnsi="宋体" w:eastAsia="宋体"/>
          <w:sz w:val="30"/>
        </w:rPr>
      </w:pPr>
    </w:p>
    <w:p w14:paraId="0773B649">
      <w:pPr>
        <w:widowControl/>
        <w:jc w:val="left"/>
        <w:rPr>
          <w:rFonts w:ascii="宋体" w:hAnsi="宋体" w:eastAsia="宋体"/>
          <w:sz w:val="30"/>
        </w:rPr>
      </w:pPr>
    </w:p>
    <w:p w14:paraId="1FD1B92C">
      <w:pPr>
        <w:widowControl/>
        <w:jc w:val="left"/>
        <w:rPr>
          <w:rFonts w:ascii="宋体" w:hAnsi="宋体" w:eastAsia="宋体"/>
          <w:sz w:val="30"/>
        </w:rPr>
      </w:pPr>
    </w:p>
    <w:p w14:paraId="6498B140">
      <w:pPr>
        <w:widowControl/>
        <w:spacing w:line="800" w:lineRule="exact"/>
        <w:jc w:val="center"/>
        <w:rPr>
          <w:rFonts w:hint="eastAsia" w:ascii="宋体" w:hAnsi="宋体" w:eastAsia="宋体"/>
          <w:b/>
          <w:sz w:val="52"/>
          <w:lang w:eastAsia="zh-CN"/>
        </w:rPr>
      </w:pPr>
      <w:r>
        <w:rPr>
          <w:rFonts w:hint="eastAsia" w:ascii="宋体" w:hAnsi="宋体" w:eastAsia="宋体"/>
          <w:b/>
          <w:sz w:val="52"/>
          <w:lang w:eastAsia="zh-CN"/>
        </w:rPr>
        <w:t>博时国证粮食产业交易型开放式指数证券投资基金发起式联接基金</w:t>
      </w:r>
    </w:p>
    <w:p w14:paraId="0524B618">
      <w:pPr>
        <w:widowControl/>
        <w:spacing w:line="800" w:lineRule="exact"/>
        <w:jc w:val="center"/>
        <w:rPr>
          <w:rFonts w:hint="eastAsia" w:ascii="宋体" w:hAnsi="宋体" w:eastAsia="宋体"/>
          <w:b/>
          <w:sz w:val="52"/>
        </w:rPr>
      </w:pPr>
      <w:r>
        <w:rPr>
          <w:rFonts w:hint="eastAsia" w:ascii="宋体" w:hAnsi="宋体" w:eastAsia="宋体"/>
          <w:b/>
          <w:sz w:val="52"/>
        </w:rPr>
        <w:t>更新招募说明书</w:t>
      </w:r>
    </w:p>
    <w:p w14:paraId="22EEC18C">
      <w:pPr>
        <w:widowControl/>
        <w:spacing w:line="800" w:lineRule="exact"/>
        <w:jc w:val="center"/>
        <w:rPr>
          <w:rFonts w:hint="eastAsia" w:ascii="宋体" w:hAnsi="宋体" w:eastAsia="宋体"/>
          <w:b/>
          <w:sz w:val="52"/>
        </w:rPr>
      </w:pPr>
      <w:r>
        <w:rPr>
          <w:rFonts w:hint="eastAsia" w:ascii="Times New Roman" w:hAnsi="Times New Roman" w:cs="Times New Roman"/>
          <w:b/>
          <w:bCs w:val="0"/>
          <w:sz w:val="36"/>
          <w:szCs w:val="36"/>
          <w:lang w:val="en-US" w:eastAsia="zh-CN"/>
        </w:rPr>
        <w:t>（由博时国证粮食产业指数型发起式证券投资基金变更而来）</w:t>
      </w:r>
    </w:p>
    <w:p w14:paraId="5527D468">
      <w:pPr>
        <w:widowControl/>
        <w:spacing w:line="800" w:lineRule="exact"/>
        <w:jc w:val="center"/>
        <w:rPr>
          <w:rFonts w:ascii="宋体" w:hAnsi="宋体" w:eastAsia="宋体"/>
          <w:b/>
          <w:sz w:val="52"/>
        </w:rPr>
      </w:pPr>
    </w:p>
    <w:p w14:paraId="7D2DFD58">
      <w:pPr>
        <w:widowControl/>
        <w:spacing w:line="800" w:lineRule="exact"/>
        <w:jc w:val="center"/>
        <w:rPr>
          <w:rFonts w:ascii="宋体" w:hAnsi="宋体" w:eastAsia="宋体"/>
          <w:b/>
          <w:sz w:val="52"/>
        </w:rPr>
      </w:pPr>
    </w:p>
    <w:p w14:paraId="00042539">
      <w:pPr>
        <w:widowControl/>
        <w:spacing w:line="800" w:lineRule="exact"/>
        <w:jc w:val="center"/>
        <w:rPr>
          <w:rFonts w:ascii="宋体" w:hAnsi="宋体" w:eastAsia="宋体"/>
          <w:b/>
          <w:sz w:val="52"/>
        </w:rPr>
      </w:pPr>
    </w:p>
    <w:p w14:paraId="1F3430A8">
      <w:pPr>
        <w:widowControl/>
        <w:spacing w:line="800" w:lineRule="exact"/>
        <w:jc w:val="center"/>
        <w:rPr>
          <w:rFonts w:ascii="宋体" w:hAnsi="宋体" w:eastAsia="宋体"/>
          <w:b/>
          <w:sz w:val="52"/>
        </w:rPr>
      </w:pPr>
    </w:p>
    <w:p w14:paraId="30CD512A">
      <w:pPr>
        <w:widowControl/>
        <w:spacing w:line="800" w:lineRule="exact"/>
        <w:jc w:val="center"/>
        <w:rPr>
          <w:rFonts w:ascii="宋体" w:hAnsi="宋体" w:eastAsia="宋体"/>
          <w:b/>
          <w:sz w:val="52"/>
        </w:rPr>
      </w:pPr>
    </w:p>
    <w:p w14:paraId="1174F3E3">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07524040">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兴业银行股份有限公司</w:t>
      </w:r>
      <w:r>
        <w:rPr>
          <w:rFonts w:ascii="宋体" w:hAnsi="宋体" w:eastAsia="宋体"/>
          <w:b/>
          <w:sz w:val="30"/>
        </w:rPr>
        <w:br w:type="page"/>
      </w:r>
    </w:p>
    <w:p w14:paraId="7D8ACE55">
      <w:pPr>
        <w:pStyle w:val="2"/>
        <w:jc w:val="center"/>
        <w:rPr>
          <w:rFonts w:ascii="宋体" w:hAnsi="宋体" w:eastAsia="宋体"/>
          <w:sz w:val="30"/>
        </w:rPr>
      </w:pPr>
      <w:bookmarkStart w:id="0" w:name="_Toc207939896"/>
      <w:r>
        <w:rPr>
          <w:rFonts w:hint="eastAsia" w:ascii="宋体" w:hAnsi="宋体" w:eastAsia="宋体"/>
          <w:sz w:val="30"/>
        </w:rPr>
        <w:t>【重要提示】</w:t>
      </w:r>
      <w:bookmarkEnd w:id="0"/>
    </w:p>
    <w:p w14:paraId="6616740C">
      <w:pPr>
        <w:pStyle w:val="8"/>
        <w:spacing w:before="0" w:beforeAutospacing="0" w:after="0" w:afterAutospacing="0" w:line="360" w:lineRule="auto"/>
        <w:ind w:firstLine="420"/>
        <w:rPr>
          <w:sz w:val="21"/>
          <w:szCs w:val="21"/>
        </w:rPr>
      </w:pPr>
      <w:r>
        <w:rPr>
          <w:rFonts w:hint="eastAsia"/>
          <w:sz w:val="21"/>
          <w:szCs w:val="21"/>
          <w:lang w:eastAsia="zh-CN"/>
        </w:rPr>
        <w:t>博时国证粮食产业交易型开放式指数证券投资基金发起式联接基金</w:t>
      </w:r>
      <w:r>
        <w:rPr>
          <w:rFonts w:hint="eastAsia"/>
          <w:sz w:val="21"/>
          <w:szCs w:val="21"/>
        </w:rPr>
        <w:t>（以下简称“本基金”）由</w:t>
      </w:r>
      <w:r>
        <w:rPr>
          <w:rFonts w:hint="eastAsia"/>
          <w:sz w:val="21"/>
          <w:szCs w:val="21"/>
          <w:lang w:eastAsia="zh-CN"/>
        </w:rPr>
        <w:t>博时国证粮食产业指数型发起式证券投资基金</w:t>
      </w:r>
      <w:r>
        <w:rPr>
          <w:rFonts w:hint="eastAsia"/>
          <w:sz w:val="21"/>
          <w:szCs w:val="21"/>
        </w:rPr>
        <w:t>变更而来。</w:t>
      </w:r>
      <w:r>
        <w:rPr>
          <w:rFonts w:hint="eastAsia"/>
          <w:sz w:val="21"/>
          <w:szCs w:val="21"/>
          <w:lang w:eastAsia="zh-CN"/>
        </w:rPr>
        <w:t>博时国证粮食产业指数型发起式证券投资基金</w:t>
      </w:r>
      <w:r>
        <w:rPr>
          <w:rFonts w:hint="eastAsia"/>
          <w:sz w:val="21"/>
          <w:szCs w:val="21"/>
        </w:rPr>
        <w:t>经中国证券监督管理委员会（以下简称“中国证监会”）2024年1月12日证监许可【2024】70号文注册募集，《</w:t>
      </w:r>
      <w:r>
        <w:rPr>
          <w:rFonts w:hint="eastAsia"/>
          <w:sz w:val="21"/>
          <w:szCs w:val="21"/>
          <w:lang w:eastAsia="zh-CN"/>
        </w:rPr>
        <w:t>博时国证粮食产业指数型发起式证券投资基金</w:t>
      </w:r>
      <w:r>
        <w:rPr>
          <w:rFonts w:hint="eastAsia"/>
          <w:sz w:val="21"/>
          <w:szCs w:val="21"/>
        </w:rPr>
        <w:t>基金合同》于202</w:t>
      </w:r>
      <w:r>
        <w:rPr>
          <w:rFonts w:hint="eastAsia"/>
          <w:sz w:val="21"/>
          <w:szCs w:val="21"/>
          <w:lang w:val="en-US" w:eastAsia="zh-CN"/>
        </w:rPr>
        <w:t>4</w:t>
      </w:r>
      <w:r>
        <w:rPr>
          <w:rFonts w:hint="eastAsia"/>
          <w:sz w:val="21"/>
          <w:szCs w:val="21"/>
        </w:rPr>
        <w:t>年</w:t>
      </w:r>
      <w:r>
        <w:rPr>
          <w:rFonts w:hint="eastAsia"/>
          <w:sz w:val="21"/>
          <w:szCs w:val="21"/>
          <w:lang w:val="en-US" w:eastAsia="zh-CN"/>
        </w:rPr>
        <w:t>4</w:t>
      </w:r>
      <w:r>
        <w:rPr>
          <w:rFonts w:hint="eastAsia"/>
          <w:sz w:val="21"/>
          <w:szCs w:val="21"/>
        </w:rPr>
        <w:t>月</w:t>
      </w:r>
      <w:r>
        <w:rPr>
          <w:rFonts w:hint="eastAsia"/>
          <w:sz w:val="21"/>
          <w:szCs w:val="21"/>
          <w:lang w:val="en-US" w:eastAsia="zh-CN"/>
        </w:rPr>
        <w:t>9</w:t>
      </w:r>
      <w:r>
        <w:rPr>
          <w:rFonts w:hint="eastAsia"/>
          <w:sz w:val="21"/>
          <w:szCs w:val="21"/>
        </w:rPr>
        <w:t>日生效。</w:t>
      </w:r>
      <w:r>
        <w:rPr>
          <w:rFonts w:hint="eastAsia"/>
          <w:sz w:val="21"/>
          <w:szCs w:val="21"/>
          <w:highlight w:val="none"/>
        </w:rPr>
        <w:t>自</w:t>
      </w:r>
      <w:r>
        <w:rPr>
          <w:sz w:val="21"/>
          <w:szCs w:val="21"/>
          <w:highlight w:val="none"/>
        </w:rPr>
        <w:t>2026</w:t>
      </w:r>
      <w:r>
        <w:rPr>
          <w:rFonts w:hint="eastAsia"/>
          <w:sz w:val="21"/>
          <w:szCs w:val="21"/>
          <w:highlight w:val="none"/>
        </w:rPr>
        <w:t>年</w:t>
      </w:r>
      <w:r>
        <w:rPr>
          <w:rFonts w:hint="eastAsia"/>
          <w:sz w:val="21"/>
          <w:szCs w:val="21"/>
          <w:highlight w:val="none"/>
          <w:lang w:val="en-US" w:eastAsia="zh-CN"/>
        </w:rPr>
        <w:t>6月3日</w:t>
      </w:r>
      <w:r>
        <w:rPr>
          <w:rFonts w:hint="eastAsia"/>
          <w:sz w:val="21"/>
          <w:szCs w:val="21"/>
          <w:highlight w:val="none"/>
        </w:rPr>
        <w:t>起</w:t>
      </w:r>
      <w:r>
        <w:rPr>
          <w:rFonts w:hint="eastAsia"/>
          <w:sz w:val="21"/>
          <w:szCs w:val="21"/>
        </w:rPr>
        <w:t>，《</w:t>
      </w:r>
      <w:r>
        <w:rPr>
          <w:rFonts w:hint="eastAsia"/>
          <w:sz w:val="21"/>
          <w:szCs w:val="21"/>
          <w:lang w:eastAsia="zh-CN"/>
        </w:rPr>
        <w:t>博时国证粮食产业交易型开放式指数证券投资基金发起式联接基金</w:t>
      </w:r>
      <w:r>
        <w:rPr>
          <w:rFonts w:hint="eastAsia"/>
          <w:sz w:val="21"/>
          <w:szCs w:val="21"/>
        </w:rPr>
        <w:t>基金合同》生效，原《</w:t>
      </w:r>
      <w:r>
        <w:rPr>
          <w:rFonts w:hint="eastAsia"/>
          <w:sz w:val="21"/>
          <w:szCs w:val="21"/>
          <w:lang w:eastAsia="zh-CN"/>
        </w:rPr>
        <w:t>博时国证粮食产业指数型发起式证券投资基金</w:t>
      </w:r>
      <w:r>
        <w:rPr>
          <w:rFonts w:hint="eastAsia"/>
          <w:sz w:val="21"/>
          <w:szCs w:val="21"/>
        </w:rPr>
        <w:t>基金合同》失效。基金管理人保证招募说明书的内容真实、准确、完整。本招募说明书经中国证监会注册，但中国证监会对</w:t>
      </w:r>
      <w:r>
        <w:rPr>
          <w:rFonts w:hint="eastAsia"/>
          <w:sz w:val="21"/>
          <w:szCs w:val="21"/>
          <w:lang w:eastAsia="zh-CN"/>
        </w:rPr>
        <w:t>博时国证粮食产业指数型发起式证券投资基金</w:t>
      </w:r>
      <w:r>
        <w:rPr>
          <w:rFonts w:hint="eastAsia"/>
          <w:sz w:val="21"/>
          <w:szCs w:val="21"/>
        </w:rPr>
        <w:t>募集的注册，并不表明其对本基金的投资价值、市场前景和收益做出实质性判断或保证，也不表明投资于本基金没有风险。</w:t>
      </w:r>
    </w:p>
    <w:p w14:paraId="5069D0AD">
      <w:pPr>
        <w:pStyle w:val="8"/>
        <w:spacing w:before="0" w:beforeAutospacing="0" w:after="0" w:afterAutospacing="0" w:line="360" w:lineRule="auto"/>
        <w:ind w:firstLine="420"/>
        <w:rPr>
          <w:sz w:val="21"/>
          <w:szCs w:val="21"/>
        </w:rPr>
      </w:pPr>
      <w:r>
        <w:rPr>
          <w:rFonts w:hint="eastAsia"/>
          <w:sz w:val="21"/>
          <w:szCs w:val="21"/>
        </w:rPr>
        <w:t>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w:t>
      </w:r>
    </w:p>
    <w:p w14:paraId="2BD117B5">
      <w:pPr>
        <w:pStyle w:val="8"/>
        <w:spacing w:before="0" w:beforeAutospacing="0" w:after="0" w:afterAutospacing="0" w:line="360" w:lineRule="auto"/>
        <w:ind w:firstLine="420"/>
        <w:rPr>
          <w:sz w:val="21"/>
          <w:szCs w:val="21"/>
        </w:rPr>
      </w:pPr>
      <w:r>
        <w:rPr>
          <w:rFonts w:hint="eastAsia"/>
          <w:sz w:val="21"/>
          <w:szCs w:val="21"/>
        </w:rPr>
        <w:t>本基金投资于博时</w:t>
      </w:r>
      <w:r>
        <w:rPr>
          <w:rFonts w:hint="eastAsia"/>
          <w:sz w:val="21"/>
          <w:szCs w:val="21"/>
          <w:lang w:eastAsia="zh-CN"/>
        </w:rPr>
        <w:t>国证粮食产业</w:t>
      </w:r>
      <w:r>
        <w:rPr>
          <w:rFonts w:hint="eastAsia"/>
          <w:sz w:val="21"/>
          <w:szCs w:val="21"/>
        </w:rPr>
        <w:t>交易型开放式指数证券投资基金（以下简称“目标ETF”）基金份额及证券市场，基金净值会因为目标ETF及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等。</w:t>
      </w:r>
    </w:p>
    <w:p w14:paraId="33F87749">
      <w:pPr>
        <w:pStyle w:val="8"/>
        <w:spacing w:before="0" w:beforeAutospacing="0" w:after="0" w:afterAutospacing="0" w:line="360" w:lineRule="auto"/>
        <w:ind w:firstLine="420"/>
        <w:rPr>
          <w:sz w:val="21"/>
          <w:szCs w:val="21"/>
        </w:rPr>
      </w:pPr>
      <w:r>
        <w:rPr>
          <w:rFonts w:hint="eastAsia"/>
          <w:sz w:val="21"/>
          <w:szCs w:val="21"/>
        </w:rPr>
        <w:t>本基金为ETF联接基金，通过投资于目标ETF跟踪标的指数表现，具有与标的指数以及标的指数所代表的证券市场相似的风险收益特征。同时，本基金为被动式投资的股票型指数基金，跟踪</w:t>
      </w:r>
      <w:r>
        <w:rPr>
          <w:rFonts w:hint="eastAsia"/>
          <w:sz w:val="21"/>
          <w:szCs w:val="21"/>
          <w:lang w:eastAsia="zh-CN"/>
        </w:rPr>
        <w:t>国证粮食</w:t>
      </w:r>
      <w:r>
        <w:rPr>
          <w:rFonts w:hint="eastAsia"/>
          <w:sz w:val="21"/>
          <w:szCs w:val="21"/>
        </w:rPr>
        <w:t>产业指数，其预期风险与预期收益高于债券型基金、混合型基金、货币市场基金。</w:t>
      </w:r>
    </w:p>
    <w:p w14:paraId="64C6428C">
      <w:pPr>
        <w:pStyle w:val="8"/>
        <w:spacing w:before="0" w:beforeAutospacing="0" w:after="0" w:afterAutospacing="0" w:line="360" w:lineRule="auto"/>
        <w:ind w:firstLine="420"/>
        <w:rPr>
          <w:rFonts w:hint="eastAsia"/>
          <w:sz w:val="21"/>
          <w:szCs w:val="21"/>
        </w:rPr>
      </w:pPr>
      <w:r>
        <w:rPr>
          <w:rFonts w:hint="eastAsia"/>
          <w:sz w:val="21"/>
          <w:szCs w:val="21"/>
        </w:rPr>
        <w:t>本基金主要投资于目标ETF、标的指数成份股和备选成份股（含存托凭证），投资者投资于本基金面临跟踪误差控制未达约定目标、指数编制机构停止服务、成份股停牌或退市等潜在风险，具体风险详见本招募说明书“风险揭示”部分。</w:t>
      </w:r>
    </w:p>
    <w:p w14:paraId="1B146F15">
      <w:pPr>
        <w:pStyle w:val="8"/>
        <w:spacing w:before="0" w:beforeAutospacing="0" w:after="0" w:afterAutospacing="0" w:line="360" w:lineRule="auto"/>
        <w:ind w:firstLine="420"/>
        <w:rPr>
          <w:rFonts w:hint="eastAsia"/>
          <w:sz w:val="21"/>
          <w:szCs w:val="21"/>
        </w:rPr>
      </w:pPr>
      <w:r>
        <w:rPr>
          <w:rFonts w:hint="eastAsia"/>
          <w:sz w:val="21"/>
          <w:szCs w:val="21"/>
        </w:rPr>
        <w:t>由于主要投资于目标ETF，所以本基金会面临诸如目标ETF的管理风险与操作风险、目标ETF基金份额二级市场交易价格折溢价的风险、目标ETF的技术风险等风险。</w:t>
      </w:r>
    </w:p>
    <w:p w14:paraId="1465B683">
      <w:pPr>
        <w:pStyle w:val="8"/>
        <w:spacing w:before="0" w:beforeAutospacing="0" w:after="0" w:afterAutospacing="0" w:line="360" w:lineRule="auto"/>
        <w:ind w:firstLine="420"/>
        <w:rPr>
          <w:sz w:val="21"/>
          <w:szCs w:val="21"/>
        </w:rPr>
      </w:pPr>
      <w:r>
        <w:rPr>
          <w:rFonts w:hint="eastAsia"/>
          <w:sz w:val="21"/>
          <w:szCs w:val="21"/>
        </w:rPr>
        <w:t>本基金的标的指数为国证粮食产业指数，编制方案如下：</w:t>
      </w:r>
    </w:p>
    <w:p w14:paraId="3A1E4173">
      <w:pPr>
        <w:pStyle w:val="8"/>
        <w:spacing w:before="0" w:beforeAutospacing="0" w:after="0" w:afterAutospacing="0" w:line="360" w:lineRule="auto"/>
        <w:ind w:firstLine="420"/>
        <w:rPr>
          <w:sz w:val="21"/>
          <w:szCs w:val="21"/>
        </w:rPr>
      </w:pPr>
      <w:r>
        <w:rPr>
          <w:rFonts w:hint="eastAsia"/>
          <w:sz w:val="21"/>
          <w:szCs w:val="21"/>
        </w:rPr>
        <w:t>（1）代码与名称</w:t>
      </w:r>
    </w:p>
    <w:p w14:paraId="4F1D8A60">
      <w:pPr>
        <w:pStyle w:val="8"/>
        <w:spacing w:before="0" w:beforeAutospacing="0" w:after="0" w:afterAutospacing="0" w:line="360" w:lineRule="auto"/>
        <w:ind w:firstLine="420"/>
        <w:rPr>
          <w:sz w:val="21"/>
          <w:szCs w:val="21"/>
        </w:rPr>
      </w:pPr>
      <w:r>
        <w:rPr>
          <w:rFonts w:hint="eastAsia"/>
          <w:sz w:val="21"/>
          <w:szCs w:val="21"/>
        </w:rPr>
        <w:t>指数名称：国证粮食产业指数</w:t>
      </w:r>
    </w:p>
    <w:p w14:paraId="7DACB7C9">
      <w:pPr>
        <w:pStyle w:val="8"/>
        <w:spacing w:before="0" w:beforeAutospacing="0" w:after="0" w:afterAutospacing="0" w:line="360" w:lineRule="auto"/>
        <w:ind w:firstLine="420"/>
        <w:rPr>
          <w:sz w:val="21"/>
          <w:szCs w:val="21"/>
        </w:rPr>
      </w:pPr>
      <w:r>
        <w:rPr>
          <w:rFonts w:hint="eastAsia"/>
          <w:sz w:val="21"/>
          <w:szCs w:val="21"/>
        </w:rPr>
        <w:t>指数简称：国证粮食</w:t>
      </w:r>
    </w:p>
    <w:p w14:paraId="5B3D8AD7">
      <w:pPr>
        <w:pStyle w:val="8"/>
        <w:spacing w:before="0" w:beforeAutospacing="0" w:after="0" w:afterAutospacing="0" w:line="360" w:lineRule="auto"/>
        <w:ind w:firstLine="420"/>
        <w:rPr>
          <w:sz w:val="21"/>
          <w:szCs w:val="21"/>
        </w:rPr>
      </w:pPr>
      <w:r>
        <w:rPr>
          <w:rFonts w:hint="eastAsia"/>
          <w:sz w:val="21"/>
          <w:szCs w:val="21"/>
        </w:rPr>
        <w:t>英文名称：CNI Grain Industry Index</w:t>
      </w:r>
    </w:p>
    <w:p w14:paraId="20FB9E60">
      <w:pPr>
        <w:pStyle w:val="8"/>
        <w:spacing w:before="0" w:beforeAutospacing="0" w:after="0" w:afterAutospacing="0" w:line="360" w:lineRule="auto"/>
        <w:ind w:firstLine="420"/>
        <w:rPr>
          <w:sz w:val="21"/>
          <w:szCs w:val="21"/>
        </w:rPr>
      </w:pPr>
      <w:r>
        <w:rPr>
          <w:rFonts w:hint="eastAsia"/>
          <w:sz w:val="21"/>
          <w:szCs w:val="21"/>
        </w:rPr>
        <w:t>英文简称：CNI Grain</w:t>
      </w:r>
    </w:p>
    <w:p w14:paraId="0F66F105">
      <w:pPr>
        <w:pStyle w:val="8"/>
        <w:spacing w:before="0" w:beforeAutospacing="0" w:after="0" w:afterAutospacing="0" w:line="360" w:lineRule="auto"/>
        <w:ind w:firstLine="420"/>
        <w:rPr>
          <w:sz w:val="21"/>
          <w:szCs w:val="21"/>
        </w:rPr>
      </w:pPr>
      <w:r>
        <w:rPr>
          <w:rFonts w:hint="eastAsia"/>
          <w:sz w:val="21"/>
          <w:szCs w:val="21"/>
        </w:rPr>
        <w:t>指数代码：399365</w:t>
      </w:r>
    </w:p>
    <w:p w14:paraId="0A16A837">
      <w:pPr>
        <w:pStyle w:val="8"/>
        <w:spacing w:before="0" w:beforeAutospacing="0" w:after="0" w:afterAutospacing="0" w:line="360" w:lineRule="auto"/>
        <w:ind w:firstLine="420"/>
        <w:rPr>
          <w:sz w:val="21"/>
          <w:szCs w:val="21"/>
        </w:rPr>
      </w:pPr>
      <w:r>
        <w:rPr>
          <w:rFonts w:hint="eastAsia"/>
          <w:sz w:val="21"/>
          <w:szCs w:val="21"/>
        </w:rPr>
        <w:t>（2）选样空间</w:t>
      </w:r>
    </w:p>
    <w:p w14:paraId="09E78FD9">
      <w:pPr>
        <w:pStyle w:val="8"/>
        <w:spacing w:before="0" w:beforeAutospacing="0" w:after="0" w:afterAutospacing="0" w:line="360" w:lineRule="auto"/>
        <w:ind w:firstLine="420"/>
        <w:rPr>
          <w:sz w:val="21"/>
          <w:szCs w:val="21"/>
        </w:rPr>
      </w:pPr>
      <w:r>
        <w:rPr>
          <w:rFonts w:hint="eastAsia"/>
          <w:sz w:val="21"/>
          <w:szCs w:val="21"/>
        </w:rPr>
        <w:t>满足下列条件的A股和红筹企业发行的存托凭证：</w:t>
      </w:r>
    </w:p>
    <w:p w14:paraId="6D2B3C07">
      <w:pPr>
        <w:pStyle w:val="8"/>
        <w:spacing w:before="0" w:beforeAutospacing="0" w:after="0" w:afterAutospacing="0" w:line="360" w:lineRule="auto"/>
        <w:ind w:firstLine="420"/>
        <w:rPr>
          <w:sz w:val="21"/>
          <w:szCs w:val="21"/>
        </w:rPr>
      </w:pPr>
      <w:r>
        <w:rPr>
          <w:rFonts w:hint="eastAsia"/>
          <w:sz w:val="21"/>
          <w:szCs w:val="21"/>
        </w:rPr>
        <w:t>1.非ST、*ST证券；</w:t>
      </w:r>
    </w:p>
    <w:p w14:paraId="5BACE95A">
      <w:pPr>
        <w:pStyle w:val="8"/>
        <w:spacing w:before="0" w:beforeAutospacing="0" w:after="0" w:afterAutospacing="0" w:line="360" w:lineRule="auto"/>
        <w:ind w:firstLine="420"/>
        <w:rPr>
          <w:sz w:val="21"/>
          <w:szCs w:val="21"/>
        </w:rPr>
      </w:pPr>
      <w:r>
        <w:rPr>
          <w:rFonts w:hint="eastAsia"/>
          <w:sz w:val="21"/>
          <w:szCs w:val="21"/>
        </w:rPr>
        <w:t>2.科创板证券、北交所证券上市时间超过1年；其他证券上市时间超过6个月；</w:t>
      </w:r>
    </w:p>
    <w:p w14:paraId="397EEF97">
      <w:pPr>
        <w:pStyle w:val="8"/>
        <w:spacing w:before="0" w:beforeAutospacing="0" w:after="0" w:afterAutospacing="0" w:line="360" w:lineRule="auto"/>
        <w:ind w:firstLine="420"/>
        <w:rPr>
          <w:sz w:val="21"/>
          <w:szCs w:val="21"/>
        </w:rPr>
      </w:pPr>
      <w:r>
        <w:rPr>
          <w:rFonts w:hint="eastAsia"/>
          <w:sz w:val="21"/>
          <w:szCs w:val="21"/>
        </w:rPr>
        <w:t>3.公司最近一年无重大违规、财务报告无重大问题；</w:t>
      </w:r>
    </w:p>
    <w:p w14:paraId="34C4A0BB">
      <w:pPr>
        <w:pStyle w:val="8"/>
        <w:spacing w:before="0" w:beforeAutospacing="0" w:after="0" w:afterAutospacing="0" w:line="360" w:lineRule="auto"/>
        <w:ind w:firstLine="420"/>
        <w:rPr>
          <w:sz w:val="21"/>
          <w:szCs w:val="21"/>
        </w:rPr>
      </w:pPr>
      <w:r>
        <w:rPr>
          <w:rFonts w:hint="eastAsia"/>
          <w:sz w:val="21"/>
          <w:szCs w:val="21"/>
        </w:rPr>
        <w:t>4.公司最近一年经营无异常、无重大亏损；</w:t>
      </w:r>
    </w:p>
    <w:p w14:paraId="59EE6764">
      <w:pPr>
        <w:pStyle w:val="8"/>
        <w:spacing w:before="0" w:beforeAutospacing="0" w:after="0" w:afterAutospacing="0" w:line="360" w:lineRule="auto"/>
        <w:ind w:firstLine="420"/>
        <w:rPr>
          <w:sz w:val="21"/>
          <w:szCs w:val="21"/>
        </w:rPr>
      </w:pPr>
      <w:r>
        <w:rPr>
          <w:rFonts w:hint="eastAsia"/>
          <w:sz w:val="21"/>
          <w:szCs w:val="21"/>
        </w:rPr>
        <w:t>5.考察期内证券价格无异常波动；</w:t>
      </w:r>
    </w:p>
    <w:p w14:paraId="21286F02">
      <w:pPr>
        <w:pStyle w:val="8"/>
        <w:spacing w:before="0" w:beforeAutospacing="0" w:after="0" w:afterAutospacing="0" w:line="360" w:lineRule="auto"/>
        <w:ind w:firstLine="420"/>
        <w:rPr>
          <w:sz w:val="21"/>
          <w:szCs w:val="21"/>
        </w:rPr>
      </w:pPr>
      <w:r>
        <w:rPr>
          <w:rFonts w:hint="eastAsia"/>
          <w:sz w:val="21"/>
          <w:szCs w:val="21"/>
        </w:rPr>
        <w:t>6.公司业务范畴属于粮食产业，包括农资产品（种子、化肥、农药、农业机械）、粮食种植、农田水利、粮油加工及产品贸易等领域。</w:t>
      </w:r>
    </w:p>
    <w:p w14:paraId="040FDA8D">
      <w:pPr>
        <w:pStyle w:val="8"/>
        <w:spacing w:before="0" w:beforeAutospacing="0" w:after="0" w:afterAutospacing="0" w:line="360" w:lineRule="auto"/>
        <w:ind w:firstLine="420"/>
        <w:rPr>
          <w:sz w:val="21"/>
          <w:szCs w:val="21"/>
        </w:rPr>
      </w:pPr>
      <w:r>
        <w:rPr>
          <w:rFonts w:hint="eastAsia"/>
          <w:sz w:val="21"/>
          <w:szCs w:val="21"/>
        </w:rPr>
        <w:t>（3）选样方法</w:t>
      </w:r>
    </w:p>
    <w:p w14:paraId="5FDD5E2C">
      <w:pPr>
        <w:pStyle w:val="8"/>
        <w:spacing w:before="0" w:beforeAutospacing="0" w:after="0" w:afterAutospacing="0" w:line="360" w:lineRule="auto"/>
        <w:ind w:firstLine="420"/>
        <w:rPr>
          <w:sz w:val="21"/>
          <w:szCs w:val="21"/>
        </w:rPr>
      </w:pPr>
      <w:r>
        <w:rPr>
          <w:rFonts w:hint="eastAsia"/>
          <w:sz w:val="21"/>
          <w:szCs w:val="21"/>
        </w:rPr>
        <w:t>首先，计算入围选样空间证券在最近半年的日均成交金额和日均总市值；</w:t>
      </w:r>
    </w:p>
    <w:p w14:paraId="3C179CD1">
      <w:pPr>
        <w:pStyle w:val="8"/>
        <w:spacing w:before="0" w:beforeAutospacing="0" w:after="0" w:afterAutospacing="0" w:line="360" w:lineRule="auto"/>
        <w:ind w:firstLine="420"/>
        <w:rPr>
          <w:sz w:val="21"/>
          <w:szCs w:val="21"/>
        </w:rPr>
      </w:pPr>
      <w:r>
        <w:rPr>
          <w:rFonts w:hint="eastAsia"/>
          <w:sz w:val="21"/>
          <w:szCs w:val="21"/>
        </w:rPr>
        <w:t>其次，剔除选样空间内最近半年的日均成交金额排名位于后20%的证券；</w:t>
      </w:r>
    </w:p>
    <w:p w14:paraId="4D895D9C">
      <w:pPr>
        <w:pStyle w:val="8"/>
        <w:spacing w:before="0" w:beforeAutospacing="0" w:after="0" w:afterAutospacing="0" w:line="360" w:lineRule="auto"/>
        <w:ind w:firstLine="420"/>
        <w:rPr>
          <w:sz w:val="21"/>
          <w:szCs w:val="21"/>
        </w:rPr>
      </w:pPr>
      <w:r>
        <w:rPr>
          <w:rFonts w:hint="eastAsia"/>
          <w:sz w:val="21"/>
          <w:szCs w:val="21"/>
        </w:rPr>
        <w:t>然后，对选样空间剩余证券按照最近半年的日均总市值从高到低排序，选取前50名证券作为指数样本。</w:t>
      </w:r>
    </w:p>
    <w:p w14:paraId="59C309DB">
      <w:pPr>
        <w:pStyle w:val="8"/>
        <w:spacing w:before="0" w:beforeAutospacing="0" w:after="0" w:afterAutospacing="0" w:line="360" w:lineRule="auto"/>
        <w:ind w:firstLine="420"/>
        <w:rPr>
          <w:sz w:val="21"/>
          <w:szCs w:val="21"/>
        </w:rPr>
      </w:pPr>
      <w:r>
        <w:rPr>
          <w:rFonts w:hint="eastAsia"/>
          <w:sz w:val="21"/>
          <w:szCs w:val="21"/>
        </w:rPr>
        <w:t>（4）指数计算</w:t>
      </w:r>
    </w:p>
    <w:p w14:paraId="7091FF61">
      <w:pPr>
        <w:pStyle w:val="8"/>
        <w:spacing w:before="0" w:beforeAutospacing="0" w:after="0" w:afterAutospacing="0" w:line="360" w:lineRule="auto"/>
        <w:ind w:firstLine="420"/>
        <w:rPr>
          <w:sz w:val="21"/>
          <w:szCs w:val="21"/>
        </w:rPr>
      </w:pPr>
      <w:r>
        <w:rPr>
          <w:rFonts w:hint="eastAsia"/>
          <w:sz w:val="21"/>
          <w:szCs w:val="21"/>
        </w:rPr>
        <w:t>指数采用派氏加权法，依据下列公式逐日连锁实时计算：</w:t>
      </w:r>
    </w:p>
    <w:p w14:paraId="71D28E91">
      <w:pPr>
        <w:pStyle w:val="8"/>
        <w:spacing w:before="0" w:beforeAutospacing="0" w:after="0" w:afterAutospacing="0" w:line="360" w:lineRule="auto"/>
        <w:ind w:firstLine="420"/>
        <w:rPr>
          <w:sz w:val="21"/>
          <w:szCs w:val="21"/>
        </w:rPr>
      </w:pPr>
      <w:r>
        <w:rPr>
          <w:rFonts w:hint="eastAsia"/>
          <w:sz w:val="21"/>
          <w:szCs w:val="21"/>
        </w:rPr>
        <w:t>实时指数=上一交易日收市指数×Σ(样本实时成交价×样本权数×权重调整因子)/Σ(样本上一交易日收市价×样本权数×权重调整因子）</w:t>
      </w:r>
    </w:p>
    <w:p w14:paraId="5AF73F35">
      <w:pPr>
        <w:pStyle w:val="8"/>
        <w:spacing w:before="0" w:beforeAutospacing="0" w:after="0" w:afterAutospacing="0" w:line="360" w:lineRule="auto"/>
        <w:ind w:firstLine="420"/>
        <w:rPr>
          <w:sz w:val="21"/>
          <w:szCs w:val="21"/>
        </w:rPr>
      </w:pPr>
      <w:r>
        <w:rPr>
          <w:rFonts w:hint="eastAsia"/>
          <w:sz w:val="21"/>
          <w:szCs w:val="21"/>
        </w:rPr>
        <w:t>在指数计算中，设置权重调整因子，基于样本公司的主营业务类型将样本分为两档，种子和粮食种植领域对应样本的自由流通市值调整系数为1，权重上限为15%；其他领域对应样本的自由流通市值调整系数为0.5，权重上限为5%。同时，前五大权重样本合计权重不超过60%。</w:t>
      </w:r>
    </w:p>
    <w:p w14:paraId="0380E26B">
      <w:pPr>
        <w:pStyle w:val="8"/>
        <w:spacing w:before="0" w:beforeAutospacing="0" w:after="0" w:afterAutospacing="0" w:line="360" w:lineRule="auto"/>
        <w:ind w:firstLine="420"/>
        <w:rPr>
          <w:sz w:val="21"/>
          <w:szCs w:val="21"/>
        </w:rPr>
      </w:pPr>
      <w:r>
        <w:rPr>
          <w:rFonts w:hint="eastAsia"/>
          <w:sz w:val="21"/>
          <w:szCs w:val="21"/>
        </w:rPr>
        <w:t>有关标的指数具体编制方案及成份股信息详见深圳证券信息有限公司官方网站，网址：http://www.cnindex.com.cn。</w:t>
      </w:r>
    </w:p>
    <w:p w14:paraId="1A32FEE4">
      <w:pPr>
        <w:pStyle w:val="8"/>
        <w:spacing w:before="0" w:beforeAutospacing="0" w:after="0" w:afterAutospacing="0" w:line="360" w:lineRule="auto"/>
        <w:ind w:firstLine="420"/>
        <w:rPr>
          <w:sz w:val="21"/>
          <w:szCs w:val="21"/>
        </w:rPr>
      </w:pPr>
      <w:r>
        <w:rPr>
          <w:rFonts w:hint="eastAsia"/>
          <w:sz w:val="21"/>
          <w:szCs w:val="21"/>
        </w:rPr>
        <w:t>本基金主要投资于目标ETF、标的指数成份股和备选成份股（含存托凭证）。为更好地实现基金的投资目标，本基金可能会少量投资于成分股以外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14:paraId="050F3BA5">
      <w:pPr>
        <w:pStyle w:val="8"/>
        <w:spacing w:before="0" w:beforeAutospacing="0" w:after="0" w:afterAutospacing="0" w:line="360" w:lineRule="auto"/>
        <w:ind w:firstLine="420"/>
        <w:rPr>
          <w:sz w:val="21"/>
          <w:szCs w:val="21"/>
        </w:rPr>
      </w:pPr>
      <w:r>
        <w:rPr>
          <w:rFonts w:hint="eastAsia"/>
          <w:sz w:val="21"/>
          <w:szCs w:val="21"/>
        </w:rPr>
        <w:t>本基金可投资港股通标的股票，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w:t>
      </w:r>
    </w:p>
    <w:p w14:paraId="7D722CB7">
      <w:pPr>
        <w:pStyle w:val="8"/>
        <w:spacing w:before="0" w:beforeAutospacing="0" w:after="0" w:afterAutospacing="0" w:line="360" w:lineRule="auto"/>
        <w:ind w:firstLine="420"/>
        <w:rPr>
          <w:sz w:val="21"/>
          <w:szCs w:val="21"/>
        </w:rPr>
      </w:pPr>
      <w:r>
        <w:rPr>
          <w:rFonts w:hint="eastAsia"/>
          <w:sz w:val="21"/>
          <w:szCs w:val="21"/>
        </w:rPr>
        <w:t>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1BFA7D04">
      <w:pPr>
        <w:pStyle w:val="8"/>
        <w:spacing w:before="0" w:beforeAutospacing="0" w:after="0" w:afterAutospacing="0" w:line="360" w:lineRule="auto"/>
        <w:ind w:firstLine="420"/>
        <w:rPr>
          <w:sz w:val="21"/>
          <w:szCs w:val="21"/>
        </w:rPr>
      </w:pPr>
      <w:r>
        <w:rPr>
          <w:rFonts w:hint="eastAsia"/>
          <w:sz w:val="21"/>
          <w:szCs w:val="21"/>
        </w:rPr>
        <w:t>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w:t>
      </w:r>
    </w:p>
    <w:p w14:paraId="532FF162">
      <w:pPr>
        <w:pStyle w:val="8"/>
        <w:spacing w:before="0" w:beforeAutospacing="0" w:after="0" w:afterAutospacing="0" w:line="360" w:lineRule="auto"/>
        <w:ind w:firstLine="420"/>
        <w:rPr>
          <w:sz w:val="21"/>
          <w:szCs w:val="21"/>
        </w:rPr>
      </w:pPr>
      <w:r>
        <w:rPr>
          <w:rFonts w:hint="eastAsia"/>
          <w:sz w:val="21"/>
          <w:szCs w:val="21"/>
        </w:rPr>
        <w:t>本基金可参与股票期权交易，以套期保值为主要目的，若参与股票期权交易，可能面临流动性风险、价格风险、操作风险等。</w:t>
      </w:r>
    </w:p>
    <w:p w14:paraId="7CDD0EF3">
      <w:pPr>
        <w:pStyle w:val="8"/>
        <w:spacing w:before="0" w:beforeAutospacing="0" w:after="0" w:afterAutospacing="0" w:line="360" w:lineRule="auto"/>
        <w:ind w:firstLine="420"/>
        <w:rPr>
          <w:sz w:val="21"/>
          <w:szCs w:val="21"/>
        </w:rPr>
      </w:pPr>
      <w:r>
        <w:rPr>
          <w:rFonts w:hint="eastAsia"/>
          <w:sz w:val="21"/>
          <w:szCs w:val="21"/>
        </w:rPr>
        <w:t>基金可根据法律法规的规定参与融资及转融通证券出借业务。本基金将在充分考虑风险和收益特征的基础上，审慎参与融资及转融通证券出借业务。投资者需承担相应的风险。</w:t>
      </w:r>
    </w:p>
    <w:p w14:paraId="64DA0D8E">
      <w:pPr>
        <w:pStyle w:val="8"/>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193DBCE4">
      <w:pPr>
        <w:pStyle w:val="8"/>
        <w:spacing w:before="0" w:beforeAutospacing="0" w:after="0" w:afterAutospacing="0" w:line="360" w:lineRule="auto"/>
        <w:ind w:firstLine="420"/>
        <w:rPr>
          <w:sz w:val="21"/>
          <w:szCs w:val="21"/>
        </w:rPr>
      </w:pPr>
      <w:r>
        <w:rPr>
          <w:rFonts w:hint="eastAsia"/>
          <w:sz w:val="21"/>
          <w:szCs w:val="21"/>
        </w:rPr>
        <w:t>本基金为发起式基金，《博时国证粮食产业指数型发起式证券投资基金基金合同》生效之日起三年后的对应日，若基金资产净值低于两亿元的，本基金将根据基金合同的约定进行基金财产清算并终止，无需召开基金份额持有人大会审议，且不得通过召开基金份额持有人大会的方式延续基金合同。本基金在《博时国证粮食产业指数型发起式证券投资基金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因此本基金有面临自动清算的风险。</w:t>
      </w:r>
    </w:p>
    <w:p w14:paraId="53B05657">
      <w:pPr>
        <w:pStyle w:val="8"/>
        <w:spacing w:before="0" w:beforeAutospacing="0" w:after="0" w:afterAutospacing="0" w:line="360" w:lineRule="auto"/>
        <w:ind w:firstLine="420"/>
        <w:rPr>
          <w:rFonts w:hint="eastAsia"/>
          <w:sz w:val="21"/>
          <w:szCs w:val="21"/>
        </w:rPr>
      </w:pPr>
      <w:r>
        <w:rPr>
          <w:rFonts w:hint="eastAsia"/>
          <w:sz w:val="21"/>
          <w:szCs w:val="21"/>
        </w:rPr>
        <w:t>当本基金持有特定资产且存在或潜在大额赎回申请时，基金管理人履行相应程序后，可以启用侧袋机制，具体详见基金合同和本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7A7B059B">
      <w:pPr>
        <w:pStyle w:val="8"/>
        <w:spacing w:before="0" w:beforeAutospacing="0" w:after="0" w:afterAutospacing="0" w:line="360" w:lineRule="auto"/>
        <w:ind w:firstLine="420"/>
        <w:rPr>
          <w:sz w:val="21"/>
          <w:szCs w:val="21"/>
        </w:rPr>
      </w:pPr>
      <w:r>
        <w:rPr>
          <w:rFonts w:hint="eastAsia"/>
          <w:sz w:val="21"/>
          <w:szCs w:val="21"/>
        </w:rPr>
        <w:t>基金的过往业绩并不预示其未来表现。基金管理人管理的其他基金的业绩并不构成新基金业绩表现的保证。</w:t>
      </w:r>
    </w:p>
    <w:p w14:paraId="5B45EA2B">
      <w:pPr>
        <w:pStyle w:val="8"/>
        <w:spacing w:before="0" w:beforeAutospacing="0" w:after="0" w:afterAutospacing="0" w:line="360" w:lineRule="auto"/>
        <w:ind w:firstLine="420"/>
        <w:rPr>
          <w:sz w:val="21"/>
          <w:szCs w:val="21"/>
        </w:rPr>
      </w:pPr>
      <w:r>
        <w:rPr>
          <w:rFonts w:hint="eastAsia"/>
          <w:sz w:val="21"/>
          <w:szCs w:val="21"/>
        </w:rPr>
        <w:t>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w:t>
      </w:r>
    </w:p>
    <w:p w14:paraId="41CBC7E8">
      <w:pPr>
        <w:pStyle w:val="8"/>
        <w:spacing w:before="0" w:beforeAutospacing="0" w:after="0" w:afterAutospacing="0" w:line="360" w:lineRule="auto"/>
        <w:ind w:firstLine="420"/>
        <w:rPr>
          <w:sz w:val="21"/>
          <w:szCs w:val="21"/>
        </w:rPr>
      </w:pPr>
      <w:r>
        <w:rPr>
          <w:rFonts w:hint="eastAsia"/>
          <w:sz w:val="21"/>
          <w:szCs w:val="21"/>
        </w:rPr>
        <w:t>本招募说明书（更新）所载内容截止日</w:t>
      </w:r>
      <w:bookmarkStart w:id="1" w:name="field_2343_infoendday_1"/>
      <w:r>
        <w:rPr>
          <w:sz w:val="21"/>
          <w:szCs w:val="21"/>
        </w:rPr>
        <w:t>202</w:t>
      </w:r>
      <w:r>
        <w:rPr>
          <w:rFonts w:hint="eastAsia"/>
          <w:sz w:val="21"/>
          <w:szCs w:val="21"/>
          <w:lang w:val="en-US" w:eastAsia="zh-CN"/>
        </w:rPr>
        <w:t>6</w:t>
      </w:r>
      <w:r>
        <w:rPr>
          <w:sz w:val="21"/>
          <w:szCs w:val="21"/>
        </w:rPr>
        <w:t>年</w:t>
      </w:r>
      <w:r>
        <w:rPr>
          <w:rFonts w:hint="eastAsia"/>
          <w:sz w:val="21"/>
          <w:szCs w:val="21"/>
        </w:rPr>
        <w:t>6月</w:t>
      </w:r>
      <w:r>
        <w:rPr>
          <w:rFonts w:hint="eastAsia"/>
          <w:sz w:val="21"/>
          <w:szCs w:val="21"/>
          <w:lang w:val="en-US" w:eastAsia="zh-CN"/>
        </w:rPr>
        <w:t>3</w:t>
      </w:r>
      <w:r>
        <w:rPr>
          <w:rFonts w:hint="eastAsia"/>
          <w:sz w:val="21"/>
          <w:szCs w:val="21"/>
        </w:rPr>
        <w:t>日</w:t>
      </w:r>
      <w:bookmarkEnd w:id="1"/>
      <w:r>
        <w:rPr>
          <w:rFonts w:hint="eastAsia"/>
          <w:sz w:val="21"/>
          <w:szCs w:val="21"/>
        </w:rPr>
        <w:t>，有关财务数据和净值表现截止日为</w:t>
      </w:r>
      <w:bookmarkStart w:id="2" w:name="field_2343_financeendday_1"/>
      <w:r>
        <w:rPr>
          <w:sz w:val="21"/>
          <w:szCs w:val="21"/>
        </w:rPr>
        <w:t>2025年6月30日</w:t>
      </w:r>
      <w:bookmarkEnd w:id="2"/>
      <w:r>
        <w:rPr>
          <w:rFonts w:hint="eastAsia"/>
          <w:sz w:val="21"/>
          <w:szCs w:val="21"/>
        </w:rPr>
        <w:t xml:space="preserve">（财务数据未经审计）。 </w:t>
      </w:r>
      <w:r>
        <w:rPr>
          <w:sz w:val="30"/>
        </w:rPr>
        <w:br w:type="page"/>
      </w:r>
    </w:p>
    <w:p w14:paraId="01CADCC2">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7FEA60A2">
      <w:pPr>
        <w:pStyle w:val="7"/>
        <w:tabs>
          <w:tab w:val="right" w:leader="dot" w:pos="8290"/>
        </w:tabs>
        <w:spacing w:line="360" w:lineRule="auto"/>
        <w:rPr>
          <w:rFonts w:ascii="宋体" w:hAnsi="宋体" w:eastAsia="宋体"/>
        </w:rPr>
      </w:pPr>
      <w:r>
        <w:fldChar w:fldCharType="begin"/>
      </w:r>
      <w:r>
        <w:instrText xml:space="preserve"> HYPERLINK \l "_Toc207939896"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_Toc207939896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1A5C81D6">
      <w:pPr>
        <w:pStyle w:val="7"/>
        <w:tabs>
          <w:tab w:val="right" w:leader="dot" w:pos="8290"/>
        </w:tabs>
        <w:spacing w:line="360" w:lineRule="auto"/>
        <w:rPr>
          <w:rFonts w:ascii="宋体" w:hAnsi="宋体" w:eastAsia="宋体"/>
        </w:rPr>
      </w:pPr>
      <w:r>
        <w:fldChar w:fldCharType="begin"/>
      </w:r>
      <w:r>
        <w:instrText xml:space="preserve"> HYPERLINK \l "_Toc207939897"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_Toc207939897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14:paraId="37D30F63">
      <w:pPr>
        <w:pStyle w:val="7"/>
        <w:tabs>
          <w:tab w:val="right" w:leader="dot" w:pos="8290"/>
        </w:tabs>
        <w:spacing w:line="360" w:lineRule="auto"/>
        <w:rPr>
          <w:rFonts w:ascii="宋体" w:hAnsi="宋体" w:eastAsia="宋体"/>
        </w:rPr>
      </w:pPr>
      <w:r>
        <w:fldChar w:fldCharType="begin"/>
      </w:r>
      <w:r>
        <w:instrText xml:space="preserve"> HYPERLINK \l "_Toc207939898"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_Toc207939898 \h </w:instrText>
      </w:r>
      <w:r>
        <w:rPr>
          <w:rFonts w:ascii="宋体" w:hAnsi="宋体" w:eastAsia="宋体"/>
        </w:rPr>
        <w:fldChar w:fldCharType="separate"/>
      </w:r>
      <w:r>
        <w:rPr>
          <w:rFonts w:ascii="宋体" w:hAnsi="宋体" w:eastAsia="宋体"/>
        </w:rPr>
        <w:t>9</w:t>
      </w:r>
      <w:r>
        <w:rPr>
          <w:rFonts w:ascii="宋体" w:hAnsi="宋体" w:eastAsia="宋体"/>
        </w:rPr>
        <w:fldChar w:fldCharType="end"/>
      </w:r>
      <w:r>
        <w:rPr>
          <w:rFonts w:ascii="宋体" w:hAnsi="宋体" w:eastAsia="宋体"/>
        </w:rPr>
        <w:fldChar w:fldCharType="end"/>
      </w:r>
    </w:p>
    <w:p w14:paraId="6F381FA4">
      <w:pPr>
        <w:pStyle w:val="7"/>
        <w:tabs>
          <w:tab w:val="right" w:leader="dot" w:pos="8290"/>
        </w:tabs>
        <w:spacing w:line="360" w:lineRule="auto"/>
        <w:rPr>
          <w:rFonts w:ascii="宋体" w:hAnsi="宋体" w:eastAsia="宋体"/>
        </w:rPr>
      </w:pPr>
      <w:r>
        <w:fldChar w:fldCharType="begin"/>
      </w:r>
      <w:r>
        <w:instrText xml:space="preserve"> HYPERLINK \l "_Toc207939899"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_Toc207939899 \h </w:instrText>
      </w:r>
      <w:r>
        <w:rPr>
          <w:rFonts w:ascii="宋体" w:hAnsi="宋体" w:eastAsia="宋体"/>
        </w:rPr>
        <w:fldChar w:fldCharType="separate"/>
      </w:r>
      <w:r>
        <w:rPr>
          <w:rFonts w:ascii="宋体" w:hAnsi="宋体" w:eastAsia="宋体"/>
        </w:rPr>
        <w:t>15</w:t>
      </w:r>
      <w:r>
        <w:rPr>
          <w:rFonts w:ascii="宋体" w:hAnsi="宋体" w:eastAsia="宋体"/>
        </w:rPr>
        <w:fldChar w:fldCharType="end"/>
      </w:r>
      <w:r>
        <w:rPr>
          <w:rFonts w:ascii="宋体" w:hAnsi="宋体" w:eastAsia="宋体"/>
        </w:rPr>
        <w:fldChar w:fldCharType="end"/>
      </w:r>
    </w:p>
    <w:p w14:paraId="5DFF7519">
      <w:pPr>
        <w:pStyle w:val="7"/>
        <w:tabs>
          <w:tab w:val="right" w:leader="dot" w:pos="8290"/>
        </w:tabs>
        <w:spacing w:line="360" w:lineRule="auto"/>
        <w:rPr>
          <w:rFonts w:ascii="宋体" w:hAnsi="宋体" w:eastAsia="宋体"/>
        </w:rPr>
      </w:pPr>
      <w:r>
        <w:fldChar w:fldCharType="begin"/>
      </w:r>
      <w:r>
        <w:instrText xml:space="preserve"> HYPERLINK \l "_Toc207939900"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_Toc207939900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14:paraId="50366C51">
      <w:pPr>
        <w:pStyle w:val="7"/>
        <w:tabs>
          <w:tab w:val="right" w:leader="dot" w:pos="8290"/>
        </w:tabs>
        <w:spacing w:line="360" w:lineRule="auto"/>
        <w:rPr>
          <w:rFonts w:ascii="宋体" w:hAnsi="宋体" w:eastAsia="宋体"/>
        </w:rPr>
      </w:pPr>
      <w:r>
        <w:fldChar w:fldCharType="begin"/>
      </w:r>
      <w:r>
        <w:instrText xml:space="preserve"> HYPERLINK \l "_Toc207939901"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_Toc207939901 \h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fldChar w:fldCharType="end"/>
      </w:r>
    </w:p>
    <w:p w14:paraId="4563C369">
      <w:pPr>
        <w:pStyle w:val="7"/>
        <w:tabs>
          <w:tab w:val="right" w:leader="dot" w:pos="8290"/>
        </w:tabs>
        <w:spacing w:line="360" w:lineRule="auto"/>
        <w:rPr>
          <w:rFonts w:ascii="宋体" w:hAnsi="宋体" w:eastAsia="宋体"/>
        </w:rPr>
      </w:pPr>
      <w:r>
        <w:fldChar w:fldCharType="begin"/>
      </w:r>
      <w:r>
        <w:instrText xml:space="preserve"> HYPERLINK \l "_Toc207939902"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lang w:val="en-US" w:eastAsia="zh-CN"/>
        </w:rPr>
        <w:t xml:space="preserve"> </w:t>
      </w:r>
      <w:r>
        <w:rPr>
          <w:rStyle w:val="13"/>
          <w:rFonts w:hint="eastAsia" w:ascii="宋体" w:hAnsi="宋体" w:eastAsia="宋体"/>
          <w:u w:val="none"/>
        </w:rPr>
        <w:t>基金的</w:t>
      </w:r>
      <w:r>
        <w:rPr>
          <w:rStyle w:val="13"/>
          <w:rFonts w:hint="eastAsia" w:ascii="宋体" w:hAnsi="宋体"/>
          <w:u w:val="none"/>
        </w:rPr>
        <w:t>历史沿革</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_Toc207939902 \h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fldChar w:fldCharType="end"/>
      </w:r>
    </w:p>
    <w:p w14:paraId="3860EF5C">
      <w:pPr>
        <w:pStyle w:val="7"/>
        <w:tabs>
          <w:tab w:val="right" w:leader="dot" w:pos="8290"/>
        </w:tabs>
        <w:spacing w:line="360" w:lineRule="auto"/>
        <w:rPr>
          <w:rFonts w:ascii="宋体" w:hAnsi="宋体" w:eastAsia="宋体"/>
        </w:rPr>
      </w:pPr>
      <w:r>
        <w:fldChar w:fldCharType="begin"/>
      </w:r>
      <w:r>
        <w:instrText xml:space="preserve"> HYPERLINK \l "_Toc207939903"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t>基金</w:t>
      </w:r>
      <w:r>
        <w:rPr>
          <w:rFonts w:hint="eastAsia"/>
        </w:rPr>
        <w:t>的存续</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_Toc207939903 \h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fldChar w:fldCharType="end"/>
      </w:r>
    </w:p>
    <w:p w14:paraId="07B530EF">
      <w:pPr>
        <w:pStyle w:val="7"/>
        <w:tabs>
          <w:tab w:val="right" w:leader="dot" w:pos="8290"/>
        </w:tabs>
        <w:spacing w:line="360" w:lineRule="auto"/>
        <w:rPr>
          <w:rFonts w:ascii="宋体" w:hAnsi="宋体" w:eastAsia="宋体"/>
        </w:rPr>
      </w:pPr>
      <w:r>
        <w:fldChar w:fldCharType="begin"/>
      </w:r>
      <w:r>
        <w:instrText xml:space="preserve"> HYPERLINK \l "_Toc207939904"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_Toc207939904 \h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fldChar w:fldCharType="end"/>
      </w:r>
    </w:p>
    <w:p w14:paraId="435046EF">
      <w:pPr>
        <w:pStyle w:val="7"/>
        <w:tabs>
          <w:tab w:val="right" w:leader="dot" w:pos="8290"/>
        </w:tabs>
        <w:spacing w:line="360" w:lineRule="auto"/>
        <w:rPr>
          <w:rFonts w:ascii="宋体" w:hAnsi="宋体" w:eastAsia="宋体"/>
        </w:rPr>
      </w:pPr>
      <w:r>
        <w:fldChar w:fldCharType="begin"/>
      </w:r>
      <w:r>
        <w:instrText xml:space="preserve"> HYPERLINK \l "_Toc207939905"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lang w:val="en-US" w:eastAsia="zh-CN"/>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_Toc207939905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2CC767D2">
      <w:pPr>
        <w:pStyle w:val="7"/>
        <w:tabs>
          <w:tab w:val="right" w:leader="dot" w:pos="8290"/>
        </w:tabs>
        <w:spacing w:line="360" w:lineRule="auto"/>
        <w:rPr>
          <w:rFonts w:ascii="宋体" w:hAnsi="宋体" w:eastAsia="宋体"/>
        </w:rPr>
      </w:pPr>
      <w:r>
        <w:fldChar w:fldCharType="begin"/>
      </w:r>
      <w:r>
        <w:instrText xml:space="preserve"> HYPERLINK \l "_Toc207939906"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_Toc207939906 \h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fldChar w:fldCharType="end"/>
      </w:r>
    </w:p>
    <w:p w14:paraId="199F1392">
      <w:pPr>
        <w:pStyle w:val="7"/>
        <w:tabs>
          <w:tab w:val="right" w:leader="dot" w:pos="8290"/>
        </w:tabs>
        <w:spacing w:line="360" w:lineRule="auto"/>
        <w:rPr>
          <w:rFonts w:ascii="宋体" w:hAnsi="宋体" w:eastAsia="宋体"/>
        </w:rPr>
      </w:pPr>
      <w:r>
        <w:fldChar w:fldCharType="begin"/>
      </w:r>
      <w:r>
        <w:instrText xml:space="preserve"> HYPERLINK \l "_Toc207939907"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_Toc207939907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14:paraId="3F6C8037">
      <w:pPr>
        <w:pStyle w:val="7"/>
        <w:tabs>
          <w:tab w:val="right" w:leader="dot" w:pos="8290"/>
        </w:tabs>
        <w:spacing w:line="360" w:lineRule="auto"/>
        <w:rPr>
          <w:rFonts w:ascii="宋体" w:hAnsi="宋体" w:eastAsia="宋体"/>
        </w:rPr>
      </w:pPr>
      <w:r>
        <w:fldChar w:fldCharType="begin"/>
      </w:r>
      <w:r>
        <w:instrText xml:space="preserve"> HYPERLINK \l "_Toc207939908"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_Toc207939908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310B3982">
      <w:pPr>
        <w:pStyle w:val="7"/>
        <w:tabs>
          <w:tab w:val="right" w:leader="dot" w:pos="8290"/>
        </w:tabs>
        <w:spacing w:line="360" w:lineRule="auto"/>
        <w:rPr>
          <w:rFonts w:ascii="宋体" w:hAnsi="宋体" w:eastAsia="宋体"/>
        </w:rPr>
      </w:pPr>
      <w:r>
        <w:fldChar w:fldCharType="begin"/>
      </w:r>
      <w:r>
        <w:instrText xml:space="preserve"> HYPERLINK \l "_Toc207939909"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_Toc207939909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7EF7B6A5">
      <w:pPr>
        <w:pStyle w:val="7"/>
        <w:tabs>
          <w:tab w:val="right" w:leader="dot" w:pos="8290"/>
        </w:tabs>
        <w:spacing w:line="360" w:lineRule="auto"/>
        <w:rPr>
          <w:rFonts w:ascii="宋体" w:hAnsi="宋体" w:eastAsia="宋体"/>
        </w:rPr>
      </w:pPr>
      <w:r>
        <w:fldChar w:fldCharType="begin"/>
      </w:r>
      <w:r>
        <w:instrText xml:space="preserve"> HYPERLINK \l "_Toc207939910"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_Toc207939910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08451C39">
      <w:pPr>
        <w:pStyle w:val="7"/>
        <w:tabs>
          <w:tab w:val="right" w:leader="dot" w:pos="8290"/>
        </w:tabs>
        <w:spacing w:line="360" w:lineRule="auto"/>
        <w:rPr>
          <w:rFonts w:ascii="宋体" w:hAnsi="宋体" w:eastAsia="宋体"/>
        </w:rPr>
      </w:pPr>
      <w:r>
        <w:fldChar w:fldCharType="begin"/>
      </w:r>
      <w:r>
        <w:instrText xml:space="preserve"> HYPERLINK \l "_Toc207939911"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_Toc207939911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4A864714">
      <w:pPr>
        <w:pStyle w:val="7"/>
        <w:tabs>
          <w:tab w:val="right" w:leader="dot" w:pos="8290"/>
        </w:tabs>
        <w:spacing w:line="360" w:lineRule="auto"/>
        <w:rPr>
          <w:rFonts w:ascii="宋体" w:hAnsi="宋体" w:eastAsia="宋体"/>
        </w:rPr>
      </w:pPr>
      <w:r>
        <w:fldChar w:fldCharType="begin"/>
      </w:r>
      <w:r>
        <w:instrText xml:space="preserve"> HYPERLINK \l "_Toc207939912"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lang w:val="en-US" w:eastAsia="zh-CN"/>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_Toc207939912 \h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fldChar w:fldCharType="end"/>
      </w:r>
    </w:p>
    <w:p w14:paraId="6574C643">
      <w:pPr>
        <w:pStyle w:val="7"/>
        <w:tabs>
          <w:tab w:val="right" w:leader="dot" w:pos="8290"/>
        </w:tabs>
        <w:spacing w:line="360" w:lineRule="auto"/>
        <w:rPr>
          <w:rFonts w:ascii="宋体" w:hAnsi="宋体" w:eastAsia="宋体"/>
        </w:rPr>
      </w:pPr>
      <w:r>
        <w:fldChar w:fldCharType="begin"/>
      </w:r>
      <w:r>
        <w:instrText xml:space="preserve"> HYPERLINK \l "_Toc207939913"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_Toc207939913 \h </w:instrText>
      </w:r>
      <w:r>
        <w:rPr>
          <w:rFonts w:ascii="宋体" w:hAnsi="宋体" w:eastAsia="宋体"/>
        </w:rPr>
        <w:fldChar w:fldCharType="separate"/>
      </w:r>
      <w:r>
        <w:rPr>
          <w:rFonts w:ascii="宋体" w:hAnsi="宋体" w:eastAsia="宋体"/>
        </w:rPr>
        <w:t>92</w:t>
      </w:r>
      <w:r>
        <w:rPr>
          <w:rFonts w:ascii="宋体" w:hAnsi="宋体" w:eastAsia="宋体"/>
        </w:rPr>
        <w:fldChar w:fldCharType="end"/>
      </w:r>
      <w:r>
        <w:rPr>
          <w:rFonts w:ascii="宋体" w:hAnsi="宋体" w:eastAsia="宋体"/>
        </w:rPr>
        <w:fldChar w:fldCharType="end"/>
      </w:r>
    </w:p>
    <w:p w14:paraId="018765E2">
      <w:pPr>
        <w:pStyle w:val="7"/>
        <w:tabs>
          <w:tab w:val="right" w:leader="dot" w:pos="8290"/>
        </w:tabs>
        <w:spacing w:line="360" w:lineRule="auto"/>
        <w:rPr>
          <w:rFonts w:ascii="宋体" w:hAnsi="宋体" w:eastAsia="宋体"/>
        </w:rPr>
      </w:pPr>
      <w:r>
        <w:fldChar w:fldCharType="begin"/>
      </w:r>
      <w:r>
        <w:instrText xml:space="preserve"> HYPERLINK \l "_Toc207939914"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_Toc207939914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14:paraId="6302CD47">
      <w:pPr>
        <w:pStyle w:val="7"/>
        <w:tabs>
          <w:tab w:val="right" w:leader="dot" w:pos="8290"/>
        </w:tabs>
        <w:spacing w:line="360" w:lineRule="auto"/>
        <w:rPr>
          <w:rFonts w:ascii="宋体" w:hAnsi="宋体" w:eastAsia="宋体"/>
        </w:rPr>
      </w:pPr>
      <w:r>
        <w:fldChar w:fldCharType="begin"/>
      </w:r>
      <w:r>
        <w:instrText xml:space="preserve"> HYPERLINK \l "_Toc207939915"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_Toc207939915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14:paraId="162CC626">
      <w:pPr>
        <w:pStyle w:val="7"/>
        <w:tabs>
          <w:tab w:val="right" w:leader="dot" w:pos="8290"/>
        </w:tabs>
        <w:spacing w:line="360" w:lineRule="auto"/>
        <w:rPr>
          <w:rFonts w:ascii="宋体" w:hAnsi="宋体" w:eastAsia="宋体"/>
        </w:rPr>
      </w:pPr>
      <w:r>
        <w:fldChar w:fldCharType="begin"/>
      </w:r>
      <w:r>
        <w:instrText xml:space="preserve"> HYPERLINK \l "_Toc207939916"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_Toc207939916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14:paraId="2E3AB384">
      <w:pPr>
        <w:pStyle w:val="7"/>
        <w:tabs>
          <w:tab w:val="right" w:leader="dot" w:pos="8290"/>
        </w:tabs>
        <w:spacing w:line="360" w:lineRule="auto"/>
        <w:rPr>
          <w:rFonts w:ascii="宋体" w:hAnsi="宋体" w:eastAsia="宋体"/>
        </w:rPr>
      </w:pPr>
      <w:r>
        <w:fldChar w:fldCharType="begin"/>
      </w:r>
      <w:r>
        <w:instrText xml:space="preserve"> HYPERLINK \l "_Toc207939917"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_Toc207939917 \h </w:instrText>
      </w:r>
      <w:r>
        <w:rPr>
          <w:rFonts w:ascii="宋体" w:hAnsi="宋体" w:eastAsia="宋体"/>
        </w:rPr>
        <w:fldChar w:fldCharType="separate"/>
      </w:r>
      <w:r>
        <w:rPr>
          <w:rFonts w:ascii="宋体" w:hAnsi="宋体" w:eastAsia="宋体"/>
        </w:rPr>
        <w:t>143</w:t>
      </w:r>
      <w:r>
        <w:rPr>
          <w:rFonts w:ascii="宋体" w:hAnsi="宋体" w:eastAsia="宋体"/>
        </w:rPr>
        <w:fldChar w:fldCharType="end"/>
      </w:r>
      <w:r>
        <w:rPr>
          <w:rFonts w:ascii="宋体" w:hAnsi="宋体" w:eastAsia="宋体"/>
        </w:rPr>
        <w:fldChar w:fldCharType="end"/>
      </w:r>
    </w:p>
    <w:p w14:paraId="02FEF5E8">
      <w:pPr>
        <w:pStyle w:val="7"/>
        <w:tabs>
          <w:tab w:val="right" w:leader="dot" w:pos="8290"/>
        </w:tabs>
        <w:spacing w:line="360" w:lineRule="auto"/>
        <w:rPr>
          <w:rFonts w:ascii="宋体" w:hAnsi="宋体" w:eastAsia="宋体"/>
        </w:rPr>
      </w:pPr>
      <w:r>
        <w:fldChar w:fldCharType="begin"/>
      </w:r>
      <w:r>
        <w:instrText xml:space="preserve"> HYPERLINK \l "_Toc207939918"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lang w:val="en-US" w:eastAsia="zh-CN"/>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_Toc207939918 \h </w:instrText>
      </w:r>
      <w:r>
        <w:rPr>
          <w:rFonts w:ascii="宋体" w:hAnsi="宋体" w:eastAsia="宋体"/>
        </w:rPr>
        <w:fldChar w:fldCharType="separate"/>
      </w:r>
      <w:r>
        <w:rPr>
          <w:rFonts w:ascii="宋体" w:hAnsi="宋体" w:eastAsia="宋体"/>
        </w:rPr>
        <w:t>146</w:t>
      </w:r>
      <w:r>
        <w:rPr>
          <w:rFonts w:ascii="宋体" w:hAnsi="宋体" w:eastAsia="宋体"/>
        </w:rPr>
        <w:fldChar w:fldCharType="end"/>
      </w:r>
      <w:r>
        <w:rPr>
          <w:rFonts w:ascii="宋体" w:hAnsi="宋体" w:eastAsia="宋体"/>
        </w:rPr>
        <w:fldChar w:fldCharType="end"/>
      </w:r>
    </w:p>
    <w:p w14:paraId="52A24A75">
      <w:pPr>
        <w:pStyle w:val="7"/>
        <w:tabs>
          <w:tab w:val="right" w:leader="dot" w:pos="8290"/>
        </w:tabs>
        <w:spacing w:line="360" w:lineRule="auto"/>
        <w:rPr>
          <w:rFonts w:ascii="宋体" w:hAnsi="宋体" w:eastAsia="宋体"/>
        </w:rPr>
      </w:pPr>
      <w:r>
        <w:fldChar w:fldCharType="begin"/>
      </w:r>
      <w:r>
        <w:instrText xml:space="preserve"> HYPERLINK \l "_Toc207939919"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_Toc207939919 \h </w:instrText>
      </w:r>
      <w:r>
        <w:rPr>
          <w:rFonts w:ascii="宋体" w:hAnsi="宋体" w:eastAsia="宋体"/>
        </w:rPr>
        <w:fldChar w:fldCharType="separate"/>
      </w:r>
      <w:r>
        <w:rPr>
          <w:rFonts w:ascii="宋体" w:hAnsi="宋体" w:eastAsia="宋体"/>
        </w:rPr>
        <w:t>148</w:t>
      </w:r>
      <w:r>
        <w:rPr>
          <w:rFonts w:ascii="宋体" w:hAnsi="宋体" w:eastAsia="宋体"/>
        </w:rPr>
        <w:fldChar w:fldCharType="end"/>
      </w:r>
      <w:r>
        <w:rPr>
          <w:rFonts w:ascii="宋体" w:hAnsi="宋体" w:eastAsia="宋体"/>
        </w:rPr>
        <w:fldChar w:fldCharType="end"/>
      </w:r>
    </w:p>
    <w:p w14:paraId="4535F9E9">
      <w:pPr>
        <w:pStyle w:val="7"/>
        <w:tabs>
          <w:tab w:val="right" w:leader="dot" w:pos="8290"/>
        </w:tabs>
        <w:spacing w:line="360" w:lineRule="auto"/>
        <w:rPr>
          <w:rFonts w:ascii="宋体" w:hAnsi="宋体" w:eastAsia="宋体"/>
        </w:rPr>
      </w:pPr>
      <w:r>
        <w:fldChar w:fldCharType="begin"/>
      </w:r>
      <w:r>
        <w:instrText xml:space="preserve"> HYPERLINK \l "_Toc207939920"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_Toc207939920 \h </w:instrText>
      </w:r>
      <w:r>
        <w:rPr>
          <w:rFonts w:ascii="宋体" w:hAnsi="宋体" w:eastAsia="宋体"/>
        </w:rPr>
        <w:fldChar w:fldCharType="separate"/>
      </w:r>
      <w:r>
        <w:rPr>
          <w:rFonts w:ascii="宋体" w:hAnsi="宋体" w:eastAsia="宋体"/>
        </w:rPr>
        <w:t>149</w:t>
      </w:r>
      <w:r>
        <w:rPr>
          <w:rFonts w:ascii="宋体" w:hAnsi="宋体" w:eastAsia="宋体"/>
        </w:rPr>
        <w:fldChar w:fldCharType="end"/>
      </w:r>
      <w:r>
        <w:rPr>
          <w:rFonts w:ascii="宋体" w:hAnsi="宋体" w:eastAsia="宋体"/>
        </w:rPr>
        <w:fldChar w:fldCharType="end"/>
      </w:r>
    </w:p>
    <w:p w14:paraId="63332328">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2769B43B">
      <w:pPr>
        <w:pStyle w:val="2"/>
        <w:jc w:val="center"/>
        <w:rPr>
          <w:rFonts w:ascii="宋体" w:hAnsi="宋体" w:eastAsia="宋体"/>
          <w:sz w:val="30"/>
        </w:rPr>
      </w:pPr>
      <w:bookmarkStart w:id="3" w:name="chapter_level1_3_2344"/>
      <w:bookmarkStart w:id="4" w:name="_Toc207939897"/>
      <w:r>
        <w:rPr>
          <w:rFonts w:hint="eastAsia" w:ascii="宋体" w:hAnsi="宋体" w:eastAsia="宋体"/>
          <w:sz w:val="30"/>
        </w:rPr>
        <w:t>第一部分  绪言</w:t>
      </w:r>
      <w:bookmarkEnd w:id="3"/>
      <w:bookmarkEnd w:id="4"/>
    </w:p>
    <w:p w14:paraId="79093680">
      <w:pPr>
        <w:pStyle w:val="8"/>
        <w:spacing w:before="0" w:beforeAutospacing="0" w:after="0" w:afterAutospacing="0" w:line="360" w:lineRule="auto"/>
        <w:ind w:firstLine="420"/>
        <w:rPr>
          <w:sz w:val="21"/>
          <w:szCs w:val="21"/>
        </w:rPr>
      </w:pPr>
      <w:bookmarkStart w:id="5" w:name="chapter_level1_3_2344_section_1"/>
      <w:bookmarkEnd w:id="5"/>
      <w:r>
        <w:rPr>
          <w:rFonts w:hint="eastAsia"/>
          <w:sz w:val="21"/>
          <w:szCs w:val="21"/>
        </w:rPr>
        <w:t>《</w:t>
      </w:r>
      <w:r>
        <w:rPr>
          <w:rFonts w:hint="eastAsia"/>
          <w:sz w:val="21"/>
          <w:szCs w:val="21"/>
          <w:lang w:eastAsia="zh-CN"/>
        </w:rPr>
        <w:t>博时国证粮食产业交易型开放式指数证券投资基金发起式联接基金</w:t>
      </w:r>
      <w:r>
        <w:rPr>
          <w:rFonts w:hint="eastAsia"/>
          <w:sz w:val="21"/>
          <w:szCs w:val="21"/>
        </w:rPr>
        <w:t>招募说明书》（以下简称“招募说明书”或“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r>
        <w:rPr>
          <w:rFonts w:hint="eastAsia"/>
          <w:sz w:val="21"/>
          <w:szCs w:val="21"/>
          <w:lang w:eastAsia="zh-CN"/>
        </w:rPr>
        <w:t>博时国证粮食产业交易型开放式指数证券投资基金发起式联接基金</w:t>
      </w:r>
      <w:r>
        <w:rPr>
          <w:rFonts w:hint="eastAsia"/>
          <w:sz w:val="21"/>
          <w:szCs w:val="21"/>
        </w:rPr>
        <w:t>基金合同》（以下简称“《基金合同》”）编写。</w:t>
      </w:r>
    </w:p>
    <w:p w14:paraId="1A47A956">
      <w:pPr>
        <w:pStyle w:val="8"/>
        <w:spacing w:before="0" w:beforeAutospacing="0" w:after="0" w:afterAutospacing="0" w:line="360" w:lineRule="auto"/>
        <w:ind w:firstLine="420"/>
        <w:rPr>
          <w:sz w:val="21"/>
          <w:szCs w:val="21"/>
        </w:rPr>
      </w:pPr>
      <w:r>
        <w:rPr>
          <w:rFonts w:hint="eastAsia"/>
          <w:sz w:val="21"/>
          <w:szCs w:val="21"/>
        </w:rPr>
        <w:t>本招募说明书阐述了</w:t>
      </w:r>
      <w:r>
        <w:rPr>
          <w:rFonts w:hint="eastAsia"/>
          <w:sz w:val="21"/>
          <w:szCs w:val="21"/>
          <w:lang w:eastAsia="zh-CN"/>
        </w:rPr>
        <w:t>博时国证粮食产业交易型开放式指数证券投资基金发起式联接基金</w:t>
      </w:r>
      <w:r>
        <w:rPr>
          <w:rFonts w:hint="eastAsia"/>
          <w:sz w:val="21"/>
          <w:szCs w:val="21"/>
        </w:rPr>
        <w:t>（以下简称“基金”或“本基金”）的投资目标、策略、风险、费率等与投资人投资决策有关的必要事项，投资人在作出投资决策前应仔细阅读本招募说明书。</w:t>
      </w:r>
    </w:p>
    <w:p w14:paraId="6A4C27EA">
      <w:pPr>
        <w:pStyle w:val="8"/>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基金管理人承诺本招募说明书不存在任何虚假记载、误导性陈述或者重大遗漏，并对其真实性、准确性、完整性承担法律责任。</w:t>
      </w:r>
    </w:p>
    <w:p w14:paraId="64251B68">
      <w:pPr>
        <w:pStyle w:val="8"/>
        <w:spacing w:before="0" w:beforeAutospacing="0" w:after="0" w:afterAutospacing="0" w:line="360" w:lineRule="auto"/>
        <w:ind w:firstLine="420"/>
        <w:rPr>
          <w:sz w:val="21"/>
          <w:szCs w:val="21"/>
        </w:rPr>
      </w:pPr>
      <w:r>
        <w:rPr>
          <w:rFonts w:hint="eastAsia"/>
          <w:sz w:val="21"/>
          <w:szCs w:val="21"/>
        </w:rPr>
        <w:t>本基金管理人没有委托或授权任何其他人提供未在本招募说明书中载明的信息，或对本招募说明书作任何解释或者说明。</w:t>
      </w:r>
    </w:p>
    <w:p w14:paraId="33279E58">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w:t>
      </w:r>
      <w:bookmarkStart w:id="6" w:name="chapter_level1_3_2344_section_1_end"/>
      <w:bookmarkEnd w:id="6"/>
      <w:r>
        <w:rPr>
          <w:rFonts w:hint="eastAsia"/>
          <w:sz w:val="21"/>
          <w:szCs w:val="21"/>
        </w:rPr>
        <w:t>资人欲了解基金份额持有人的权利和义务，应详细查阅基金合同。</w:t>
      </w:r>
    </w:p>
    <w:p w14:paraId="2C07526D">
      <w:pPr>
        <w:widowControl/>
        <w:jc w:val="left"/>
        <w:rPr>
          <w:rFonts w:ascii="宋体" w:hAnsi="宋体" w:eastAsia="宋体"/>
        </w:rPr>
      </w:pPr>
      <w:r>
        <w:rPr>
          <w:rFonts w:ascii="宋体" w:hAnsi="宋体" w:eastAsia="宋体"/>
        </w:rPr>
        <w:br w:type="page"/>
      </w:r>
    </w:p>
    <w:p w14:paraId="3787DDD6">
      <w:pPr>
        <w:pStyle w:val="2"/>
        <w:jc w:val="center"/>
        <w:rPr>
          <w:rFonts w:ascii="宋体" w:hAnsi="宋体" w:eastAsia="宋体"/>
          <w:sz w:val="30"/>
        </w:rPr>
      </w:pPr>
      <w:bookmarkStart w:id="7" w:name="_Toc207939898"/>
      <w:bookmarkStart w:id="8" w:name="chapter_level1_4_49"/>
      <w:r>
        <w:rPr>
          <w:rFonts w:hint="eastAsia" w:ascii="宋体" w:hAnsi="宋体" w:eastAsia="宋体"/>
          <w:sz w:val="30"/>
        </w:rPr>
        <w:t>第二部分  释义</w:t>
      </w:r>
      <w:bookmarkEnd w:id="7"/>
      <w:bookmarkEnd w:id="8"/>
    </w:p>
    <w:p w14:paraId="247D55A8">
      <w:pPr>
        <w:pStyle w:val="8"/>
        <w:spacing w:before="0" w:beforeAutospacing="0" w:after="0" w:afterAutospacing="0" w:line="360" w:lineRule="auto"/>
        <w:ind w:firstLine="420"/>
        <w:rPr>
          <w:sz w:val="21"/>
          <w:szCs w:val="21"/>
        </w:rPr>
      </w:pPr>
      <w:bookmarkStart w:id="9" w:name="chapter_level1_4_49_section_1"/>
      <w:bookmarkEnd w:id="9"/>
      <w:r>
        <w:rPr>
          <w:rFonts w:hint="eastAsia"/>
          <w:sz w:val="21"/>
          <w:szCs w:val="21"/>
        </w:rPr>
        <w:t>在本招募说明书中，除非文意另有所指，下列词语或简称具有如下含义： </w:t>
      </w:r>
    </w:p>
    <w:p w14:paraId="7B3483F5">
      <w:pPr>
        <w:pStyle w:val="8"/>
        <w:spacing w:before="0" w:beforeAutospacing="0" w:after="0" w:afterAutospacing="0" w:line="360" w:lineRule="auto"/>
        <w:ind w:firstLine="420"/>
        <w:rPr>
          <w:rFonts w:hint="eastAsia" w:eastAsia="宋体"/>
          <w:sz w:val="21"/>
          <w:szCs w:val="21"/>
          <w:lang w:eastAsia="zh-CN"/>
        </w:rPr>
      </w:pPr>
      <w:r>
        <w:rPr>
          <w:rFonts w:hint="eastAsia"/>
          <w:sz w:val="21"/>
          <w:szCs w:val="21"/>
        </w:rPr>
        <w:t>1、基金或本基金：指</w:t>
      </w:r>
      <w:r>
        <w:rPr>
          <w:rFonts w:hint="eastAsia"/>
          <w:sz w:val="21"/>
          <w:szCs w:val="21"/>
          <w:lang w:eastAsia="zh-CN"/>
        </w:rPr>
        <w:t>博时国证粮食产业交易型开放式指数证券投资基金发起式联接基金，本基金由博时国证粮食产业指数型发起式证券投资基金变更而来</w:t>
      </w:r>
    </w:p>
    <w:p w14:paraId="4CD75D3D">
      <w:pPr>
        <w:pStyle w:val="8"/>
        <w:spacing w:before="0" w:beforeAutospacing="0" w:after="0" w:afterAutospacing="0" w:line="360" w:lineRule="auto"/>
        <w:ind w:firstLine="420"/>
        <w:rPr>
          <w:sz w:val="21"/>
          <w:szCs w:val="21"/>
        </w:rPr>
      </w:pPr>
      <w:r>
        <w:rPr>
          <w:rFonts w:hint="eastAsia"/>
          <w:sz w:val="21"/>
          <w:szCs w:val="21"/>
        </w:rPr>
        <w:t>2、基金管理人：指博时基金管理有限公司</w:t>
      </w:r>
    </w:p>
    <w:p w14:paraId="5CCF8F85">
      <w:pPr>
        <w:pStyle w:val="8"/>
        <w:spacing w:before="0" w:beforeAutospacing="0" w:after="0" w:afterAutospacing="0" w:line="360" w:lineRule="auto"/>
        <w:ind w:firstLine="420"/>
        <w:rPr>
          <w:sz w:val="21"/>
          <w:szCs w:val="21"/>
        </w:rPr>
      </w:pPr>
      <w:r>
        <w:rPr>
          <w:rFonts w:hint="eastAsia"/>
          <w:sz w:val="21"/>
          <w:szCs w:val="21"/>
        </w:rPr>
        <w:t>3、基金托管人：指</w:t>
      </w:r>
      <w:bookmarkStart w:id="10" w:name="field_0_trustorgfullname_1"/>
      <w:r>
        <w:rPr>
          <w:rFonts w:hint="eastAsia"/>
          <w:sz w:val="21"/>
          <w:szCs w:val="21"/>
        </w:rPr>
        <w:t>兴业银行股份有限公司</w:t>
      </w:r>
      <w:bookmarkEnd w:id="10"/>
    </w:p>
    <w:p w14:paraId="174B2B7F">
      <w:pPr>
        <w:pStyle w:val="8"/>
        <w:spacing w:before="0" w:beforeAutospacing="0" w:after="0" w:afterAutospacing="0" w:line="360" w:lineRule="auto"/>
        <w:ind w:firstLine="420"/>
        <w:rPr>
          <w:sz w:val="21"/>
          <w:szCs w:val="21"/>
        </w:rPr>
      </w:pPr>
      <w:r>
        <w:rPr>
          <w:rFonts w:hint="eastAsia"/>
          <w:sz w:val="21"/>
          <w:szCs w:val="21"/>
        </w:rPr>
        <w:t>4、基金合同：指《</w:t>
      </w:r>
      <w:r>
        <w:rPr>
          <w:rFonts w:hint="eastAsia"/>
          <w:sz w:val="21"/>
          <w:szCs w:val="21"/>
          <w:lang w:eastAsia="zh-CN"/>
        </w:rPr>
        <w:t>博时国证粮食产业交易型开放式指数证券投资基金发起式联接基金</w:t>
      </w:r>
      <w:r>
        <w:rPr>
          <w:rFonts w:hint="eastAsia"/>
          <w:sz w:val="21"/>
          <w:szCs w:val="21"/>
        </w:rPr>
        <w:t>基金合同》及对基金合同的任何有效修订和补充</w:t>
      </w:r>
    </w:p>
    <w:p w14:paraId="28CBA310">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r>
        <w:rPr>
          <w:rFonts w:hint="eastAsia"/>
          <w:sz w:val="21"/>
          <w:szCs w:val="21"/>
          <w:lang w:eastAsia="zh-CN"/>
        </w:rPr>
        <w:t>博时国证粮食产业交易型开放式指数证券投资基金发起式联接基金</w:t>
      </w:r>
      <w:r>
        <w:rPr>
          <w:rFonts w:hint="eastAsia"/>
          <w:sz w:val="21"/>
          <w:szCs w:val="21"/>
        </w:rPr>
        <w:t>托管协议》及对该托管协议的任何有效修订和补充</w:t>
      </w:r>
    </w:p>
    <w:p w14:paraId="70EA4F84">
      <w:pPr>
        <w:pStyle w:val="8"/>
        <w:spacing w:before="0" w:beforeAutospacing="0" w:after="0" w:afterAutospacing="0" w:line="360" w:lineRule="auto"/>
        <w:ind w:firstLine="420"/>
        <w:rPr>
          <w:sz w:val="21"/>
          <w:szCs w:val="21"/>
        </w:rPr>
      </w:pPr>
      <w:r>
        <w:rPr>
          <w:rFonts w:hint="eastAsia"/>
          <w:sz w:val="21"/>
          <w:szCs w:val="21"/>
        </w:rPr>
        <w:t>6、招募说明书或本招募说明书：指《</w:t>
      </w:r>
      <w:r>
        <w:rPr>
          <w:rFonts w:hint="eastAsia"/>
          <w:sz w:val="21"/>
          <w:szCs w:val="21"/>
          <w:lang w:eastAsia="zh-CN"/>
        </w:rPr>
        <w:t>博时国证粮食产业交易型开放式指数证券投资基金发起式联接基金</w:t>
      </w:r>
      <w:r>
        <w:rPr>
          <w:rFonts w:hint="eastAsia"/>
          <w:sz w:val="21"/>
          <w:szCs w:val="21"/>
        </w:rPr>
        <w:t>招募说明书》及其更新</w:t>
      </w:r>
    </w:p>
    <w:p w14:paraId="6FCB709E">
      <w:pPr>
        <w:pStyle w:val="8"/>
        <w:spacing w:before="0" w:beforeAutospacing="0" w:after="0" w:afterAutospacing="0" w:line="360" w:lineRule="auto"/>
        <w:ind w:firstLine="420"/>
        <w:rPr>
          <w:sz w:val="21"/>
          <w:szCs w:val="21"/>
        </w:rPr>
      </w:pPr>
      <w:r>
        <w:rPr>
          <w:rFonts w:hint="eastAsia"/>
          <w:sz w:val="21"/>
          <w:szCs w:val="21"/>
        </w:rPr>
        <w:t>7、基金产品资料概要：指《</w:t>
      </w:r>
      <w:r>
        <w:rPr>
          <w:rFonts w:hint="eastAsia"/>
          <w:sz w:val="21"/>
          <w:szCs w:val="21"/>
          <w:lang w:eastAsia="zh-CN"/>
        </w:rPr>
        <w:t>博时国证粮食产业交易型开放式指数证券投资基金发起式联接基金</w:t>
      </w:r>
      <w:r>
        <w:rPr>
          <w:rFonts w:hint="eastAsia"/>
          <w:sz w:val="21"/>
          <w:szCs w:val="21"/>
        </w:rPr>
        <w:t>基金产品资料概要》及其更新</w:t>
      </w:r>
    </w:p>
    <w:p w14:paraId="3A66C11A">
      <w:pPr>
        <w:pStyle w:val="8"/>
        <w:spacing w:before="0" w:beforeAutospacing="0" w:after="0" w:afterAutospacing="0" w:line="360" w:lineRule="auto"/>
        <w:ind w:firstLine="420"/>
        <w:rPr>
          <w:sz w:val="21"/>
          <w:szCs w:val="21"/>
        </w:rPr>
      </w:pPr>
      <w:r>
        <w:rPr>
          <w:rFonts w:hint="eastAsia"/>
          <w:sz w:val="21"/>
          <w:szCs w:val="21"/>
          <w:lang w:val="en-US" w:eastAsia="zh-CN"/>
        </w:rPr>
        <w:t>8</w:t>
      </w:r>
      <w:r>
        <w:rPr>
          <w:rFonts w:hint="eastAsia"/>
          <w:sz w:val="21"/>
          <w:szCs w:val="21"/>
        </w:rPr>
        <w:t>、法律法规：指中国现行有效并公布实施的法律、行政法规、规范性文件、司法解释、行政规章以及其他对基金合同当事人有约束力的决定、决议、通知等</w:t>
      </w:r>
    </w:p>
    <w:p w14:paraId="19D4634A">
      <w:pPr>
        <w:pStyle w:val="8"/>
        <w:spacing w:before="0" w:beforeAutospacing="0" w:after="0" w:afterAutospacing="0" w:line="360" w:lineRule="auto"/>
        <w:ind w:firstLine="420"/>
        <w:rPr>
          <w:sz w:val="21"/>
          <w:szCs w:val="21"/>
        </w:rPr>
      </w:pPr>
      <w:r>
        <w:rPr>
          <w:rFonts w:hint="eastAsia"/>
          <w:sz w:val="21"/>
          <w:szCs w:val="21"/>
          <w:lang w:val="en-US" w:eastAsia="zh-CN"/>
        </w:rPr>
        <w:t>9</w:t>
      </w:r>
      <w:r>
        <w:rPr>
          <w:rFonts w:hint="eastAsia"/>
          <w:sz w:val="21"/>
          <w:szCs w:val="21"/>
        </w:rPr>
        <w:t>、《基金法》：指2003年10月28日经第十届全国人民代表大会常务委员会第五次会议通过，经2012年12月28日第十一届全国人民代表大会常务委员会第30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18F0DFBE">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0</w:t>
      </w:r>
      <w:r>
        <w:rPr>
          <w:rFonts w:hint="eastAsia"/>
          <w:sz w:val="21"/>
          <w:szCs w:val="21"/>
        </w:rPr>
        <w:t>、《销售办法》：指中国证监会2020年8月28日颁布、同年10月1日实施的《公开募集证券投资基金销售机构监督管理办法》及颁布机关对其不时做出的修订</w:t>
      </w:r>
    </w:p>
    <w:p w14:paraId="2A0A7D4B">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1</w:t>
      </w:r>
      <w:r>
        <w:rPr>
          <w:rFonts w:hint="eastAsia"/>
          <w:sz w:val="21"/>
          <w:szCs w:val="21"/>
        </w:rPr>
        <w:t>、《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1B7F8C1B">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2</w:t>
      </w:r>
      <w:r>
        <w:rPr>
          <w:rFonts w:hint="eastAsia"/>
          <w:sz w:val="21"/>
          <w:szCs w:val="21"/>
        </w:rPr>
        <w:t>、《运作办法》：指中国证监会2014年7月7日颁布、同年8月8日实施的《公开募集证券投资基金运作管理办法》及颁布机关对其不时做出的修订</w:t>
      </w:r>
    </w:p>
    <w:p w14:paraId="24D69478">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3</w:t>
      </w:r>
      <w:r>
        <w:rPr>
          <w:rFonts w:hint="eastAsia"/>
          <w:sz w:val="21"/>
          <w:szCs w:val="21"/>
        </w:rPr>
        <w:t>、《流动性风险管理规定》：指中国证监会2017年8月31日颁布、同年10月1日实施的《公开募集开放式证券投资基金流动性风险管理规定》及颁布机关对其不时做出的修订</w:t>
      </w:r>
    </w:p>
    <w:p w14:paraId="4198DFED">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4</w:t>
      </w:r>
      <w:r>
        <w:rPr>
          <w:rFonts w:hint="eastAsia"/>
          <w:sz w:val="21"/>
          <w:szCs w:val="21"/>
        </w:rPr>
        <w:t>、中国证监会：指中国证券监督管理委员会</w:t>
      </w:r>
    </w:p>
    <w:p w14:paraId="2E9AE12E">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5</w:t>
      </w:r>
      <w:r>
        <w:rPr>
          <w:rFonts w:hint="eastAsia"/>
          <w:sz w:val="21"/>
          <w:szCs w:val="21"/>
        </w:rPr>
        <w:t>、银行业监督管理机构：指中国人民银行和/或国家金融监督管理总局</w:t>
      </w:r>
    </w:p>
    <w:p w14:paraId="2B53EECE">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6</w:t>
      </w:r>
      <w:r>
        <w:rPr>
          <w:rFonts w:hint="eastAsia"/>
          <w:sz w:val="21"/>
          <w:szCs w:val="21"/>
        </w:rPr>
        <w:t>、基金合同当事人：指受基金合同约束，根据基金合同享有权利并承担义务的法律主体，包括基金管理人、基金托管人和基金份额持有人</w:t>
      </w:r>
    </w:p>
    <w:p w14:paraId="1C22DE2D">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7</w:t>
      </w:r>
      <w:r>
        <w:rPr>
          <w:rFonts w:hint="eastAsia"/>
          <w:sz w:val="21"/>
          <w:szCs w:val="21"/>
        </w:rPr>
        <w:t>、个人投资者：指依据有关法律法规规定可投资于证券投资基金的自然人</w:t>
      </w:r>
    </w:p>
    <w:p w14:paraId="4B299172">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8</w:t>
      </w:r>
      <w:r>
        <w:rPr>
          <w:rFonts w:hint="eastAsia"/>
          <w:sz w:val="21"/>
          <w:szCs w:val="21"/>
        </w:rPr>
        <w:t>、机构投资者：指依法可以投资证券投资基金的、在中华人民共和国境内合法登记并存续或经有关政府部门批准设立并存续的企业法人、事业法人、社会团体或其他组织</w:t>
      </w:r>
    </w:p>
    <w:p w14:paraId="0FAD76C8">
      <w:pPr>
        <w:pStyle w:val="8"/>
        <w:spacing w:before="0" w:beforeAutospacing="0" w:after="0" w:afterAutospacing="0" w:line="360" w:lineRule="auto"/>
        <w:ind w:firstLine="420"/>
        <w:rPr>
          <w:sz w:val="21"/>
          <w:szCs w:val="21"/>
        </w:rPr>
      </w:pPr>
      <w:r>
        <w:rPr>
          <w:rFonts w:hint="eastAsia"/>
          <w:sz w:val="21"/>
          <w:szCs w:val="21"/>
          <w:lang w:val="en-US" w:eastAsia="zh-CN"/>
        </w:rPr>
        <w:t>19</w:t>
      </w:r>
      <w:r>
        <w:rPr>
          <w:rFonts w:hint="eastAsia"/>
          <w:sz w:val="21"/>
          <w:szCs w:val="21"/>
        </w:rPr>
        <w:t>、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476D945A">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0</w:t>
      </w:r>
      <w:r>
        <w:rPr>
          <w:rFonts w:hint="eastAsia"/>
          <w:sz w:val="21"/>
          <w:szCs w:val="21"/>
        </w:rPr>
        <w:t>、投资人、投资者：指个人投资者、机构投资者、合格境外投资者、发起资金提供方以及法律法规或中国证监会允许购买证券投资基金的其他投资人的合称</w:t>
      </w:r>
    </w:p>
    <w:p w14:paraId="4FDBCB82">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1</w:t>
      </w:r>
      <w:r>
        <w:rPr>
          <w:rFonts w:hint="eastAsia"/>
          <w:sz w:val="21"/>
          <w:szCs w:val="21"/>
        </w:rPr>
        <w:t>、基金份额持有人：指依基金合同和招募说明书合法取得基金份额的投资人</w:t>
      </w:r>
    </w:p>
    <w:p w14:paraId="61242B4E">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2</w:t>
      </w:r>
      <w:r>
        <w:rPr>
          <w:rFonts w:hint="eastAsia"/>
          <w:sz w:val="21"/>
          <w:szCs w:val="21"/>
        </w:rPr>
        <w:t>、基金销售业务：指基金管理人或销售机构宣传推介基金，发售基金份额，办理基金份额的申购、赎回、转换、转托管及定期定额投资等业务</w:t>
      </w:r>
    </w:p>
    <w:p w14:paraId="78458408">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3</w:t>
      </w:r>
      <w:r>
        <w:rPr>
          <w:rFonts w:hint="eastAsia"/>
          <w:sz w:val="21"/>
          <w:szCs w:val="21"/>
        </w:rPr>
        <w:t>、销售机构：指博时基金管理有限公司以及符合《销售办法》和中国证监会规定的其他条件，取得基金销售业务资格并与基金管理人签订了基金销售服务协议，办理基金销售业务的机构</w:t>
      </w:r>
    </w:p>
    <w:p w14:paraId="02EFA952">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4</w:t>
      </w:r>
      <w:r>
        <w:rPr>
          <w:rFonts w:hint="eastAsia"/>
          <w:sz w:val="21"/>
          <w:szCs w:val="21"/>
        </w:rPr>
        <w:t>、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02567E22">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5</w:t>
      </w:r>
      <w:r>
        <w:rPr>
          <w:rFonts w:hint="eastAsia"/>
          <w:sz w:val="21"/>
          <w:szCs w:val="21"/>
        </w:rPr>
        <w:t>、登记机构：指办理登记业务的机构。本基金的登记机构为博时基金管理有限公司</w:t>
      </w:r>
    </w:p>
    <w:p w14:paraId="034AD255">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6</w:t>
      </w:r>
      <w:r>
        <w:rPr>
          <w:rFonts w:hint="eastAsia"/>
          <w:sz w:val="21"/>
          <w:szCs w:val="21"/>
        </w:rPr>
        <w:t>、基金账户：指登记机构为投资人开立的、记录其持有的、基金管理人所管理的基金份额余额及其变动情况的账户</w:t>
      </w:r>
    </w:p>
    <w:p w14:paraId="2996D3FF">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7</w:t>
      </w:r>
      <w:r>
        <w:rPr>
          <w:rFonts w:hint="eastAsia"/>
          <w:sz w:val="21"/>
          <w:szCs w:val="21"/>
        </w:rPr>
        <w:t>、基金交易账户：指销售机构为投资人开立的、记录投资人通过该销售机构办理认购、申购、赎回、转换、转托管及定期定额投资等业务而引起的基金份额变动及结余情况的账户</w:t>
      </w:r>
    </w:p>
    <w:p w14:paraId="58567B4B">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8</w:t>
      </w:r>
      <w:r>
        <w:rPr>
          <w:rFonts w:hint="eastAsia"/>
          <w:sz w:val="21"/>
          <w:szCs w:val="21"/>
        </w:rPr>
        <w:t>、基金合同生效日：指</w:t>
      </w:r>
      <w:r>
        <w:rPr>
          <w:rFonts w:hint="eastAsia" w:cs="宋体" w:asciiTheme="minorEastAsia" w:hAnsiTheme="minorEastAsia"/>
          <w:kern w:val="0"/>
          <w:sz w:val="21"/>
          <w:szCs w:val="21"/>
        </w:rPr>
        <w:t>《博时</w:t>
      </w:r>
      <w:r>
        <w:rPr>
          <w:rFonts w:hint="eastAsia" w:cs="宋体" w:asciiTheme="minorEastAsia" w:hAnsiTheme="minorEastAsia"/>
          <w:kern w:val="0"/>
          <w:sz w:val="21"/>
          <w:szCs w:val="21"/>
          <w:lang w:eastAsia="zh-CN"/>
        </w:rPr>
        <w:t>国证粮食</w:t>
      </w:r>
      <w:r>
        <w:rPr>
          <w:rFonts w:hint="eastAsia" w:cs="宋体" w:asciiTheme="minorEastAsia" w:hAnsiTheme="minorEastAsia"/>
          <w:kern w:val="0"/>
          <w:sz w:val="21"/>
          <w:szCs w:val="21"/>
        </w:rPr>
        <w:t>产业指数型发起式证券投资基金基金合同》生效日</w:t>
      </w:r>
    </w:p>
    <w:p w14:paraId="722FC80D">
      <w:pPr>
        <w:pStyle w:val="8"/>
        <w:spacing w:before="0" w:beforeAutospacing="0" w:after="0" w:afterAutospacing="0" w:line="360" w:lineRule="auto"/>
        <w:ind w:firstLine="420"/>
        <w:rPr>
          <w:sz w:val="21"/>
          <w:szCs w:val="21"/>
        </w:rPr>
      </w:pPr>
      <w:r>
        <w:rPr>
          <w:rFonts w:hint="eastAsia"/>
          <w:sz w:val="21"/>
          <w:szCs w:val="21"/>
          <w:lang w:val="en-US" w:eastAsia="zh-CN"/>
        </w:rPr>
        <w:t>29</w:t>
      </w:r>
      <w:r>
        <w:rPr>
          <w:rFonts w:hint="eastAsia"/>
          <w:sz w:val="21"/>
          <w:szCs w:val="21"/>
        </w:rPr>
        <w:t>、基金合同终止日：指基金合同规定的基金合同终止事由出现后，基金财产清算完毕，清算结果报中国证监会备案并予以公告的日期</w:t>
      </w:r>
    </w:p>
    <w:p w14:paraId="5800056B">
      <w:pPr>
        <w:pStyle w:val="8"/>
        <w:spacing w:before="0" w:beforeAutospacing="0" w:after="0" w:afterAutospacing="0" w:line="360" w:lineRule="auto"/>
        <w:ind w:firstLine="420"/>
        <w:rPr>
          <w:sz w:val="21"/>
          <w:szCs w:val="21"/>
        </w:rPr>
      </w:pPr>
      <w:r>
        <w:rPr>
          <w:rFonts w:hint="eastAsia"/>
          <w:sz w:val="21"/>
          <w:szCs w:val="21"/>
        </w:rPr>
        <w:t>3</w:t>
      </w:r>
      <w:r>
        <w:rPr>
          <w:rFonts w:hint="eastAsia"/>
          <w:sz w:val="21"/>
          <w:szCs w:val="21"/>
          <w:lang w:val="en-US" w:eastAsia="zh-CN"/>
        </w:rPr>
        <w:t>0</w:t>
      </w:r>
      <w:r>
        <w:rPr>
          <w:rFonts w:hint="eastAsia"/>
          <w:sz w:val="21"/>
          <w:szCs w:val="21"/>
        </w:rPr>
        <w:t>、基金募集期：指自基金份额发售之日起至发售结束之日止的期间，最长不得超过3个月</w:t>
      </w:r>
    </w:p>
    <w:p w14:paraId="336CA113">
      <w:pPr>
        <w:pStyle w:val="8"/>
        <w:spacing w:before="0" w:beforeAutospacing="0" w:after="0" w:afterAutospacing="0" w:line="360" w:lineRule="auto"/>
        <w:ind w:firstLine="420"/>
        <w:rPr>
          <w:sz w:val="21"/>
          <w:szCs w:val="21"/>
        </w:rPr>
      </w:pPr>
      <w:r>
        <w:rPr>
          <w:rFonts w:hint="eastAsia"/>
          <w:sz w:val="21"/>
          <w:szCs w:val="21"/>
        </w:rPr>
        <w:t>3</w:t>
      </w:r>
      <w:r>
        <w:rPr>
          <w:rFonts w:hint="eastAsia"/>
          <w:sz w:val="21"/>
          <w:szCs w:val="21"/>
          <w:lang w:val="en-US" w:eastAsia="zh-CN"/>
        </w:rPr>
        <w:t>1</w:t>
      </w:r>
      <w:r>
        <w:rPr>
          <w:rFonts w:hint="eastAsia"/>
          <w:sz w:val="21"/>
          <w:szCs w:val="21"/>
        </w:rPr>
        <w:t>、存续期：指</w:t>
      </w:r>
      <w:r>
        <w:rPr>
          <w:rFonts w:hint="eastAsia" w:cs="宋体" w:asciiTheme="minorEastAsia" w:hAnsiTheme="minorEastAsia"/>
          <w:kern w:val="0"/>
          <w:sz w:val="21"/>
          <w:szCs w:val="21"/>
        </w:rPr>
        <w:t>《博时</w:t>
      </w:r>
      <w:r>
        <w:rPr>
          <w:rFonts w:hint="eastAsia" w:cs="宋体" w:asciiTheme="minorEastAsia" w:hAnsiTheme="minorEastAsia"/>
          <w:kern w:val="0"/>
          <w:sz w:val="21"/>
          <w:szCs w:val="21"/>
          <w:lang w:eastAsia="zh-CN"/>
        </w:rPr>
        <w:t>国证粮食</w:t>
      </w:r>
      <w:r>
        <w:rPr>
          <w:rFonts w:hint="eastAsia" w:cs="宋体" w:asciiTheme="minorEastAsia" w:hAnsiTheme="minorEastAsia"/>
          <w:kern w:val="0"/>
          <w:sz w:val="21"/>
          <w:szCs w:val="21"/>
        </w:rPr>
        <w:t>产业指数型发起式证券投资基金基金合同》生效至本基金基金合同终止之间的不定期期限</w:t>
      </w:r>
    </w:p>
    <w:p w14:paraId="7D334C6F">
      <w:pPr>
        <w:pStyle w:val="8"/>
        <w:spacing w:before="0" w:beforeAutospacing="0" w:after="0" w:afterAutospacing="0" w:line="360" w:lineRule="auto"/>
        <w:ind w:firstLine="420"/>
        <w:rPr>
          <w:sz w:val="21"/>
          <w:szCs w:val="21"/>
        </w:rPr>
      </w:pPr>
      <w:r>
        <w:rPr>
          <w:rFonts w:hint="eastAsia"/>
          <w:sz w:val="21"/>
          <w:szCs w:val="21"/>
        </w:rPr>
        <w:t>3</w:t>
      </w:r>
      <w:r>
        <w:rPr>
          <w:rFonts w:hint="eastAsia"/>
          <w:sz w:val="21"/>
          <w:szCs w:val="21"/>
          <w:lang w:val="en-US" w:eastAsia="zh-CN"/>
        </w:rPr>
        <w:t>2</w:t>
      </w:r>
      <w:r>
        <w:rPr>
          <w:rFonts w:hint="eastAsia"/>
          <w:sz w:val="21"/>
          <w:szCs w:val="21"/>
        </w:rPr>
        <w:t>、工作日：指上海证券交易所、深圳证券交易所及相关期货交易所的正常交易日</w:t>
      </w:r>
    </w:p>
    <w:p w14:paraId="0A68D814">
      <w:pPr>
        <w:pStyle w:val="8"/>
        <w:spacing w:before="0" w:beforeAutospacing="0" w:after="0" w:afterAutospacing="0" w:line="360" w:lineRule="auto"/>
        <w:ind w:firstLine="420"/>
        <w:rPr>
          <w:sz w:val="21"/>
          <w:szCs w:val="21"/>
        </w:rPr>
      </w:pPr>
      <w:r>
        <w:rPr>
          <w:rFonts w:hint="eastAsia"/>
          <w:sz w:val="21"/>
          <w:szCs w:val="21"/>
        </w:rPr>
        <w:t>3</w:t>
      </w:r>
      <w:r>
        <w:rPr>
          <w:rFonts w:hint="eastAsia"/>
          <w:sz w:val="21"/>
          <w:szCs w:val="21"/>
          <w:lang w:val="en-US" w:eastAsia="zh-CN"/>
        </w:rPr>
        <w:t>3</w:t>
      </w:r>
      <w:r>
        <w:rPr>
          <w:rFonts w:hint="eastAsia"/>
          <w:sz w:val="21"/>
          <w:szCs w:val="21"/>
        </w:rPr>
        <w:t>、T日：指销售机构在规定时间受理投资人申购、赎回或其他业务申请的开放日</w:t>
      </w:r>
    </w:p>
    <w:p w14:paraId="68AC0F26">
      <w:pPr>
        <w:pStyle w:val="8"/>
        <w:spacing w:before="0" w:beforeAutospacing="0" w:after="0" w:afterAutospacing="0" w:line="360" w:lineRule="auto"/>
        <w:ind w:firstLine="420"/>
        <w:rPr>
          <w:sz w:val="21"/>
          <w:szCs w:val="21"/>
        </w:rPr>
      </w:pPr>
      <w:r>
        <w:rPr>
          <w:rFonts w:hint="eastAsia"/>
          <w:sz w:val="21"/>
          <w:szCs w:val="21"/>
        </w:rPr>
        <w:t>3</w:t>
      </w:r>
      <w:r>
        <w:rPr>
          <w:rFonts w:hint="eastAsia"/>
          <w:sz w:val="21"/>
          <w:szCs w:val="21"/>
          <w:lang w:val="en-US" w:eastAsia="zh-CN"/>
        </w:rPr>
        <w:t>4</w:t>
      </w:r>
      <w:r>
        <w:rPr>
          <w:rFonts w:hint="eastAsia"/>
          <w:sz w:val="21"/>
          <w:szCs w:val="21"/>
        </w:rPr>
        <w:t>、T+n日：指自T日起第n个工作日（不包含T日），n为自然数</w:t>
      </w:r>
    </w:p>
    <w:p w14:paraId="0A787630">
      <w:pPr>
        <w:pStyle w:val="8"/>
        <w:spacing w:before="0" w:beforeAutospacing="0" w:after="0" w:afterAutospacing="0" w:line="360" w:lineRule="auto"/>
        <w:ind w:firstLine="420"/>
        <w:rPr>
          <w:sz w:val="21"/>
          <w:szCs w:val="21"/>
        </w:rPr>
      </w:pPr>
      <w:r>
        <w:rPr>
          <w:rFonts w:hint="eastAsia"/>
          <w:sz w:val="21"/>
          <w:szCs w:val="21"/>
        </w:rPr>
        <w:t>3</w:t>
      </w:r>
      <w:r>
        <w:rPr>
          <w:rFonts w:hint="eastAsia"/>
          <w:sz w:val="21"/>
          <w:szCs w:val="21"/>
          <w:lang w:val="en-US" w:eastAsia="zh-CN"/>
        </w:rPr>
        <w:t>5</w:t>
      </w:r>
      <w:r>
        <w:rPr>
          <w:rFonts w:hint="eastAsia"/>
          <w:sz w:val="21"/>
          <w:szCs w:val="21"/>
        </w:rPr>
        <w:t>、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7A08EF52">
      <w:pPr>
        <w:pStyle w:val="8"/>
        <w:spacing w:before="0" w:beforeAutospacing="0" w:after="0" w:afterAutospacing="0" w:line="360" w:lineRule="auto"/>
        <w:ind w:firstLine="420"/>
        <w:rPr>
          <w:sz w:val="21"/>
          <w:szCs w:val="21"/>
        </w:rPr>
      </w:pPr>
      <w:r>
        <w:rPr>
          <w:rFonts w:hint="eastAsia"/>
          <w:sz w:val="21"/>
          <w:szCs w:val="21"/>
        </w:rPr>
        <w:t>3</w:t>
      </w:r>
      <w:r>
        <w:rPr>
          <w:rFonts w:hint="eastAsia"/>
          <w:sz w:val="21"/>
          <w:szCs w:val="21"/>
          <w:lang w:val="en-US" w:eastAsia="zh-CN"/>
        </w:rPr>
        <w:t>6</w:t>
      </w:r>
      <w:r>
        <w:rPr>
          <w:rFonts w:hint="eastAsia"/>
          <w:sz w:val="21"/>
          <w:szCs w:val="21"/>
        </w:rPr>
        <w:t>、开放时间：指开放日基金接受申购、赎回或其他交易的时间段</w:t>
      </w:r>
    </w:p>
    <w:p w14:paraId="4EB497C8">
      <w:pPr>
        <w:pStyle w:val="8"/>
        <w:spacing w:before="0" w:beforeAutospacing="0" w:after="0" w:afterAutospacing="0" w:line="360" w:lineRule="auto"/>
        <w:ind w:firstLine="420"/>
        <w:rPr>
          <w:sz w:val="21"/>
          <w:szCs w:val="21"/>
        </w:rPr>
      </w:pPr>
      <w:r>
        <w:rPr>
          <w:rFonts w:hint="eastAsia"/>
          <w:sz w:val="21"/>
          <w:szCs w:val="21"/>
        </w:rPr>
        <w:t>3</w:t>
      </w:r>
      <w:r>
        <w:rPr>
          <w:rFonts w:hint="eastAsia"/>
          <w:sz w:val="21"/>
          <w:szCs w:val="21"/>
          <w:lang w:val="en-US" w:eastAsia="zh-CN"/>
        </w:rPr>
        <w:t>7</w:t>
      </w:r>
      <w:r>
        <w:rPr>
          <w:rFonts w:hint="eastAsia"/>
          <w:sz w:val="21"/>
          <w:szCs w:val="21"/>
        </w:rPr>
        <w:t>、《业务规则》：指《博时基金管理有限公司开放式基金业务规则》，是规范基金管理人所管理的开放式证券投资基金登记方面的业务规则，由基金管理人、销售机构和投资人共同遵守</w:t>
      </w:r>
    </w:p>
    <w:p w14:paraId="27E34897">
      <w:pPr>
        <w:pStyle w:val="8"/>
        <w:spacing w:before="0" w:beforeAutospacing="0" w:after="0" w:afterAutospacing="0" w:line="360" w:lineRule="auto"/>
        <w:ind w:firstLine="420"/>
        <w:rPr>
          <w:sz w:val="21"/>
          <w:szCs w:val="21"/>
        </w:rPr>
      </w:pPr>
      <w:r>
        <w:rPr>
          <w:rFonts w:hint="eastAsia"/>
          <w:sz w:val="21"/>
          <w:szCs w:val="21"/>
        </w:rPr>
        <w:t>3</w:t>
      </w:r>
      <w:r>
        <w:rPr>
          <w:rFonts w:hint="eastAsia"/>
          <w:sz w:val="21"/>
          <w:szCs w:val="21"/>
          <w:lang w:val="en-US" w:eastAsia="zh-CN"/>
        </w:rPr>
        <w:t>8</w:t>
      </w:r>
      <w:r>
        <w:rPr>
          <w:rFonts w:hint="eastAsia"/>
          <w:sz w:val="21"/>
          <w:szCs w:val="21"/>
        </w:rPr>
        <w:t>、申购：指基金合同生效后，投资人根据基金合同和招募说明书的规定，申请购买基金份额的行为</w:t>
      </w:r>
    </w:p>
    <w:p w14:paraId="7DD4C054">
      <w:pPr>
        <w:pStyle w:val="8"/>
        <w:spacing w:before="0" w:beforeAutospacing="0" w:after="0" w:afterAutospacing="0" w:line="360" w:lineRule="auto"/>
        <w:ind w:firstLine="420"/>
        <w:rPr>
          <w:sz w:val="21"/>
          <w:szCs w:val="21"/>
        </w:rPr>
      </w:pPr>
      <w:r>
        <w:rPr>
          <w:rFonts w:hint="eastAsia"/>
          <w:sz w:val="21"/>
          <w:szCs w:val="21"/>
          <w:lang w:val="en-US" w:eastAsia="zh-CN"/>
        </w:rPr>
        <w:t>39</w:t>
      </w:r>
      <w:r>
        <w:rPr>
          <w:rFonts w:hint="eastAsia"/>
          <w:sz w:val="21"/>
          <w:szCs w:val="21"/>
        </w:rPr>
        <w:t>、赎回：指基金合同生效后，基金份额持有人按基金合同和招募说明书规定的条件，要求将基金份额兑换为现金的行为</w:t>
      </w:r>
    </w:p>
    <w:p w14:paraId="22C294DE">
      <w:pPr>
        <w:pStyle w:val="8"/>
        <w:spacing w:before="0" w:beforeAutospacing="0" w:after="0" w:afterAutospacing="0" w:line="360" w:lineRule="auto"/>
        <w:ind w:firstLine="420"/>
        <w:rPr>
          <w:sz w:val="21"/>
          <w:szCs w:val="21"/>
        </w:rPr>
      </w:pPr>
      <w:r>
        <w:rPr>
          <w:rFonts w:hint="eastAsia"/>
          <w:sz w:val="21"/>
          <w:szCs w:val="21"/>
        </w:rPr>
        <w:t>4</w:t>
      </w:r>
      <w:r>
        <w:rPr>
          <w:rFonts w:hint="eastAsia"/>
          <w:sz w:val="21"/>
          <w:szCs w:val="21"/>
          <w:lang w:val="en-US" w:eastAsia="zh-CN"/>
        </w:rPr>
        <w:t>0</w:t>
      </w:r>
      <w:r>
        <w:rPr>
          <w:rFonts w:hint="eastAsia"/>
          <w:sz w:val="21"/>
          <w:szCs w:val="21"/>
        </w:rPr>
        <w:t>、基金转换：指基金份额持有人按照基金合同和基金管理人届时有效公告规定的条件，申请将其持有基金管理人管理的、某一基金的基金份额转换为基金管理人管理的其他基金基金份额的行为</w:t>
      </w:r>
    </w:p>
    <w:p w14:paraId="60A239D6">
      <w:pPr>
        <w:pStyle w:val="8"/>
        <w:spacing w:before="0" w:beforeAutospacing="0" w:after="0" w:afterAutospacing="0" w:line="360" w:lineRule="auto"/>
        <w:ind w:firstLine="420"/>
        <w:rPr>
          <w:sz w:val="21"/>
          <w:szCs w:val="21"/>
        </w:rPr>
      </w:pPr>
      <w:r>
        <w:rPr>
          <w:rFonts w:hint="eastAsia"/>
          <w:sz w:val="21"/>
          <w:szCs w:val="21"/>
        </w:rPr>
        <w:t>4</w:t>
      </w:r>
      <w:r>
        <w:rPr>
          <w:rFonts w:hint="eastAsia"/>
          <w:sz w:val="21"/>
          <w:szCs w:val="21"/>
          <w:lang w:val="en-US" w:eastAsia="zh-CN"/>
        </w:rPr>
        <w:t>1</w:t>
      </w:r>
      <w:r>
        <w:rPr>
          <w:rFonts w:hint="eastAsia"/>
          <w:sz w:val="21"/>
          <w:szCs w:val="21"/>
        </w:rPr>
        <w:t>、转托管：指基金份额持有人在本基金的不同销售机构之间实施的变更所持基金份额销售机构的操作</w:t>
      </w:r>
    </w:p>
    <w:p w14:paraId="1F236072">
      <w:pPr>
        <w:pStyle w:val="8"/>
        <w:spacing w:before="0" w:beforeAutospacing="0" w:after="0" w:afterAutospacing="0" w:line="360" w:lineRule="auto"/>
        <w:ind w:firstLine="420"/>
        <w:rPr>
          <w:sz w:val="21"/>
          <w:szCs w:val="21"/>
        </w:rPr>
      </w:pPr>
      <w:r>
        <w:rPr>
          <w:rFonts w:hint="eastAsia"/>
          <w:sz w:val="21"/>
          <w:szCs w:val="21"/>
        </w:rPr>
        <w:t>4</w:t>
      </w:r>
      <w:r>
        <w:rPr>
          <w:rFonts w:hint="eastAsia"/>
          <w:sz w:val="21"/>
          <w:szCs w:val="21"/>
          <w:lang w:val="en-US" w:eastAsia="zh-CN"/>
        </w:rPr>
        <w:t>2</w:t>
      </w:r>
      <w:r>
        <w:rPr>
          <w:rFonts w:hint="eastAsia"/>
          <w:sz w:val="21"/>
          <w:szCs w:val="21"/>
        </w:rPr>
        <w:t>、定期定额投资计划：指投资人通过有关销售机构提出申请，约定每期申购日、扣款金额及扣款方式，由销售机构于每期约定扣款日在投资人指定银行账户内自动完成扣款及受理基金申购申请的一种投资方式</w:t>
      </w:r>
    </w:p>
    <w:p w14:paraId="3881690B">
      <w:pPr>
        <w:pStyle w:val="8"/>
        <w:spacing w:before="0" w:beforeAutospacing="0" w:after="0" w:afterAutospacing="0" w:line="360" w:lineRule="auto"/>
        <w:ind w:firstLine="420"/>
        <w:rPr>
          <w:sz w:val="21"/>
          <w:szCs w:val="21"/>
        </w:rPr>
      </w:pPr>
      <w:r>
        <w:rPr>
          <w:rFonts w:hint="eastAsia"/>
          <w:sz w:val="21"/>
          <w:szCs w:val="21"/>
        </w:rPr>
        <w:t>4</w:t>
      </w:r>
      <w:r>
        <w:rPr>
          <w:rFonts w:hint="eastAsia"/>
          <w:sz w:val="21"/>
          <w:szCs w:val="21"/>
          <w:lang w:val="en-US" w:eastAsia="zh-CN"/>
        </w:rPr>
        <w:t>3</w:t>
      </w:r>
      <w:r>
        <w:rPr>
          <w:rFonts w:hint="eastAsia"/>
          <w:sz w:val="21"/>
          <w:szCs w:val="21"/>
        </w:rPr>
        <w:t>、巨额赎回：指本基金单个开放日，基金净赎回申请（赎回申请份额总数加上基金转换中转出申请份额总数后扣除申购申请份额总数及基金转换中转入申请份额总数后的余额）超过上一工作日基金总份额的</w:t>
      </w:r>
      <w:bookmarkStart w:id="11" w:name="field_49_mintredeemscale_1"/>
      <w:r>
        <w:rPr>
          <w:sz w:val="21"/>
          <w:szCs w:val="21"/>
        </w:rPr>
        <w:t>10</w:t>
      </w:r>
      <w:bookmarkEnd w:id="11"/>
      <w:r>
        <w:rPr>
          <w:rFonts w:hint="eastAsia"/>
          <w:sz w:val="21"/>
          <w:szCs w:val="21"/>
        </w:rPr>
        <w:t>%</w:t>
      </w:r>
    </w:p>
    <w:p w14:paraId="061F6BB7">
      <w:pPr>
        <w:pStyle w:val="8"/>
        <w:spacing w:before="0" w:beforeAutospacing="0" w:after="0" w:afterAutospacing="0" w:line="360" w:lineRule="auto"/>
        <w:ind w:firstLine="420"/>
        <w:rPr>
          <w:sz w:val="21"/>
          <w:szCs w:val="21"/>
        </w:rPr>
      </w:pPr>
      <w:r>
        <w:rPr>
          <w:rFonts w:hint="eastAsia"/>
          <w:sz w:val="21"/>
          <w:szCs w:val="21"/>
        </w:rPr>
        <w:t>4</w:t>
      </w:r>
      <w:r>
        <w:rPr>
          <w:rFonts w:hint="eastAsia"/>
          <w:sz w:val="21"/>
          <w:szCs w:val="21"/>
          <w:lang w:val="en-US" w:eastAsia="zh-CN"/>
        </w:rPr>
        <w:t>4</w:t>
      </w:r>
      <w:r>
        <w:rPr>
          <w:rFonts w:hint="eastAsia"/>
          <w:sz w:val="21"/>
          <w:szCs w:val="21"/>
        </w:rPr>
        <w:t>、元：指人民币元</w:t>
      </w:r>
    </w:p>
    <w:p w14:paraId="73A139F4">
      <w:pPr>
        <w:pStyle w:val="8"/>
        <w:spacing w:before="0" w:beforeAutospacing="0" w:after="0" w:afterAutospacing="0" w:line="360" w:lineRule="auto"/>
        <w:ind w:firstLine="420"/>
        <w:rPr>
          <w:sz w:val="21"/>
          <w:szCs w:val="21"/>
        </w:rPr>
      </w:pPr>
      <w:r>
        <w:rPr>
          <w:rFonts w:hint="eastAsia"/>
          <w:sz w:val="21"/>
          <w:szCs w:val="21"/>
        </w:rPr>
        <w:t>4</w:t>
      </w:r>
      <w:r>
        <w:rPr>
          <w:rFonts w:hint="eastAsia"/>
          <w:sz w:val="21"/>
          <w:szCs w:val="21"/>
          <w:lang w:val="en-US" w:eastAsia="zh-CN"/>
        </w:rPr>
        <w:t>5</w:t>
      </w:r>
      <w:r>
        <w:rPr>
          <w:rFonts w:hint="eastAsia"/>
          <w:sz w:val="21"/>
          <w:szCs w:val="21"/>
        </w:rPr>
        <w:t>、基金收益：指基金投资所得红利、股息、债券利息、买卖证券价差、证券持有期间的公允价值变动、</w:t>
      </w:r>
      <w:r>
        <w:rPr>
          <w:rFonts w:hint="eastAsia" w:cs="宋体" w:asciiTheme="minorEastAsia" w:hAnsiTheme="minorEastAsia"/>
          <w:kern w:val="0"/>
          <w:sz w:val="21"/>
          <w:szCs w:val="21"/>
        </w:rPr>
        <w:t>投资目标ETF基金份额所得收益、</w:t>
      </w:r>
      <w:r>
        <w:rPr>
          <w:rFonts w:hint="eastAsia"/>
          <w:sz w:val="21"/>
          <w:szCs w:val="21"/>
        </w:rPr>
        <w:t>银行存款利息、已实现的其他合法收入及因运用基金财产带来的成本和费用的节约</w:t>
      </w:r>
    </w:p>
    <w:p w14:paraId="10299F40">
      <w:pPr>
        <w:pStyle w:val="8"/>
        <w:spacing w:before="0" w:beforeAutospacing="0" w:after="0" w:afterAutospacing="0" w:line="360" w:lineRule="auto"/>
        <w:ind w:firstLine="420"/>
        <w:rPr>
          <w:sz w:val="21"/>
          <w:szCs w:val="21"/>
        </w:rPr>
      </w:pPr>
      <w:r>
        <w:rPr>
          <w:rFonts w:hint="eastAsia"/>
          <w:sz w:val="21"/>
          <w:szCs w:val="21"/>
        </w:rPr>
        <w:t>4</w:t>
      </w:r>
      <w:r>
        <w:rPr>
          <w:rFonts w:hint="eastAsia"/>
          <w:sz w:val="21"/>
          <w:szCs w:val="21"/>
          <w:lang w:val="en-US" w:eastAsia="zh-CN"/>
        </w:rPr>
        <w:t>6</w:t>
      </w:r>
      <w:r>
        <w:rPr>
          <w:rFonts w:hint="eastAsia"/>
          <w:sz w:val="21"/>
          <w:szCs w:val="21"/>
        </w:rPr>
        <w:t>、基金资产总值：指基金拥有的各类有价证券、</w:t>
      </w:r>
      <w:r>
        <w:rPr>
          <w:rFonts w:hint="eastAsia" w:cs="宋体" w:asciiTheme="minorEastAsia" w:hAnsiTheme="minorEastAsia"/>
          <w:kern w:val="0"/>
          <w:sz w:val="21"/>
          <w:szCs w:val="21"/>
        </w:rPr>
        <w:t>目标ETF基金份额、</w:t>
      </w:r>
      <w:r>
        <w:rPr>
          <w:rFonts w:hint="eastAsia"/>
          <w:sz w:val="21"/>
          <w:szCs w:val="21"/>
        </w:rPr>
        <w:t>银行存款本息、基金应收款项及其他资产的价值总和</w:t>
      </w:r>
    </w:p>
    <w:p w14:paraId="33B2A9BD">
      <w:pPr>
        <w:pStyle w:val="8"/>
        <w:spacing w:before="0" w:beforeAutospacing="0" w:after="0" w:afterAutospacing="0" w:line="360" w:lineRule="auto"/>
        <w:ind w:firstLine="420"/>
        <w:rPr>
          <w:sz w:val="21"/>
          <w:szCs w:val="21"/>
        </w:rPr>
      </w:pPr>
      <w:r>
        <w:rPr>
          <w:rFonts w:hint="eastAsia"/>
          <w:sz w:val="21"/>
          <w:szCs w:val="21"/>
        </w:rPr>
        <w:t>4</w:t>
      </w:r>
      <w:r>
        <w:rPr>
          <w:rFonts w:hint="eastAsia"/>
          <w:sz w:val="21"/>
          <w:szCs w:val="21"/>
          <w:lang w:val="en-US" w:eastAsia="zh-CN"/>
        </w:rPr>
        <w:t>7</w:t>
      </w:r>
      <w:r>
        <w:rPr>
          <w:rFonts w:hint="eastAsia"/>
          <w:sz w:val="21"/>
          <w:szCs w:val="21"/>
        </w:rPr>
        <w:t>、基金资产净值：指基金资产总值减去基金负债后的价值</w:t>
      </w:r>
    </w:p>
    <w:p w14:paraId="40566BA3">
      <w:pPr>
        <w:pStyle w:val="8"/>
        <w:spacing w:before="0" w:beforeAutospacing="0" w:after="0" w:afterAutospacing="0" w:line="360" w:lineRule="auto"/>
        <w:ind w:firstLine="420"/>
        <w:rPr>
          <w:sz w:val="21"/>
          <w:szCs w:val="21"/>
        </w:rPr>
      </w:pPr>
      <w:r>
        <w:rPr>
          <w:rFonts w:hint="eastAsia"/>
          <w:sz w:val="21"/>
          <w:szCs w:val="21"/>
          <w:lang w:val="en-US" w:eastAsia="zh-CN"/>
        </w:rPr>
        <w:t>48</w:t>
      </w:r>
      <w:r>
        <w:rPr>
          <w:rFonts w:hint="eastAsia"/>
          <w:sz w:val="21"/>
          <w:szCs w:val="21"/>
        </w:rPr>
        <w:t>、基金份额净值：指计算日基金资产净值除以计算日基金份额总数</w:t>
      </w:r>
    </w:p>
    <w:p w14:paraId="0CEE2F46">
      <w:pPr>
        <w:pStyle w:val="8"/>
        <w:spacing w:before="0" w:beforeAutospacing="0" w:after="0" w:afterAutospacing="0" w:line="360" w:lineRule="auto"/>
        <w:ind w:firstLine="420"/>
        <w:rPr>
          <w:sz w:val="21"/>
          <w:szCs w:val="21"/>
        </w:rPr>
      </w:pPr>
      <w:r>
        <w:rPr>
          <w:rFonts w:hint="eastAsia"/>
          <w:sz w:val="21"/>
          <w:szCs w:val="21"/>
          <w:lang w:val="en-US" w:eastAsia="zh-CN"/>
        </w:rPr>
        <w:t>49</w:t>
      </w:r>
      <w:r>
        <w:rPr>
          <w:rFonts w:hint="eastAsia"/>
          <w:sz w:val="21"/>
          <w:szCs w:val="21"/>
        </w:rPr>
        <w:t>、基金资产估值：指计算评估基金资产和负债的价值，以确定基金资产净值和基金份额净值的过程</w:t>
      </w:r>
    </w:p>
    <w:p w14:paraId="685A7B69">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0</w:t>
      </w:r>
      <w:r>
        <w:rPr>
          <w:rFonts w:hint="eastAsia"/>
          <w:sz w:val="21"/>
          <w:szCs w:val="21"/>
        </w:rPr>
        <w:t>、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34CE32C3">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1</w:t>
      </w:r>
      <w:r>
        <w:rPr>
          <w:rFonts w:hint="eastAsia"/>
          <w:sz w:val="21"/>
          <w:szCs w:val="21"/>
        </w:rPr>
        <w:t>、A类基金份额：指在投资者申购时收取申购费用，在赎回时根据持有期限收取赎回费用，但不从本类别基金资产中计提销售服务费的基金份额类别</w:t>
      </w:r>
    </w:p>
    <w:p w14:paraId="575F6E6E">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2</w:t>
      </w:r>
      <w:r>
        <w:rPr>
          <w:rFonts w:hint="eastAsia"/>
          <w:sz w:val="21"/>
          <w:szCs w:val="21"/>
        </w:rPr>
        <w:t>、C类基金份额：指在投资者申购时不收取申购费用，在赎回时根据持有期限收取赎回费用，且从本类别基金资产中计提销售服务费的基金份额类别</w:t>
      </w:r>
    </w:p>
    <w:p w14:paraId="593E05F3">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3</w:t>
      </w:r>
      <w:r>
        <w:rPr>
          <w:rFonts w:hint="eastAsia"/>
          <w:sz w:val="21"/>
          <w:szCs w:val="21"/>
        </w:rPr>
        <w:t>、销售服务费：指从基金财产中计提的，用于本基金市场推广、销售以及基金份额持有人服务的费用</w:t>
      </w:r>
    </w:p>
    <w:p w14:paraId="4BEC1609">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4</w:t>
      </w:r>
      <w:r>
        <w:rPr>
          <w:rFonts w:hint="eastAsia"/>
          <w:sz w:val="21"/>
          <w:szCs w:val="21"/>
        </w:rPr>
        <w:t>、港股通：指内地投资者委托内地证券公司，经由证券交易所或经中国证监会认可的机构设立的证券交易服务公司，向香港联合交易所有限公司进行申报，买卖规定范围内的香港联合交易所上市的股票</w:t>
      </w:r>
    </w:p>
    <w:p w14:paraId="14A5BF4E">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5</w:t>
      </w:r>
      <w:r>
        <w:rPr>
          <w:rFonts w:hint="eastAsia"/>
          <w:sz w:val="21"/>
          <w:szCs w:val="21"/>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6B5E3BE4">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6</w:t>
      </w:r>
      <w:r>
        <w:rPr>
          <w:rFonts w:hint="eastAsia"/>
          <w:sz w:val="21"/>
          <w:szCs w:val="21"/>
        </w:rPr>
        <w:t>、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672742A3">
      <w:pPr>
        <w:pStyle w:val="8"/>
        <w:spacing w:before="0" w:beforeAutospacing="0" w:after="0" w:afterAutospacing="0" w:line="360" w:lineRule="auto"/>
        <w:ind w:firstLine="420"/>
        <w:rPr>
          <w:sz w:val="21"/>
          <w:szCs w:val="21"/>
        </w:rPr>
      </w:pPr>
      <w:r>
        <w:rPr>
          <w:rFonts w:hint="eastAsia"/>
          <w:sz w:val="21"/>
          <w:szCs w:val="21"/>
        </w:rPr>
        <w:t>5</w:t>
      </w:r>
      <w:r>
        <w:rPr>
          <w:rFonts w:hint="eastAsia"/>
          <w:sz w:val="21"/>
          <w:szCs w:val="21"/>
          <w:lang w:val="en-US" w:eastAsia="zh-CN"/>
        </w:rPr>
        <w:t>7</w:t>
      </w:r>
      <w:r>
        <w:rPr>
          <w:rFonts w:hint="eastAsia"/>
          <w:sz w:val="21"/>
          <w:szCs w:val="21"/>
        </w:rPr>
        <w:t>、转融通证券出借业务：指基金以一定的费率通过证券交易所综合业务平台向中国证券金融股份有限公司（以下简称证券金融公司）出借证券，证券金融公司到期归还所借证券及相应权益补偿并支付费用的业务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65F58D80">
      <w:pPr>
        <w:pStyle w:val="8"/>
        <w:spacing w:before="0" w:beforeAutospacing="0" w:after="0" w:afterAutospacing="0" w:line="360" w:lineRule="auto"/>
        <w:ind w:firstLine="420"/>
        <w:rPr>
          <w:sz w:val="21"/>
          <w:szCs w:val="21"/>
        </w:rPr>
      </w:pPr>
      <w:r>
        <w:rPr>
          <w:rFonts w:hint="eastAsia"/>
          <w:sz w:val="21"/>
          <w:szCs w:val="21"/>
          <w:lang w:val="en-US" w:eastAsia="zh-CN"/>
        </w:rPr>
        <w:t>58</w:t>
      </w:r>
      <w:r>
        <w:rPr>
          <w:rFonts w:hint="eastAsia"/>
          <w:sz w:val="21"/>
          <w:szCs w:val="21"/>
        </w:rPr>
        <w:t>、规定媒介：指符合中国证监会规定条件的用以进行信息披露的全国性报刊及《信息披露办法》规定的互联网网站（包括基金管理人网站、基金托管人网站、中国证监会基金电子披露网站）等媒介</w:t>
      </w:r>
    </w:p>
    <w:p w14:paraId="54225931">
      <w:pPr>
        <w:pStyle w:val="8"/>
        <w:spacing w:before="0" w:beforeAutospacing="0" w:after="0" w:afterAutospacing="0" w:line="360" w:lineRule="auto"/>
        <w:ind w:firstLine="420"/>
        <w:rPr>
          <w:sz w:val="21"/>
          <w:szCs w:val="21"/>
        </w:rPr>
      </w:pPr>
      <w:r>
        <w:rPr>
          <w:rFonts w:hint="eastAsia"/>
          <w:sz w:val="21"/>
          <w:szCs w:val="21"/>
          <w:lang w:val="en-US" w:eastAsia="zh-CN"/>
        </w:rPr>
        <w:t>59</w:t>
      </w:r>
      <w:r>
        <w:rPr>
          <w:rFonts w:hint="eastAsia"/>
          <w:sz w:val="21"/>
          <w:szCs w:val="21"/>
        </w:rPr>
        <w:t>、中国法律：指中华人民共和国法律，就基金合同而言，不包括香港特别行政区、澳门特别行政区和台湾地区法律</w:t>
      </w:r>
    </w:p>
    <w:p w14:paraId="620F9D73">
      <w:pPr>
        <w:pStyle w:val="8"/>
        <w:spacing w:before="0" w:beforeAutospacing="0" w:after="0" w:afterAutospacing="0" w:line="360" w:lineRule="auto"/>
        <w:ind w:firstLine="420"/>
        <w:rPr>
          <w:sz w:val="21"/>
          <w:szCs w:val="21"/>
        </w:rPr>
      </w:pPr>
      <w:r>
        <w:rPr>
          <w:rFonts w:hint="eastAsia"/>
          <w:sz w:val="21"/>
          <w:szCs w:val="21"/>
        </w:rPr>
        <w:t>6</w:t>
      </w:r>
      <w:r>
        <w:rPr>
          <w:rFonts w:hint="eastAsia"/>
          <w:sz w:val="21"/>
          <w:szCs w:val="21"/>
          <w:lang w:val="en-US" w:eastAsia="zh-CN"/>
        </w:rPr>
        <w:t>0</w:t>
      </w:r>
      <w:r>
        <w:rPr>
          <w:rFonts w:hint="eastAsia"/>
          <w:sz w:val="21"/>
          <w:szCs w:val="21"/>
        </w:rPr>
        <w:t>、不可抗力：指基金合同当事人不能预见、不能避免且不能克服的客观事件</w:t>
      </w:r>
    </w:p>
    <w:p w14:paraId="766973FE">
      <w:pPr>
        <w:pStyle w:val="8"/>
        <w:spacing w:before="0" w:beforeAutospacing="0" w:after="0" w:afterAutospacing="0" w:line="360" w:lineRule="auto"/>
        <w:ind w:firstLine="420"/>
        <w:rPr>
          <w:sz w:val="21"/>
          <w:szCs w:val="21"/>
        </w:rPr>
      </w:pPr>
      <w:r>
        <w:rPr>
          <w:rFonts w:hint="eastAsia"/>
          <w:sz w:val="21"/>
          <w:szCs w:val="21"/>
        </w:rPr>
        <w:t>6</w:t>
      </w:r>
      <w:r>
        <w:rPr>
          <w:rFonts w:hint="eastAsia"/>
          <w:sz w:val="21"/>
          <w:szCs w:val="21"/>
          <w:lang w:val="en-US" w:eastAsia="zh-CN"/>
        </w:rPr>
        <w:t>1</w:t>
      </w:r>
      <w:r>
        <w:rPr>
          <w:rFonts w:hint="eastAsia"/>
          <w:sz w:val="21"/>
          <w:szCs w:val="21"/>
        </w:rPr>
        <w:t>、《指数基金指引》：指中国证监会2021年1月22日颁布、同年2月1日实施的《公开募集证券投资基金运作指引第3号——指数基金指引》及颁布机关对其不时做出的修订</w:t>
      </w:r>
    </w:p>
    <w:p w14:paraId="2B2D7D55">
      <w:pPr>
        <w:autoSpaceDE w:val="0"/>
        <w:autoSpaceDN w:val="0"/>
        <w:adjustRightInd w:val="0"/>
        <w:spacing w:line="360" w:lineRule="auto"/>
        <w:ind w:firstLine="420" w:firstLineChars="200"/>
        <w:jc w:val="left"/>
        <w:rPr>
          <w:rFonts w:cs="宋体" w:asciiTheme="minorEastAsia" w:hAnsiTheme="minorEastAsia"/>
          <w:kern w:val="0"/>
          <w:sz w:val="21"/>
          <w:szCs w:val="21"/>
        </w:rPr>
      </w:pPr>
      <w:r>
        <w:rPr>
          <w:rFonts w:hint="eastAsia" w:ascii="宋体" w:hAnsi="宋体" w:eastAsia="宋体" w:cs="宋体"/>
          <w:kern w:val="0"/>
          <w:sz w:val="21"/>
          <w:szCs w:val="21"/>
        </w:rPr>
        <w:t>6</w:t>
      </w:r>
      <w:r>
        <w:rPr>
          <w:rFonts w:hint="eastAsia" w:ascii="宋体" w:hAnsi="宋体" w:eastAsia="宋体" w:cs="宋体"/>
          <w:kern w:val="0"/>
          <w:sz w:val="21"/>
          <w:szCs w:val="21"/>
          <w:lang w:val="en-US" w:eastAsia="zh-CN"/>
        </w:rPr>
        <w:t>2</w:t>
      </w:r>
      <w:r>
        <w:rPr>
          <w:rFonts w:hint="eastAsia"/>
          <w:sz w:val="21"/>
          <w:szCs w:val="21"/>
        </w:rPr>
        <w:t>、</w:t>
      </w:r>
      <w:r>
        <w:rPr>
          <w:rFonts w:hint="eastAsia" w:cs="宋体" w:asciiTheme="minorEastAsia" w:hAnsiTheme="minorEastAsia"/>
          <w:kern w:val="0"/>
          <w:sz w:val="21"/>
          <w:szCs w:val="21"/>
        </w:rPr>
        <w:t>联接基金：指本基金，即将绝大部分基金财产投资于博时国证粮食产业交易型开放式指数证券投资基金（目标ETF），紧密跟踪标的指数表现，追求跟踪偏离度和跟踪误差最小化，采用开放式运作方式的基金</w:t>
      </w:r>
    </w:p>
    <w:p w14:paraId="24FD81FE">
      <w:pPr>
        <w:pStyle w:val="8"/>
        <w:spacing w:before="0" w:beforeAutospacing="0" w:after="0" w:afterAutospacing="0" w:line="360" w:lineRule="auto"/>
        <w:ind w:firstLine="420"/>
        <w:rPr>
          <w:rFonts w:hint="eastAsia" w:cs="宋体" w:asciiTheme="minorEastAsia" w:hAnsiTheme="minorEastAsia"/>
          <w:kern w:val="0"/>
          <w:sz w:val="21"/>
          <w:szCs w:val="21"/>
        </w:rPr>
      </w:pPr>
      <w:r>
        <w:rPr>
          <w:rFonts w:hint="eastAsia" w:cs="宋体" w:asciiTheme="minorEastAsia" w:hAnsiTheme="minorEastAsia"/>
          <w:kern w:val="0"/>
          <w:sz w:val="21"/>
          <w:szCs w:val="21"/>
        </w:rPr>
        <w:t>6</w:t>
      </w:r>
      <w:r>
        <w:rPr>
          <w:rFonts w:hint="eastAsia" w:cs="宋体" w:asciiTheme="minorEastAsia" w:hAnsiTheme="minorEastAsia"/>
          <w:kern w:val="0"/>
          <w:sz w:val="21"/>
          <w:szCs w:val="21"/>
          <w:lang w:val="en-US" w:eastAsia="zh-CN"/>
        </w:rPr>
        <w:t>3</w:t>
      </w:r>
      <w:r>
        <w:rPr>
          <w:rFonts w:hint="eastAsia" w:cs="宋体" w:asciiTheme="minorEastAsia" w:hAnsiTheme="minorEastAsia"/>
          <w:kern w:val="0"/>
          <w:sz w:val="21"/>
          <w:szCs w:val="21"/>
        </w:rPr>
        <w:t>、目标ETF：博时</w:t>
      </w:r>
      <w:r>
        <w:rPr>
          <w:rFonts w:hint="eastAsia" w:cs="宋体" w:asciiTheme="minorEastAsia" w:hAnsiTheme="minorEastAsia"/>
          <w:kern w:val="0"/>
          <w:sz w:val="21"/>
          <w:szCs w:val="21"/>
          <w:lang w:eastAsia="zh-CN"/>
        </w:rPr>
        <w:t>国证粮食</w:t>
      </w:r>
      <w:r>
        <w:rPr>
          <w:rFonts w:hint="eastAsia" w:cs="宋体" w:asciiTheme="minorEastAsia" w:hAnsiTheme="minorEastAsia"/>
          <w:kern w:val="0"/>
          <w:sz w:val="21"/>
          <w:szCs w:val="21"/>
        </w:rPr>
        <w:t>产业交易型开放式指数证券投资基金</w:t>
      </w:r>
    </w:p>
    <w:p w14:paraId="19AB6998">
      <w:pPr>
        <w:pStyle w:val="8"/>
        <w:spacing w:before="0" w:beforeAutospacing="0" w:after="0" w:afterAutospacing="0" w:line="360" w:lineRule="auto"/>
        <w:ind w:firstLine="420"/>
        <w:rPr>
          <w:sz w:val="21"/>
          <w:szCs w:val="21"/>
        </w:rPr>
      </w:pPr>
      <w:r>
        <w:rPr>
          <w:rFonts w:hint="eastAsia"/>
          <w:sz w:val="21"/>
          <w:szCs w:val="21"/>
          <w:lang w:val="en-US" w:eastAsia="zh-CN"/>
        </w:rPr>
        <w:t>64、</w:t>
      </w:r>
      <w:r>
        <w:rPr>
          <w:rFonts w:hint="eastAsia"/>
          <w:sz w:val="21"/>
          <w:szCs w:val="21"/>
        </w:rPr>
        <w:t>发起资金：指基金管理人的股东资金、基金管理人固有资金、基金管理人高级管理人员或基金经理（指基金管理人员工中依法具有基金经理资格者，包括但可能不限于本基金的基金经理，下同）等人员参与认购的资金</w:t>
      </w:r>
    </w:p>
    <w:p w14:paraId="3EFECC76">
      <w:pPr>
        <w:pStyle w:val="8"/>
        <w:spacing w:before="0" w:beforeAutospacing="0" w:after="0" w:afterAutospacing="0" w:line="360" w:lineRule="auto"/>
        <w:ind w:firstLine="420"/>
        <w:rPr>
          <w:sz w:val="21"/>
          <w:szCs w:val="21"/>
        </w:rPr>
      </w:pPr>
      <w:r>
        <w:rPr>
          <w:rFonts w:hint="eastAsia"/>
          <w:sz w:val="21"/>
          <w:szCs w:val="21"/>
        </w:rPr>
        <w:t>65、发起资金提供方：指以发起资金认购本基金且承诺以发起资金认购的基金份额持有期限不少于3年的基金管理人股东、基金管理人、基金管理人的高级管理人员及基金经理等人员</w:t>
      </w:r>
    </w:p>
    <w:p w14:paraId="4AE7436D">
      <w:pPr>
        <w:pStyle w:val="8"/>
        <w:spacing w:before="0" w:beforeAutospacing="0" w:after="0" w:afterAutospacing="0" w:line="360" w:lineRule="auto"/>
        <w:ind w:firstLine="420"/>
        <w:rPr>
          <w:sz w:val="21"/>
          <w:szCs w:val="21"/>
        </w:rPr>
      </w:pPr>
      <w:r>
        <w:rPr>
          <w:rFonts w:hint="eastAsia"/>
          <w:sz w:val="21"/>
          <w:szCs w:val="21"/>
        </w:rPr>
        <w:t>66、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2C781D23">
      <w:pPr>
        <w:pStyle w:val="8"/>
        <w:spacing w:before="0" w:beforeAutospacing="0" w:after="0" w:afterAutospacing="0" w:line="360" w:lineRule="auto"/>
        <w:ind w:firstLine="420"/>
        <w:rPr>
          <w:sz w:val="21"/>
          <w:szCs w:val="21"/>
        </w:rPr>
      </w:pPr>
      <w:r>
        <w:rPr>
          <w:rFonts w:hint="eastAsia"/>
          <w:sz w:val="21"/>
          <w:szCs w:val="21"/>
        </w:rPr>
        <w:t>67、特定资产：包括：（1）无可参考的活跃市场价格且采用估值技术仍导致公允价值存在重大不确定性的资产；（2）按摊余成本计量且计提资产减值准备仍导致资产价值存在</w:t>
      </w:r>
      <w:bookmarkStart w:id="12" w:name="chapter_level1_4_49_section_1_end"/>
      <w:bookmarkEnd w:id="12"/>
      <w:r>
        <w:rPr>
          <w:rFonts w:hint="eastAsia"/>
          <w:sz w:val="21"/>
          <w:szCs w:val="21"/>
        </w:rPr>
        <w:t>重大不确定性的资产；（3）其他资产价值存在重大不确定性的资产</w:t>
      </w:r>
    </w:p>
    <w:p w14:paraId="19E48161">
      <w:pPr>
        <w:widowControl/>
        <w:jc w:val="left"/>
        <w:rPr>
          <w:rFonts w:ascii="宋体" w:hAnsi="宋体" w:eastAsia="宋体"/>
        </w:rPr>
      </w:pPr>
      <w:r>
        <w:rPr>
          <w:rFonts w:ascii="宋体" w:hAnsi="宋体" w:eastAsia="宋体"/>
        </w:rPr>
        <w:br w:type="page"/>
      </w:r>
    </w:p>
    <w:p w14:paraId="025B1E1D">
      <w:pPr>
        <w:pStyle w:val="2"/>
        <w:jc w:val="center"/>
        <w:rPr>
          <w:rFonts w:ascii="宋体" w:hAnsi="宋体" w:eastAsia="宋体"/>
          <w:sz w:val="30"/>
        </w:rPr>
      </w:pPr>
      <w:bookmarkStart w:id="13" w:name="chapter_level1_5_53"/>
      <w:bookmarkStart w:id="14" w:name="_Toc207939899"/>
      <w:r>
        <w:rPr>
          <w:rFonts w:hint="eastAsia" w:ascii="宋体" w:hAnsi="宋体" w:eastAsia="宋体"/>
          <w:sz w:val="30"/>
        </w:rPr>
        <w:t>第三部分  基金管理人</w:t>
      </w:r>
      <w:bookmarkEnd w:id="13"/>
      <w:bookmarkEnd w:id="14"/>
    </w:p>
    <w:p w14:paraId="56A662B5">
      <w:pPr>
        <w:pStyle w:val="8"/>
        <w:spacing w:before="0" w:beforeAutospacing="0" w:after="0" w:afterAutospacing="0" w:line="360" w:lineRule="auto"/>
        <w:ind w:firstLine="420"/>
        <w:rPr>
          <w:sz w:val="21"/>
          <w:szCs w:val="21"/>
        </w:rPr>
      </w:pPr>
      <w:bookmarkStart w:id="15" w:name="chapter_level1_5_53_section_1"/>
      <w:bookmarkEnd w:id="15"/>
      <w:r>
        <w:rPr>
          <w:rStyle w:val="12"/>
          <w:rFonts w:hint="eastAsia"/>
          <w:sz w:val="21"/>
          <w:szCs w:val="21"/>
        </w:rPr>
        <w:t>一、基金管理人概况</w:t>
      </w:r>
    </w:p>
    <w:p w14:paraId="1FC8FED7">
      <w:pPr>
        <w:pStyle w:val="8"/>
        <w:spacing w:before="0" w:beforeAutospacing="0" w:after="0" w:afterAutospacing="0" w:line="360" w:lineRule="auto"/>
        <w:ind w:firstLine="420"/>
        <w:rPr>
          <w:sz w:val="21"/>
          <w:szCs w:val="21"/>
        </w:rPr>
      </w:pPr>
      <w:bookmarkStart w:id="16" w:name="field_0_managercompanyinfo_1_start"/>
      <w:bookmarkEnd w:id="16"/>
      <w:r>
        <w:rPr>
          <w:rFonts w:hint="eastAsia"/>
          <w:sz w:val="21"/>
          <w:szCs w:val="21"/>
        </w:rPr>
        <w:t xml:space="preserve">名称：博时基金管理有限公司 </w:t>
      </w:r>
    </w:p>
    <w:p w14:paraId="6CFA67C4">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61EFEB3">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0FAA27AC">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4FD8C7FA">
      <w:pPr>
        <w:pStyle w:val="8"/>
        <w:spacing w:before="0" w:beforeAutospacing="0" w:after="0" w:afterAutospacing="0" w:line="360" w:lineRule="auto"/>
        <w:ind w:firstLine="420"/>
        <w:rPr>
          <w:sz w:val="21"/>
          <w:szCs w:val="21"/>
        </w:rPr>
      </w:pPr>
      <w:r>
        <w:rPr>
          <w:rFonts w:hint="eastAsia"/>
          <w:sz w:val="21"/>
          <w:szCs w:val="21"/>
        </w:rPr>
        <w:t xml:space="preserve">成立时间：1998年7月13日 </w:t>
      </w:r>
    </w:p>
    <w:p w14:paraId="4FA554B4">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34DC1911">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37B2421A">
      <w:pPr>
        <w:pStyle w:val="8"/>
        <w:spacing w:before="0" w:beforeAutospacing="0" w:after="0" w:afterAutospacing="0" w:line="360" w:lineRule="auto"/>
        <w:ind w:firstLine="420"/>
        <w:rPr>
          <w:rFonts w:hint="eastAsia"/>
          <w:sz w:val="21"/>
          <w:szCs w:val="21"/>
        </w:rPr>
      </w:pPr>
      <w:r>
        <w:rPr>
          <w:rFonts w:hint="eastAsia"/>
          <w:sz w:val="21"/>
          <w:szCs w:val="21"/>
        </w:rPr>
        <w:t>联系人：杜松岭</w:t>
      </w:r>
    </w:p>
    <w:p w14:paraId="2FBD0219">
      <w:pPr>
        <w:pStyle w:val="8"/>
        <w:spacing w:before="0" w:beforeAutospacing="0" w:after="0" w:afterAutospacing="0" w:line="360" w:lineRule="auto"/>
        <w:ind w:firstLine="420"/>
        <w:rPr>
          <w:sz w:val="21"/>
          <w:szCs w:val="21"/>
        </w:rPr>
      </w:pPr>
      <w:r>
        <w:rPr>
          <w:rFonts w:hint="eastAsia"/>
          <w:sz w:val="21"/>
          <w:szCs w:val="21"/>
        </w:rPr>
        <w:t xml:space="preserve">联系电话：（0755）8316 9999 </w:t>
      </w:r>
    </w:p>
    <w:p w14:paraId="5C89968C">
      <w:pPr>
        <w:pStyle w:val="8"/>
        <w:spacing w:before="0" w:beforeAutospacing="0" w:after="0" w:afterAutospacing="0" w:line="360" w:lineRule="auto"/>
        <w:ind w:firstLine="420"/>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28B796FB">
      <w:pPr>
        <w:pStyle w:val="8"/>
        <w:spacing w:before="0" w:beforeAutospacing="0" w:after="0" w:afterAutospacing="0" w:line="360" w:lineRule="auto"/>
        <w:ind w:firstLine="420"/>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0F7AFD7E">
      <w:pPr>
        <w:pStyle w:val="8"/>
        <w:spacing w:before="0" w:beforeAutospacing="0" w:after="0" w:afterAutospacing="0" w:line="360" w:lineRule="auto"/>
        <w:ind w:firstLine="420"/>
        <w:rPr>
          <w:rFonts w:hint="eastAsia"/>
          <w:sz w:val="21"/>
          <w:szCs w:val="21"/>
        </w:rPr>
      </w:pPr>
      <w:r>
        <w:rPr>
          <w:rFonts w:hint="eastAsia"/>
          <w:sz w:val="21"/>
          <w:szCs w:val="21"/>
        </w:rPr>
        <w:t>公司已经建立健全投资管理制度、风险控制制度、内部监察制度、财务管理制度、人事管理制度、信息披露制度和员工行为准则等公司管理制度体系。</w:t>
      </w:r>
    </w:p>
    <w:p w14:paraId="5D7B0B58">
      <w:pPr>
        <w:pStyle w:val="8"/>
        <w:spacing w:before="0" w:beforeAutospacing="0" w:after="0" w:afterAutospacing="0" w:line="360" w:lineRule="auto"/>
        <w:ind w:firstLine="420"/>
        <w:rPr>
          <w:sz w:val="21"/>
          <w:szCs w:val="21"/>
        </w:rPr>
      </w:pPr>
      <w:r>
        <w:rPr>
          <w:rStyle w:val="12"/>
          <w:rFonts w:hint="eastAsia"/>
          <w:sz w:val="21"/>
          <w:szCs w:val="21"/>
        </w:rPr>
        <w:t>二、主要成员情况</w:t>
      </w:r>
    </w:p>
    <w:p w14:paraId="43FD3B0E">
      <w:pPr>
        <w:pStyle w:val="8"/>
        <w:spacing w:before="0" w:beforeAutospacing="0" w:after="0" w:afterAutospacing="0" w:line="360" w:lineRule="auto"/>
        <w:ind w:firstLine="420"/>
        <w:rPr>
          <w:rFonts w:hint="eastAsia"/>
          <w:sz w:val="21"/>
          <w:szCs w:val="21"/>
        </w:rPr>
      </w:pPr>
      <w:r>
        <w:rPr>
          <w:rFonts w:hint="eastAsia"/>
          <w:sz w:val="21"/>
          <w:szCs w:val="21"/>
        </w:rPr>
        <w:t>1、基金管理人董事会成员</w:t>
      </w:r>
    </w:p>
    <w:p w14:paraId="6816B0CA">
      <w:pPr>
        <w:pStyle w:val="8"/>
        <w:spacing w:before="0" w:beforeAutospacing="0" w:after="0" w:afterAutospacing="0" w:line="360" w:lineRule="auto"/>
        <w:ind w:firstLine="420"/>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6F5EF102">
      <w:pPr>
        <w:pStyle w:val="8"/>
        <w:spacing w:before="0" w:beforeAutospacing="0" w:after="0" w:afterAutospacing="0" w:line="360" w:lineRule="auto"/>
        <w:ind w:firstLine="42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757BA3ED">
      <w:pPr>
        <w:pStyle w:val="8"/>
        <w:spacing w:before="0" w:beforeAutospacing="0" w:after="0" w:afterAutospacing="0" w:line="360" w:lineRule="auto"/>
        <w:ind w:firstLine="420"/>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3F5D406B">
      <w:pPr>
        <w:pStyle w:val="8"/>
        <w:spacing w:before="0" w:beforeAutospacing="0" w:after="0" w:afterAutospacing="0" w:line="360" w:lineRule="auto"/>
        <w:ind w:firstLine="420"/>
        <w:rPr>
          <w:rFonts w:hint="eastAsia"/>
          <w:sz w:val="21"/>
          <w:szCs w:val="21"/>
        </w:rPr>
      </w:pPr>
      <w:r>
        <w:rPr>
          <w:rFonts w:hint="eastAsia"/>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061E9152">
      <w:pPr>
        <w:pStyle w:val="8"/>
        <w:spacing w:before="0" w:beforeAutospacing="0" w:after="0" w:afterAutospacing="0" w:line="360" w:lineRule="auto"/>
        <w:ind w:firstLine="420"/>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D7D6466">
      <w:pPr>
        <w:pStyle w:val="8"/>
        <w:spacing w:before="0" w:beforeAutospacing="0" w:after="0" w:afterAutospacing="0" w:line="360" w:lineRule="auto"/>
        <w:ind w:firstLine="42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2DE68DD7">
      <w:pPr>
        <w:pStyle w:val="8"/>
        <w:spacing w:before="0" w:beforeAutospacing="0" w:after="0" w:afterAutospacing="0" w:line="360" w:lineRule="auto"/>
        <w:ind w:firstLine="42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C3F9D09">
      <w:pPr>
        <w:pStyle w:val="8"/>
        <w:spacing w:before="0" w:beforeAutospacing="0" w:after="0" w:afterAutospacing="0" w:line="360" w:lineRule="auto"/>
        <w:ind w:firstLine="42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382762D">
      <w:pPr>
        <w:pStyle w:val="8"/>
        <w:spacing w:before="0" w:beforeAutospacing="0" w:after="0" w:afterAutospacing="0" w:line="360" w:lineRule="auto"/>
        <w:ind w:firstLine="42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0A8F7470">
      <w:pPr>
        <w:pStyle w:val="8"/>
        <w:spacing w:before="0" w:beforeAutospacing="0" w:after="0" w:afterAutospacing="0" w:line="360" w:lineRule="auto"/>
        <w:ind w:firstLine="420"/>
        <w:rPr>
          <w:rFonts w:hint="eastAsia"/>
          <w:sz w:val="21"/>
          <w:szCs w:val="21"/>
        </w:rPr>
      </w:pPr>
      <w:r>
        <w:rPr>
          <w:rFonts w:hint="eastAsia"/>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6AAC7A59">
      <w:pPr>
        <w:pStyle w:val="8"/>
        <w:spacing w:before="0" w:beforeAutospacing="0" w:after="0" w:afterAutospacing="0" w:line="360" w:lineRule="auto"/>
        <w:ind w:firstLine="420"/>
        <w:rPr>
          <w:rFonts w:hint="eastAsia"/>
          <w:sz w:val="21"/>
          <w:szCs w:val="21"/>
        </w:rPr>
      </w:pPr>
      <w:r>
        <w:rPr>
          <w:rFonts w:hint="eastAsia"/>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C99162C">
      <w:pPr>
        <w:pStyle w:val="8"/>
        <w:spacing w:before="0" w:beforeAutospacing="0" w:after="0" w:afterAutospacing="0" w:line="360" w:lineRule="auto"/>
        <w:ind w:firstLine="420"/>
        <w:rPr>
          <w:rFonts w:hint="eastAsia"/>
          <w:sz w:val="21"/>
          <w:szCs w:val="21"/>
        </w:rPr>
      </w:pPr>
      <w:r>
        <w:rPr>
          <w:rFonts w:hint="eastAsia"/>
          <w:sz w:val="21"/>
          <w:szCs w:val="21"/>
        </w:rPr>
        <w:t>2、高级管理人员</w:t>
      </w:r>
    </w:p>
    <w:p w14:paraId="5BD0C7A4">
      <w:pPr>
        <w:pStyle w:val="8"/>
        <w:spacing w:before="0" w:beforeAutospacing="0" w:after="0" w:afterAutospacing="0" w:line="360" w:lineRule="auto"/>
        <w:ind w:firstLine="420"/>
        <w:rPr>
          <w:rFonts w:hint="eastAsia"/>
          <w:sz w:val="21"/>
          <w:szCs w:val="21"/>
        </w:rPr>
      </w:pPr>
      <w:r>
        <w:rPr>
          <w:rFonts w:hint="eastAsia"/>
          <w:sz w:val="21"/>
          <w:szCs w:val="21"/>
        </w:rPr>
        <w:t>张东先生，简历同上。</w:t>
      </w:r>
    </w:p>
    <w:p w14:paraId="049CCABD">
      <w:pPr>
        <w:pStyle w:val="8"/>
        <w:spacing w:before="0" w:beforeAutospacing="0" w:after="0" w:afterAutospacing="0" w:line="360" w:lineRule="auto"/>
        <w:ind w:firstLine="420"/>
        <w:rPr>
          <w:rFonts w:hint="eastAsia"/>
          <w:sz w:val="21"/>
          <w:szCs w:val="21"/>
        </w:rPr>
      </w:pPr>
      <w:r>
        <w:rPr>
          <w:rFonts w:hint="eastAsia"/>
          <w:sz w:val="21"/>
          <w:szCs w:val="21"/>
        </w:rPr>
        <w:t>陈宇先生，简历同上。</w:t>
      </w:r>
    </w:p>
    <w:p w14:paraId="2D64B26C">
      <w:pPr>
        <w:pStyle w:val="8"/>
        <w:spacing w:before="0" w:beforeAutospacing="0" w:after="0" w:afterAutospacing="0" w:line="360" w:lineRule="auto"/>
        <w:ind w:firstLine="42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4333DFF2">
      <w:pPr>
        <w:pStyle w:val="8"/>
        <w:spacing w:before="0" w:beforeAutospacing="0" w:after="0" w:afterAutospacing="0" w:line="360" w:lineRule="auto"/>
        <w:ind w:firstLine="420"/>
        <w:rPr>
          <w:sz w:val="21"/>
          <w:szCs w:val="21"/>
        </w:rPr>
      </w:pPr>
      <w:r>
        <w:rPr>
          <w:rFonts w:hint="eastAsia"/>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bookmarkStart w:id="17" w:name="field_0_managerpersoninfo_1_end"/>
      <w:bookmarkEnd w:id="17"/>
      <w:r>
        <w:rPr>
          <w:rFonts w:hint="eastAsia"/>
          <w:sz w:val="21"/>
          <w:szCs w:val="21"/>
        </w:rPr>
        <w:t xml:space="preserve"> </w:t>
      </w:r>
    </w:p>
    <w:p w14:paraId="64221BF3">
      <w:pPr>
        <w:pStyle w:val="8"/>
        <w:spacing w:before="0" w:beforeAutospacing="0" w:after="0" w:afterAutospacing="0" w:line="360" w:lineRule="auto"/>
        <w:ind w:firstLine="420"/>
        <w:rPr>
          <w:sz w:val="21"/>
          <w:szCs w:val="21"/>
        </w:rPr>
      </w:pPr>
      <w:bookmarkStart w:id="18" w:name="chapter_level1_5_53_section_2"/>
      <w:bookmarkEnd w:id="18"/>
      <w:r>
        <w:rPr>
          <w:rFonts w:hint="eastAsia"/>
          <w:sz w:val="21"/>
          <w:szCs w:val="21"/>
          <w:lang w:val="en-US" w:eastAsia="zh-CN"/>
        </w:rPr>
        <w:t>3</w:t>
      </w:r>
      <w:r>
        <w:rPr>
          <w:rFonts w:hint="eastAsia"/>
          <w:sz w:val="21"/>
          <w:szCs w:val="21"/>
        </w:rPr>
        <w:t xml:space="preserve">、本基金基金经理 </w:t>
      </w:r>
    </w:p>
    <w:p w14:paraId="39751549">
      <w:pPr>
        <w:pStyle w:val="8"/>
        <w:spacing w:before="0" w:beforeAutospacing="0" w:after="0" w:afterAutospacing="0" w:line="360" w:lineRule="auto"/>
        <w:ind w:firstLine="420"/>
        <w:rPr>
          <w:sz w:val="21"/>
          <w:szCs w:val="21"/>
        </w:rPr>
      </w:pPr>
      <w:bookmarkStart w:id="19" w:name="field_0_fundmanagerresume_1_start"/>
      <w:bookmarkEnd w:id="19"/>
      <w:bookmarkStart w:id="20" w:name="field_0_fundmanagerresume_1_end"/>
      <w:bookmarkEnd w:id="20"/>
      <w:r>
        <w:rPr>
          <w:rFonts w:hint="eastAsia"/>
          <w:sz w:val="21"/>
          <w:szCs w:val="21"/>
        </w:rPr>
        <w:t>王祥先生，硕士。2006年起先后在中粮期货、工商银行总行工作。2015年加入博时基金管理有限公司。历任基金经理助理、博时中证疫苗与生物技术交易型开放式指数证券投资基金(2022年11月8日-2024年9月20日)、博时中证农业主题指数型发起式证券投资基金(2022年12月13日-2026年1月22日)、博时中证光伏产业指数证券投资基金(2022年8月16日-2026年3月8日)</w:t>
      </w:r>
      <w:r>
        <w:rPr>
          <w:rFonts w:hint="eastAsia"/>
          <w:sz w:val="21"/>
          <w:szCs w:val="21"/>
          <w:lang w:eastAsia="zh-CN"/>
        </w:rPr>
        <w:t>、</w:t>
      </w:r>
      <w:r>
        <w:rPr>
          <w:rFonts w:hint="eastAsia"/>
          <w:sz w:val="21"/>
          <w:szCs w:val="21"/>
        </w:rPr>
        <w:t>博时国证粮食产业指数型发起式证券投资基金(2024年4月9日—202</w:t>
      </w:r>
      <w:r>
        <w:rPr>
          <w:rFonts w:hint="eastAsia"/>
          <w:sz w:val="21"/>
          <w:szCs w:val="21"/>
          <w:lang w:val="en-US" w:eastAsia="zh-CN"/>
        </w:rPr>
        <w:t>6</w:t>
      </w:r>
      <w:r>
        <w:rPr>
          <w:rFonts w:hint="eastAsia"/>
          <w:sz w:val="21"/>
          <w:szCs w:val="21"/>
        </w:rPr>
        <w:t>年</w:t>
      </w:r>
      <w:r>
        <w:rPr>
          <w:rFonts w:hint="eastAsia"/>
          <w:sz w:val="21"/>
          <w:szCs w:val="21"/>
          <w:lang w:val="en-US" w:eastAsia="zh-CN"/>
        </w:rPr>
        <w:t>6</w:t>
      </w:r>
      <w:r>
        <w:rPr>
          <w:rFonts w:hint="eastAsia"/>
          <w:sz w:val="21"/>
          <w:szCs w:val="21"/>
        </w:rPr>
        <w:t>月</w:t>
      </w:r>
      <w:r>
        <w:rPr>
          <w:rFonts w:hint="eastAsia"/>
          <w:sz w:val="21"/>
          <w:szCs w:val="21"/>
          <w:lang w:val="en-US" w:eastAsia="zh-CN"/>
        </w:rPr>
        <w:t>2</w:t>
      </w:r>
      <w:r>
        <w:rPr>
          <w:rFonts w:hint="eastAsia"/>
          <w:sz w:val="21"/>
          <w:szCs w:val="21"/>
        </w:rPr>
        <w:t>日)的基金经理。现任博时黄金交易型开放式证券投资基金联接基金(2016年11月2日—至今)、上证自然资源交易型开放式指数证券投资基金(2016年11月2日—至今)、博时黄金交易型开放式证券投资基金(2016年11月2日—至今)、博时上证自然资源交易型开放式指数证券投资基金联接基金(2016年11月2日—至今)、博时中证有色金属矿业主题指数证券投资基金(2023年5月16日—至今)、博时标普石油天然气勘探及生产精选行业指数型发起式证券投资基金（QDII）(2023年9月5日—至今)、博时中证基建工程指数型发起式证券投资基金(2024年3月19日—至今)、博时中证油气资源交易型开放式指数证券投资基金(2024年4月19日—至今)、博时中证油气资源交易型开放式指数证券投资基金发起式联接基金(2024年9月19日—至今)、博时国证大盘价值交易型开放式指数证券投资基金(2025年4月3日—至今)、博时中证A50交易型开放式指数证券投资基金(2025年5月22日—至今)、博时国证大盘价值交易型开放式指数证券投资基金联接基金(2025年7月29日—至今)、博时中证工业有色金属主题交易型开放式指数证券投资基金(2026年2月13日—至今)、博时中证光伏产业交易型开放式指数证券投资基金联接基金(2026年3月9日—至今)</w:t>
      </w:r>
      <w:r>
        <w:rPr>
          <w:rFonts w:hint="eastAsia"/>
          <w:sz w:val="21"/>
          <w:szCs w:val="21"/>
          <w:lang w:eastAsia="zh-CN"/>
        </w:rPr>
        <w:t>、</w:t>
      </w:r>
      <w:r>
        <w:rPr>
          <w:rFonts w:hint="eastAsia"/>
          <w:sz w:val="21"/>
          <w:szCs w:val="21"/>
        </w:rPr>
        <w:t>博时国证粮食产业交易型开放式指数证券投资基金发起式联接基金(202</w:t>
      </w:r>
      <w:r>
        <w:rPr>
          <w:rFonts w:hint="eastAsia"/>
          <w:sz w:val="21"/>
          <w:szCs w:val="21"/>
          <w:lang w:val="en-US" w:eastAsia="zh-CN"/>
        </w:rPr>
        <w:t>6</w:t>
      </w:r>
      <w:r>
        <w:rPr>
          <w:rFonts w:hint="eastAsia"/>
          <w:sz w:val="21"/>
          <w:szCs w:val="21"/>
        </w:rPr>
        <w:t>年</w:t>
      </w:r>
      <w:r>
        <w:rPr>
          <w:rFonts w:hint="eastAsia"/>
          <w:sz w:val="21"/>
          <w:szCs w:val="21"/>
          <w:lang w:val="en-US" w:eastAsia="zh-CN"/>
        </w:rPr>
        <w:t>6</w:t>
      </w:r>
      <w:r>
        <w:rPr>
          <w:rFonts w:hint="eastAsia"/>
          <w:sz w:val="21"/>
          <w:szCs w:val="21"/>
        </w:rPr>
        <w:t>月</w:t>
      </w:r>
      <w:r>
        <w:rPr>
          <w:rFonts w:hint="eastAsia"/>
          <w:sz w:val="21"/>
          <w:szCs w:val="21"/>
          <w:lang w:val="en-US" w:eastAsia="zh-CN"/>
        </w:rPr>
        <w:t>3</w:t>
      </w:r>
      <w:r>
        <w:rPr>
          <w:rFonts w:hint="eastAsia"/>
          <w:sz w:val="21"/>
          <w:szCs w:val="21"/>
        </w:rPr>
        <w:t xml:space="preserve">日—至今)的基金经理。 </w:t>
      </w:r>
    </w:p>
    <w:p w14:paraId="4621F4F7">
      <w:pPr>
        <w:pStyle w:val="8"/>
        <w:spacing w:before="0" w:beforeAutospacing="0" w:after="0" w:afterAutospacing="0" w:line="360" w:lineRule="auto"/>
        <w:ind w:firstLine="420"/>
        <w:rPr>
          <w:sz w:val="21"/>
          <w:szCs w:val="21"/>
        </w:rPr>
      </w:pPr>
      <w:bookmarkStart w:id="21" w:name="field_0_managerpersoninfo2_1_start"/>
      <w:bookmarkEnd w:id="21"/>
      <w:bookmarkStart w:id="22" w:name="chapter_level1_5_53_section_3"/>
      <w:bookmarkEnd w:id="22"/>
      <w:r>
        <w:rPr>
          <w:rFonts w:hint="eastAsia"/>
          <w:sz w:val="21"/>
          <w:szCs w:val="21"/>
          <w:lang w:val="en-US" w:eastAsia="zh-CN"/>
        </w:rPr>
        <w:t>4</w:t>
      </w:r>
      <w:r>
        <w:rPr>
          <w:rFonts w:hint="eastAsia"/>
          <w:sz w:val="21"/>
          <w:szCs w:val="21"/>
        </w:rPr>
        <w:t xml:space="preserve">、投资决策委员会成员 </w:t>
      </w:r>
    </w:p>
    <w:p w14:paraId="00FD47BA">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65CB1E6B">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02039038">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5DD8FA94">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2F656D69">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0CF572EA">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0482B2B5">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03021217">
      <w:pPr>
        <w:pStyle w:val="8"/>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14:paraId="712A6549">
      <w:pPr>
        <w:pStyle w:val="8"/>
        <w:spacing w:before="0" w:beforeAutospacing="0" w:after="0" w:afterAutospacing="0" w:line="360" w:lineRule="auto"/>
        <w:ind w:firstLine="420"/>
        <w:rPr>
          <w:sz w:val="21"/>
          <w:szCs w:val="21"/>
        </w:rPr>
      </w:pPr>
      <w:bookmarkStart w:id="23" w:name="chapter_level1_5_53_section_3_end"/>
      <w:bookmarkEnd w:id="23"/>
      <w:r>
        <w:rPr>
          <w:rFonts w:hint="eastAsia"/>
          <w:sz w:val="21"/>
          <w:szCs w:val="21"/>
          <w:lang w:val="en-US" w:eastAsia="zh-CN"/>
        </w:rPr>
        <w:t>5</w:t>
      </w:r>
      <w:bookmarkStart w:id="180" w:name="_GoBack"/>
      <w:bookmarkEnd w:id="180"/>
      <w:r>
        <w:rPr>
          <w:rFonts w:hint="eastAsia"/>
          <w:sz w:val="21"/>
          <w:szCs w:val="21"/>
        </w:rPr>
        <w:t xml:space="preserve">、上述人员之间均不存在近亲属关系。 </w:t>
      </w:r>
      <w:bookmarkStart w:id="24" w:name="field_0_managerpersoninfo2_1_end"/>
      <w:bookmarkEnd w:id="24"/>
      <w:r>
        <w:rPr>
          <w:rFonts w:hint="eastAsia"/>
          <w:sz w:val="21"/>
          <w:szCs w:val="21"/>
        </w:rPr>
        <w:t xml:space="preserve"> </w:t>
      </w:r>
    </w:p>
    <w:p w14:paraId="3C062B94">
      <w:pPr>
        <w:pStyle w:val="8"/>
        <w:spacing w:before="0" w:beforeAutospacing="0" w:after="0" w:afterAutospacing="0" w:line="360" w:lineRule="auto"/>
        <w:ind w:firstLine="420"/>
        <w:rPr>
          <w:sz w:val="21"/>
          <w:szCs w:val="21"/>
        </w:rPr>
      </w:pPr>
      <w:bookmarkStart w:id="25" w:name="chapter_level1_5_53_section_4"/>
      <w:bookmarkEnd w:id="25"/>
      <w:r>
        <w:rPr>
          <w:rStyle w:val="12"/>
          <w:rFonts w:hint="eastAsia"/>
          <w:sz w:val="21"/>
          <w:szCs w:val="21"/>
        </w:rPr>
        <w:t>三、基金管理人的职责</w:t>
      </w:r>
    </w:p>
    <w:p w14:paraId="5DCD3F2F">
      <w:pPr>
        <w:pStyle w:val="8"/>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 </w:t>
      </w:r>
    </w:p>
    <w:p w14:paraId="2B1A81F3">
      <w:pPr>
        <w:pStyle w:val="8"/>
        <w:spacing w:before="0" w:beforeAutospacing="0" w:after="0" w:afterAutospacing="0" w:line="360" w:lineRule="auto"/>
        <w:ind w:firstLine="420"/>
        <w:rPr>
          <w:sz w:val="21"/>
          <w:szCs w:val="21"/>
        </w:rPr>
      </w:pPr>
      <w:r>
        <w:rPr>
          <w:rFonts w:hint="eastAsia"/>
          <w:sz w:val="21"/>
          <w:szCs w:val="21"/>
        </w:rPr>
        <w:t>2、办理基金备案手续； </w:t>
      </w:r>
    </w:p>
    <w:p w14:paraId="3B2A1954">
      <w:pPr>
        <w:pStyle w:val="8"/>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 </w:t>
      </w:r>
    </w:p>
    <w:p w14:paraId="0E640721">
      <w:pPr>
        <w:pStyle w:val="8"/>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 </w:t>
      </w:r>
    </w:p>
    <w:p w14:paraId="37DB7EDF">
      <w:pPr>
        <w:pStyle w:val="8"/>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 </w:t>
      </w:r>
    </w:p>
    <w:p w14:paraId="1116BF2D">
      <w:pPr>
        <w:pStyle w:val="8"/>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 </w:t>
      </w:r>
    </w:p>
    <w:p w14:paraId="0E4CD63E">
      <w:pPr>
        <w:pStyle w:val="8"/>
        <w:spacing w:before="0" w:beforeAutospacing="0" w:after="0" w:afterAutospacing="0" w:line="360" w:lineRule="auto"/>
        <w:ind w:firstLine="420"/>
        <w:rPr>
          <w:sz w:val="21"/>
          <w:szCs w:val="21"/>
        </w:rPr>
      </w:pPr>
      <w:r>
        <w:rPr>
          <w:rFonts w:hint="eastAsia"/>
          <w:sz w:val="21"/>
          <w:szCs w:val="21"/>
        </w:rPr>
        <w:t>7、依法接受基金托管人的监督； </w:t>
      </w:r>
    </w:p>
    <w:p w14:paraId="60ADB66B">
      <w:pPr>
        <w:pStyle w:val="8"/>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 </w:t>
      </w:r>
    </w:p>
    <w:p w14:paraId="35CF6584">
      <w:pPr>
        <w:pStyle w:val="8"/>
        <w:spacing w:before="0" w:beforeAutospacing="0" w:after="0" w:afterAutospacing="0" w:line="360" w:lineRule="auto"/>
        <w:ind w:firstLine="420"/>
        <w:rPr>
          <w:sz w:val="21"/>
          <w:szCs w:val="21"/>
        </w:rPr>
      </w:pPr>
      <w:r>
        <w:rPr>
          <w:rFonts w:hint="eastAsia"/>
          <w:sz w:val="21"/>
          <w:szCs w:val="21"/>
        </w:rPr>
        <w:t>9、进行基金会计核算并编制基金财务会计报告； </w:t>
      </w:r>
    </w:p>
    <w:p w14:paraId="52F4C413">
      <w:pPr>
        <w:pStyle w:val="8"/>
        <w:spacing w:before="0" w:beforeAutospacing="0" w:after="0" w:afterAutospacing="0" w:line="360" w:lineRule="auto"/>
        <w:ind w:firstLine="420"/>
        <w:rPr>
          <w:sz w:val="21"/>
          <w:szCs w:val="21"/>
        </w:rPr>
      </w:pPr>
      <w:r>
        <w:rPr>
          <w:rFonts w:hint="eastAsia"/>
          <w:sz w:val="21"/>
          <w:szCs w:val="21"/>
        </w:rPr>
        <w:t>10、编制季度报告、中期报告和年度报告； </w:t>
      </w:r>
    </w:p>
    <w:p w14:paraId="7683E557">
      <w:pPr>
        <w:pStyle w:val="8"/>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 </w:t>
      </w:r>
    </w:p>
    <w:p w14:paraId="1F8A2E0A">
      <w:pPr>
        <w:pStyle w:val="8"/>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14:paraId="375B6C3C">
      <w:pPr>
        <w:pStyle w:val="8"/>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 </w:t>
      </w:r>
    </w:p>
    <w:p w14:paraId="77EAC7A9">
      <w:pPr>
        <w:pStyle w:val="8"/>
        <w:spacing w:before="0" w:beforeAutospacing="0" w:after="0" w:afterAutospacing="0" w:line="360" w:lineRule="auto"/>
        <w:ind w:firstLine="420"/>
        <w:rPr>
          <w:sz w:val="21"/>
          <w:szCs w:val="21"/>
        </w:rPr>
      </w:pPr>
      <w:r>
        <w:rPr>
          <w:rFonts w:hint="eastAsia"/>
          <w:sz w:val="21"/>
          <w:szCs w:val="21"/>
        </w:rPr>
        <w:t>14、按规定受理申购与赎回申请，及时、足额支付赎回款项； </w:t>
      </w:r>
    </w:p>
    <w:p w14:paraId="0AB50025">
      <w:pPr>
        <w:pStyle w:val="8"/>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 </w:t>
      </w:r>
    </w:p>
    <w:p w14:paraId="0B075C2D">
      <w:pPr>
        <w:pStyle w:val="8"/>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 </w:t>
      </w:r>
    </w:p>
    <w:p w14:paraId="673845A4">
      <w:pPr>
        <w:pStyle w:val="8"/>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D1AF943">
      <w:pPr>
        <w:pStyle w:val="8"/>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 </w:t>
      </w:r>
    </w:p>
    <w:p w14:paraId="75A1522D">
      <w:pPr>
        <w:pStyle w:val="8"/>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 </w:t>
      </w:r>
    </w:p>
    <w:p w14:paraId="7051E7A2">
      <w:pPr>
        <w:pStyle w:val="8"/>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 </w:t>
      </w:r>
    </w:p>
    <w:p w14:paraId="696CCA66">
      <w:pPr>
        <w:pStyle w:val="8"/>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 </w:t>
      </w:r>
    </w:p>
    <w:p w14:paraId="1EEE58C5">
      <w:pPr>
        <w:pStyle w:val="8"/>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 </w:t>
      </w:r>
    </w:p>
    <w:p w14:paraId="2EE8FA29">
      <w:pPr>
        <w:pStyle w:val="8"/>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 </w:t>
      </w:r>
    </w:p>
    <w:p w14:paraId="5BECE74E">
      <w:pPr>
        <w:pStyle w:val="8"/>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 </w:t>
      </w:r>
    </w:p>
    <w:p w14:paraId="41F3F3A1">
      <w:pPr>
        <w:pStyle w:val="8"/>
        <w:spacing w:before="0" w:beforeAutospacing="0" w:after="0" w:afterAutospacing="0" w:line="360" w:lineRule="auto"/>
        <w:ind w:firstLine="420"/>
        <w:rPr>
          <w:sz w:val="21"/>
          <w:szCs w:val="21"/>
        </w:rPr>
      </w:pPr>
      <w:r>
        <w:rPr>
          <w:rFonts w:hint="eastAsia"/>
          <w:sz w:val="21"/>
          <w:szCs w:val="21"/>
        </w:rPr>
        <w:t>25、执行生效的基金份额持有人大会的决议； </w:t>
      </w:r>
    </w:p>
    <w:p w14:paraId="754388CA">
      <w:pPr>
        <w:pStyle w:val="8"/>
        <w:spacing w:before="0" w:beforeAutospacing="0" w:after="0" w:afterAutospacing="0" w:line="360" w:lineRule="auto"/>
        <w:ind w:firstLine="420"/>
        <w:rPr>
          <w:sz w:val="21"/>
          <w:szCs w:val="21"/>
        </w:rPr>
      </w:pPr>
      <w:r>
        <w:rPr>
          <w:rFonts w:hint="eastAsia"/>
          <w:sz w:val="21"/>
          <w:szCs w:val="21"/>
        </w:rPr>
        <w:t>26、建立并保存基金份额持有人名册； </w:t>
      </w:r>
    </w:p>
    <w:p w14:paraId="33721515">
      <w:pPr>
        <w:pStyle w:val="8"/>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 </w:t>
      </w:r>
    </w:p>
    <w:p w14:paraId="1D2F7979">
      <w:pPr>
        <w:pStyle w:val="8"/>
        <w:spacing w:before="0" w:beforeAutospacing="0" w:after="0" w:afterAutospacing="0" w:line="360" w:lineRule="auto"/>
        <w:ind w:firstLine="420"/>
        <w:rPr>
          <w:b/>
          <w:bCs/>
          <w:sz w:val="21"/>
          <w:szCs w:val="21"/>
        </w:rPr>
      </w:pPr>
      <w:r>
        <w:rPr>
          <w:rFonts w:hint="eastAsia"/>
          <w:b/>
          <w:bCs/>
          <w:sz w:val="21"/>
          <w:szCs w:val="21"/>
        </w:rPr>
        <w:t>四、基金管理人的承诺</w:t>
      </w:r>
    </w:p>
    <w:p w14:paraId="66617B21">
      <w:pPr>
        <w:pStyle w:val="8"/>
        <w:spacing w:before="0" w:beforeAutospacing="0" w:after="0" w:afterAutospacing="0" w:line="360" w:lineRule="auto"/>
        <w:ind w:firstLine="420"/>
        <w:rPr>
          <w:sz w:val="21"/>
          <w:szCs w:val="21"/>
        </w:rPr>
      </w:pPr>
      <w:r>
        <w:rPr>
          <w:rFonts w:hint="eastAsia"/>
          <w:sz w:val="21"/>
          <w:szCs w:val="21"/>
        </w:rPr>
        <w:t>1、基金管理人承诺不从事违反《中华人民共和国证券法》的行为，并承诺建立健全内部控制制度，采取有效措施，防止违反《中华人民共和国证券法》行为的发生； </w:t>
      </w:r>
    </w:p>
    <w:p w14:paraId="775117BA">
      <w:pPr>
        <w:pStyle w:val="8"/>
        <w:spacing w:before="0" w:beforeAutospacing="0" w:after="0" w:afterAutospacing="0" w:line="360" w:lineRule="auto"/>
        <w:ind w:firstLine="420"/>
        <w:rPr>
          <w:sz w:val="21"/>
          <w:szCs w:val="21"/>
        </w:rPr>
      </w:pPr>
      <w:r>
        <w:rPr>
          <w:rFonts w:hint="eastAsia"/>
          <w:sz w:val="21"/>
          <w:szCs w:val="21"/>
        </w:rPr>
        <w:t>2、基金管理人承诺不从事违反《基金法》的行为，并承诺建立健全内部风险控制制度，采取有效措施，防止下列行为的发生： </w:t>
      </w:r>
    </w:p>
    <w:p w14:paraId="29C5EE31">
      <w:pPr>
        <w:pStyle w:val="8"/>
        <w:spacing w:before="0" w:beforeAutospacing="0" w:after="0" w:afterAutospacing="0" w:line="360" w:lineRule="auto"/>
        <w:ind w:firstLine="420"/>
        <w:rPr>
          <w:sz w:val="21"/>
          <w:szCs w:val="21"/>
        </w:rPr>
      </w:pPr>
      <w:r>
        <w:rPr>
          <w:rFonts w:hint="eastAsia"/>
          <w:sz w:val="21"/>
          <w:szCs w:val="21"/>
        </w:rPr>
        <w:t>（1）将基金管理人固有财产或者他人财产混同于基金财产从事证券投资； </w:t>
      </w:r>
    </w:p>
    <w:p w14:paraId="5EF01BD7">
      <w:pPr>
        <w:pStyle w:val="8"/>
        <w:spacing w:before="0" w:beforeAutospacing="0" w:after="0" w:afterAutospacing="0" w:line="360" w:lineRule="auto"/>
        <w:ind w:firstLine="420"/>
        <w:rPr>
          <w:sz w:val="21"/>
          <w:szCs w:val="21"/>
        </w:rPr>
      </w:pPr>
      <w:r>
        <w:rPr>
          <w:rFonts w:hint="eastAsia"/>
          <w:sz w:val="21"/>
          <w:szCs w:val="21"/>
        </w:rPr>
        <w:t>（2）不公平地对待管理的不同基金财产； </w:t>
      </w:r>
    </w:p>
    <w:p w14:paraId="2650427B">
      <w:pPr>
        <w:pStyle w:val="8"/>
        <w:spacing w:before="0" w:beforeAutospacing="0" w:after="0" w:afterAutospacing="0" w:line="360" w:lineRule="auto"/>
        <w:ind w:firstLine="420"/>
        <w:rPr>
          <w:sz w:val="21"/>
          <w:szCs w:val="21"/>
        </w:rPr>
      </w:pPr>
      <w:r>
        <w:rPr>
          <w:rFonts w:hint="eastAsia"/>
          <w:sz w:val="21"/>
          <w:szCs w:val="21"/>
        </w:rPr>
        <w:t>（3）利用基金财产或者职务之便为基金份额持有人以外的第三人牟取利益； </w:t>
      </w:r>
    </w:p>
    <w:p w14:paraId="42DB6B2D">
      <w:pPr>
        <w:pStyle w:val="8"/>
        <w:spacing w:before="0" w:beforeAutospacing="0" w:after="0" w:afterAutospacing="0" w:line="360" w:lineRule="auto"/>
        <w:ind w:firstLine="420"/>
        <w:rPr>
          <w:sz w:val="21"/>
          <w:szCs w:val="21"/>
        </w:rPr>
      </w:pPr>
      <w:r>
        <w:rPr>
          <w:rFonts w:hint="eastAsia"/>
          <w:sz w:val="21"/>
          <w:szCs w:val="21"/>
        </w:rPr>
        <w:t>（4）向基金份额持有人违规承诺收益或者承担损失； </w:t>
      </w:r>
    </w:p>
    <w:p w14:paraId="30509EA6">
      <w:pPr>
        <w:pStyle w:val="8"/>
        <w:spacing w:before="0" w:beforeAutospacing="0" w:after="0" w:afterAutospacing="0" w:line="360" w:lineRule="auto"/>
        <w:ind w:firstLine="420"/>
        <w:rPr>
          <w:sz w:val="21"/>
          <w:szCs w:val="21"/>
        </w:rPr>
      </w:pPr>
      <w:r>
        <w:rPr>
          <w:rFonts w:hint="eastAsia"/>
          <w:sz w:val="21"/>
          <w:szCs w:val="21"/>
        </w:rPr>
        <w:t>（5）侵占、挪用基金财产； </w:t>
      </w:r>
    </w:p>
    <w:p w14:paraId="0563FD44">
      <w:pPr>
        <w:pStyle w:val="8"/>
        <w:spacing w:before="0" w:beforeAutospacing="0" w:after="0" w:afterAutospacing="0" w:line="360" w:lineRule="auto"/>
        <w:ind w:firstLine="420"/>
        <w:rPr>
          <w:sz w:val="21"/>
          <w:szCs w:val="21"/>
        </w:rPr>
      </w:pPr>
      <w:r>
        <w:rPr>
          <w:rFonts w:hint="eastAsia"/>
          <w:sz w:val="21"/>
          <w:szCs w:val="21"/>
        </w:rPr>
        <w:t>（6）泄露因职务便利获取的未公开信息、利用该信息从事或者明示、暗示他人从事相关的交易活动； </w:t>
      </w:r>
    </w:p>
    <w:p w14:paraId="7D7DA961">
      <w:pPr>
        <w:pStyle w:val="8"/>
        <w:spacing w:before="0" w:beforeAutospacing="0" w:after="0" w:afterAutospacing="0" w:line="360" w:lineRule="auto"/>
        <w:ind w:firstLine="420"/>
        <w:rPr>
          <w:sz w:val="21"/>
          <w:szCs w:val="21"/>
        </w:rPr>
      </w:pPr>
      <w:r>
        <w:rPr>
          <w:rFonts w:hint="eastAsia"/>
          <w:sz w:val="21"/>
          <w:szCs w:val="21"/>
        </w:rPr>
        <w:t>（7）玩忽职守，不按照规定履行职责； </w:t>
      </w:r>
    </w:p>
    <w:p w14:paraId="5E488157">
      <w:pPr>
        <w:pStyle w:val="8"/>
        <w:spacing w:before="0" w:beforeAutospacing="0" w:after="0" w:afterAutospacing="0" w:line="360" w:lineRule="auto"/>
        <w:ind w:firstLine="420"/>
        <w:rPr>
          <w:sz w:val="21"/>
          <w:szCs w:val="21"/>
        </w:rPr>
      </w:pPr>
      <w:r>
        <w:rPr>
          <w:rFonts w:hint="eastAsia"/>
          <w:sz w:val="21"/>
          <w:szCs w:val="21"/>
        </w:rPr>
        <w:t>（8）法律、行政法规和中国证监会规定禁止的其他行为； </w:t>
      </w:r>
    </w:p>
    <w:p w14:paraId="64A745B5">
      <w:pPr>
        <w:pStyle w:val="8"/>
        <w:spacing w:before="0" w:beforeAutospacing="0" w:after="0" w:afterAutospacing="0" w:line="360" w:lineRule="auto"/>
        <w:ind w:firstLine="420"/>
        <w:rPr>
          <w:sz w:val="21"/>
          <w:szCs w:val="21"/>
        </w:rPr>
      </w:pPr>
      <w:r>
        <w:rPr>
          <w:rFonts w:hint="eastAsia"/>
          <w:sz w:val="21"/>
          <w:szCs w:val="21"/>
        </w:rPr>
        <w:t>3、基金管理人承诺严格遵守基金合同，并承诺建立健全内部控制制度，采取有效措施，防止违反基金合同行为的发生； </w:t>
      </w:r>
    </w:p>
    <w:p w14:paraId="3E8C3907">
      <w:pPr>
        <w:pStyle w:val="8"/>
        <w:spacing w:before="0" w:beforeAutospacing="0" w:after="0" w:afterAutospacing="0" w:line="360" w:lineRule="auto"/>
        <w:ind w:firstLine="420"/>
        <w:rPr>
          <w:sz w:val="21"/>
          <w:szCs w:val="21"/>
        </w:rPr>
      </w:pPr>
      <w:r>
        <w:rPr>
          <w:rFonts w:hint="eastAsia"/>
          <w:sz w:val="21"/>
          <w:szCs w:val="21"/>
        </w:rPr>
        <w:t>4、基金管理人承诺加强人员管理，强化职业操守，督促和约束员工遵守国家有关法律法规及行业规范，诚实信用、勤勉尽责； </w:t>
      </w:r>
    </w:p>
    <w:p w14:paraId="56B8CDA9">
      <w:pPr>
        <w:pStyle w:val="8"/>
        <w:spacing w:before="0" w:beforeAutospacing="0" w:after="0" w:afterAutospacing="0" w:line="360" w:lineRule="auto"/>
        <w:ind w:firstLine="420"/>
        <w:rPr>
          <w:sz w:val="21"/>
          <w:szCs w:val="21"/>
        </w:rPr>
      </w:pPr>
      <w:r>
        <w:rPr>
          <w:rFonts w:hint="eastAsia"/>
          <w:sz w:val="21"/>
          <w:szCs w:val="21"/>
        </w:rPr>
        <w:t>5、基金管理人承诺不从事其他法规规定禁止从事的行为。 </w:t>
      </w:r>
    </w:p>
    <w:p w14:paraId="7C372953">
      <w:pPr>
        <w:pStyle w:val="8"/>
        <w:spacing w:before="0" w:beforeAutospacing="0" w:after="0" w:afterAutospacing="0" w:line="360" w:lineRule="auto"/>
        <w:ind w:firstLine="420"/>
        <w:rPr>
          <w:b/>
          <w:bCs/>
          <w:sz w:val="21"/>
          <w:szCs w:val="21"/>
        </w:rPr>
      </w:pPr>
      <w:r>
        <w:rPr>
          <w:rFonts w:hint="eastAsia"/>
          <w:b/>
          <w:bCs/>
          <w:sz w:val="21"/>
          <w:szCs w:val="21"/>
        </w:rPr>
        <w:t>五、基金经理承诺</w:t>
      </w:r>
    </w:p>
    <w:p w14:paraId="369887B4">
      <w:pPr>
        <w:pStyle w:val="8"/>
        <w:spacing w:before="0" w:beforeAutospacing="0" w:after="0" w:afterAutospacing="0" w:line="360" w:lineRule="auto"/>
        <w:ind w:firstLine="420"/>
        <w:rPr>
          <w:sz w:val="21"/>
          <w:szCs w:val="21"/>
        </w:rPr>
      </w:pPr>
      <w:r>
        <w:rPr>
          <w:rFonts w:hint="eastAsia"/>
          <w:sz w:val="21"/>
          <w:szCs w:val="21"/>
        </w:rPr>
        <w:t>1、依照有关法律法规和基金合同的规定，本着谨慎的原则为基金份额持有人谋取最大利益； </w:t>
      </w:r>
    </w:p>
    <w:p w14:paraId="5E84292F">
      <w:pPr>
        <w:pStyle w:val="8"/>
        <w:spacing w:before="0" w:beforeAutospacing="0" w:after="0" w:afterAutospacing="0" w:line="360" w:lineRule="auto"/>
        <w:ind w:firstLine="420"/>
        <w:rPr>
          <w:sz w:val="21"/>
          <w:szCs w:val="21"/>
        </w:rPr>
      </w:pPr>
      <w:r>
        <w:rPr>
          <w:rFonts w:hint="eastAsia"/>
          <w:sz w:val="21"/>
          <w:szCs w:val="21"/>
        </w:rPr>
        <w:t>2、不利用职务之便为自己、受雇人或任何第三者牟取利益； </w:t>
      </w:r>
    </w:p>
    <w:p w14:paraId="50A9325E">
      <w:pPr>
        <w:pStyle w:val="8"/>
        <w:spacing w:before="0" w:beforeAutospacing="0" w:after="0" w:afterAutospacing="0" w:line="360" w:lineRule="auto"/>
        <w:ind w:firstLine="420"/>
        <w:rPr>
          <w:sz w:val="21"/>
          <w:szCs w:val="21"/>
        </w:rPr>
      </w:pPr>
      <w:r>
        <w:rPr>
          <w:rFonts w:hint="eastAsia"/>
          <w:sz w:val="21"/>
          <w:szCs w:val="21"/>
        </w:rPr>
        <w:t>3、不泄露在任职期间知悉的有关证券、基金的商业秘密，尚未依法公开的基金投资内容、基金投资计划等信息，或利用该信息从事或者明示、暗示他人从事相关的交易活动； </w:t>
      </w:r>
    </w:p>
    <w:p w14:paraId="443847DB">
      <w:pPr>
        <w:pStyle w:val="8"/>
        <w:spacing w:before="0" w:beforeAutospacing="0" w:after="0" w:afterAutospacing="0" w:line="360" w:lineRule="auto"/>
        <w:ind w:firstLine="420"/>
        <w:rPr>
          <w:sz w:val="21"/>
          <w:szCs w:val="21"/>
        </w:rPr>
      </w:pPr>
      <w:r>
        <w:rPr>
          <w:rFonts w:hint="eastAsia"/>
          <w:sz w:val="21"/>
          <w:szCs w:val="21"/>
        </w:rPr>
        <w:t>4、不以任何形式为其他组织或个人进行证券交易。 </w:t>
      </w:r>
    </w:p>
    <w:p w14:paraId="67C74119">
      <w:pPr>
        <w:pStyle w:val="8"/>
        <w:spacing w:before="0" w:beforeAutospacing="0" w:after="0" w:afterAutospacing="0" w:line="360" w:lineRule="auto"/>
        <w:ind w:firstLine="420"/>
        <w:rPr>
          <w:rStyle w:val="12"/>
          <w:rFonts w:hint="eastAsia" w:ascii="Times New Roman" w:hAnsi="Times New Roman" w:cs="Times New Roman"/>
          <w:sz w:val="21"/>
          <w:szCs w:val="21"/>
        </w:rPr>
      </w:pPr>
      <w:r>
        <w:rPr>
          <w:rStyle w:val="12"/>
          <w:rFonts w:hint="eastAsia" w:ascii="Times New Roman" w:hAnsi="Times New Roman" w:cs="Times New Roman"/>
          <w:sz w:val="21"/>
          <w:szCs w:val="21"/>
        </w:rPr>
        <w:t>六、基金管理人的内部控制制度</w:t>
      </w:r>
    </w:p>
    <w:p w14:paraId="07C329D1">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14:paraId="7DCF5940">
      <w:pPr>
        <w:pStyle w:val="8"/>
        <w:spacing w:before="0" w:beforeAutospacing="0" w:after="0" w:afterAutospacing="0" w:line="360" w:lineRule="auto"/>
        <w:ind w:firstLine="420"/>
        <w:rPr>
          <w:rFonts w:hint="eastAsia"/>
          <w:sz w:val="21"/>
          <w:szCs w:val="21"/>
        </w:rPr>
      </w:pPr>
      <w:r>
        <w:rPr>
          <w:rFonts w:hint="eastAsia"/>
          <w:sz w:val="21"/>
          <w:szCs w:val="21"/>
        </w:rPr>
        <w:t>（1）全面性原则</w:t>
      </w:r>
    </w:p>
    <w:p w14:paraId="115B3793">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1D018FBD">
      <w:pPr>
        <w:pStyle w:val="8"/>
        <w:spacing w:before="0" w:beforeAutospacing="0" w:after="0" w:afterAutospacing="0" w:line="360" w:lineRule="auto"/>
        <w:ind w:firstLine="420"/>
        <w:rPr>
          <w:rFonts w:hint="eastAsia"/>
          <w:sz w:val="21"/>
          <w:szCs w:val="21"/>
        </w:rPr>
      </w:pPr>
      <w:r>
        <w:rPr>
          <w:rFonts w:hint="eastAsia"/>
          <w:sz w:val="21"/>
          <w:szCs w:val="21"/>
        </w:rPr>
        <w:t>（2）独立性原则</w:t>
      </w:r>
    </w:p>
    <w:p w14:paraId="5BA1FECB">
      <w:pPr>
        <w:pStyle w:val="8"/>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484A6700">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14:paraId="741DECF5">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7190DB33">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7AA759D1">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256D85BB">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36056EC8">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47BB5894">
      <w:pPr>
        <w:pStyle w:val="8"/>
        <w:spacing w:before="0" w:beforeAutospacing="0" w:after="0" w:afterAutospacing="0" w:line="360" w:lineRule="auto"/>
        <w:ind w:firstLine="420"/>
        <w:rPr>
          <w:rFonts w:hint="eastAsia"/>
          <w:sz w:val="21"/>
          <w:szCs w:val="21"/>
        </w:rPr>
      </w:pPr>
      <w:r>
        <w:rPr>
          <w:rFonts w:hint="eastAsia"/>
          <w:sz w:val="21"/>
          <w:szCs w:val="21"/>
        </w:rPr>
        <w:t>（1）董事会</w:t>
      </w:r>
    </w:p>
    <w:p w14:paraId="66A0654A">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6AC240D2">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14:paraId="509D6A68">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2075076B">
      <w:pPr>
        <w:pStyle w:val="8"/>
        <w:spacing w:before="0" w:beforeAutospacing="0" w:after="0" w:afterAutospacing="0" w:line="360" w:lineRule="auto"/>
        <w:ind w:firstLine="420"/>
        <w:rPr>
          <w:rFonts w:hint="eastAsia"/>
          <w:sz w:val="21"/>
          <w:szCs w:val="21"/>
        </w:rPr>
      </w:pPr>
      <w:r>
        <w:rPr>
          <w:rFonts w:hint="eastAsia"/>
          <w:sz w:val="21"/>
          <w:szCs w:val="21"/>
        </w:rPr>
        <w:t>（3）督察长</w:t>
      </w:r>
    </w:p>
    <w:p w14:paraId="50CDE6C7">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54C937E7">
      <w:pPr>
        <w:pStyle w:val="8"/>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52571C9A">
      <w:pPr>
        <w:pStyle w:val="8"/>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7C2FE820">
      <w:pPr>
        <w:pStyle w:val="8"/>
        <w:spacing w:before="0" w:beforeAutospacing="0" w:after="0" w:afterAutospacing="0" w:line="360" w:lineRule="auto"/>
        <w:ind w:firstLine="420"/>
        <w:rPr>
          <w:rFonts w:hint="eastAsia"/>
          <w:sz w:val="21"/>
          <w:szCs w:val="21"/>
        </w:rPr>
      </w:pPr>
      <w:r>
        <w:rPr>
          <w:rFonts w:hint="eastAsia"/>
          <w:sz w:val="21"/>
          <w:szCs w:val="21"/>
        </w:rPr>
        <w:t>（5）风险管理部</w:t>
      </w:r>
    </w:p>
    <w:p w14:paraId="4423AADF">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236E538D">
      <w:pPr>
        <w:pStyle w:val="8"/>
        <w:spacing w:before="0" w:beforeAutospacing="0" w:after="0" w:afterAutospacing="0" w:line="360" w:lineRule="auto"/>
        <w:ind w:firstLine="420"/>
        <w:rPr>
          <w:rFonts w:hint="eastAsia"/>
          <w:sz w:val="21"/>
          <w:szCs w:val="21"/>
        </w:rPr>
      </w:pPr>
      <w:r>
        <w:rPr>
          <w:rFonts w:hint="eastAsia"/>
          <w:sz w:val="21"/>
          <w:szCs w:val="21"/>
        </w:rPr>
        <w:t>（6）业务部门</w:t>
      </w:r>
    </w:p>
    <w:p w14:paraId="50EAC262">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31C98F95">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5E039DB0">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1BACAEFD">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755EE690">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77E0235D">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08FCBFCB">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14:paraId="2F94D670">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29D74226">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4F205767">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6AF512AE">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3C5DD4C6">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5C9ACC19">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30CAA7E5">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2B9B546E">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14:paraId="51A0A765">
      <w:pPr>
        <w:pStyle w:val="8"/>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14:paraId="30FC0FC9">
      <w:pPr>
        <w:pStyle w:val="8"/>
        <w:spacing w:before="0" w:beforeAutospacing="0" w:after="0" w:afterAutospacing="0" w:line="360" w:lineRule="auto"/>
        <w:ind w:firstLine="420"/>
        <w:rPr>
          <w:sz w:val="21"/>
          <w:szCs w:val="21"/>
        </w:rPr>
      </w:pPr>
      <w:r>
        <w:rPr>
          <w:rFonts w:hint="eastAsia"/>
          <w:sz w:val="21"/>
          <w:szCs w:val="21"/>
        </w:rPr>
        <w:t> </w:t>
      </w:r>
    </w:p>
    <w:p w14:paraId="328F8B2F">
      <w:pPr>
        <w:widowControl/>
        <w:jc w:val="left"/>
        <w:rPr>
          <w:rFonts w:ascii="宋体" w:hAnsi="宋体" w:eastAsia="宋体"/>
        </w:rPr>
      </w:pPr>
      <w:r>
        <w:rPr>
          <w:rFonts w:ascii="宋体" w:hAnsi="宋体" w:eastAsia="宋体"/>
        </w:rPr>
        <w:br w:type="page"/>
      </w:r>
    </w:p>
    <w:p w14:paraId="1C1570FC">
      <w:pPr>
        <w:pStyle w:val="2"/>
        <w:jc w:val="center"/>
        <w:rPr>
          <w:rFonts w:ascii="宋体" w:hAnsi="宋体" w:eastAsia="宋体"/>
          <w:sz w:val="30"/>
        </w:rPr>
      </w:pPr>
      <w:bookmarkStart w:id="26" w:name="_Toc207939900"/>
      <w:bookmarkStart w:id="27" w:name="chapter_level1_6_55"/>
      <w:r>
        <w:rPr>
          <w:rFonts w:hint="eastAsia" w:ascii="宋体" w:hAnsi="宋体" w:eastAsia="宋体"/>
          <w:sz w:val="30"/>
        </w:rPr>
        <w:t>第四部分  基金托管人</w:t>
      </w:r>
      <w:bookmarkEnd w:id="26"/>
      <w:bookmarkEnd w:id="27"/>
    </w:p>
    <w:p w14:paraId="34960ADA">
      <w:pPr>
        <w:pStyle w:val="8"/>
        <w:spacing w:before="0" w:beforeAutospacing="0" w:after="0" w:afterAutospacing="0" w:line="360" w:lineRule="auto"/>
        <w:ind w:firstLine="420"/>
        <w:rPr>
          <w:sz w:val="21"/>
          <w:szCs w:val="21"/>
        </w:rPr>
      </w:pPr>
      <w:bookmarkStart w:id="28" w:name="chapter_level1_6_55_section_1"/>
      <w:bookmarkEnd w:id="28"/>
      <w:bookmarkStart w:id="29" w:name="field_0_trustcompanyinfo_1_start"/>
      <w:bookmarkEnd w:id="29"/>
      <w:r>
        <w:rPr>
          <w:rFonts w:hint="eastAsia"/>
          <w:sz w:val="21"/>
          <w:szCs w:val="21"/>
        </w:rPr>
        <w:t xml:space="preserve">一、基金托管人基本情况 </w:t>
      </w:r>
    </w:p>
    <w:p w14:paraId="07B47354">
      <w:pPr>
        <w:pStyle w:val="8"/>
        <w:spacing w:before="0" w:beforeAutospacing="0" w:after="0" w:afterAutospacing="0" w:line="360" w:lineRule="auto"/>
        <w:ind w:firstLine="420"/>
        <w:rPr>
          <w:sz w:val="21"/>
          <w:szCs w:val="21"/>
        </w:rPr>
      </w:pPr>
      <w:r>
        <w:rPr>
          <w:rFonts w:hint="eastAsia"/>
          <w:sz w:val="21"/>
          <w:szCs w:val="21"/>
        </w:rPr>
        <w:t xml:space="preserve">1、基本情况 </w:t>
      </w:r>
    </w:p>
    <w:p w14:paraId="1E3330BA">
      <w:pPr>
        <w:pStyle w:val="8"/>
        <w:spacing w:before="0" w:beforeAutospacing="0" w:after="0" w:afterAutospacing="0" w:line="360" w:lineRule="auto"/>
        <w:ind w:firstLine="420"/>
        <w:rPr>
          <w:sz w:val="21"/>
          <w:szCs w:val="21"/>
        </w:rPr>
      </w:pPr>
      <w:r>
        <w:rPr>
          <w:rFonts w:hint="eastAsia"/>
          <w:sz w:val="21"/>
          <w:szCs w:val="21"/>
        </w:rPr>
        <w:t xml:space="preserve">名称：兴业银行股份有限公司 </w:t>
      </w:r>
    </w:p>
    <w:p w14:paraId="49A77471">
      <w:pPr>
        <w:pStyle w:val="8"/>
        <w:spacing w:before="0" w:beforeAutospacing="0" w:after="0" w:afterAutospacing="0" w:line="360" w:lineRule="auto"/>
        <w:ind w:firstLine="420"/>
        <w:rPr>
          <w:sz w:val="21"/>
          <w:szCs w:val="21"/>
        </w:rPr>
      </w:pPr>
      <w:r>
        <w:rPr>
          <w:rFonts w:hint="eastAsia"/>
          <w:sz w:val="21"/>
          <w:szCs w:val="21"/>
        </w:rPr>
        <w:t xml:space="preserve">注册地址：福建省福州市台江区江滨中大道398号兴业银行大厦 </w:t>
      </w:r>
    </w:p>
    <w:p w14:paraId="0F3CF40F">
      <w:pPr>
        <w:pStyle w:val="8"/>
        <w:spacing w:before="0" w:beforeAutospacing="0" w:after="0" w:afterAutospacing="0" w:line="360" w:lineRule="auto"/>
        <w:ind w:firstLine="420"/>
        <w:rPr>
          <w:sz w:val="21"/>
          <w:szCs w:val="21"/>
        </w:rPr>
      </w:pPr>
      <w:r>
        <w:rPr>
          <w:rFonts w:hint="eastAsia"/>
          <w:sz w:val="21"/>
          <w:szCs w:val="21"/>
        </w:rPr>
        <w:t xml:space="preserve">办公地址：上海市银城路167号 </w:t>
      </w:r>
    </w:p>
    <w:p w14:paraId="0C19E47B">
      <w:pPr>
        <w:pStyle w:val="8"/>
        <w:spacing w:before="0" w:beforeAutospacing="0" w:after="0" w:afterAutospacing="0" w:line="360" w:lineRule="auto"/>
        <w:ind w:firstLine="420"/>
        <w:rPr>
          <w:sz w:val="21"/>
          <w:szCs w:val="21"/>
        </w:rPr>
      </w:pPr>
      <w:r>
        <w:rPr>
          <w:rFonts w:hint="eastAsia"/>
          <w:sz w:val="21"/>
          <w:szCs w:val="21"/>
        </w:rPr>
        <w:t xml:space="preserve">邮政编码：200120 </w:t>
      </w:r>
    </w:p>
    <w:p w14:paraId="0094577B">
      <w:pPr>
        <w:pStyle w:val="8"/>
        <w:spacing w:before="0" w:beforeAutospacing="0" w:after="0" w:afterAutospacing="0" w:line="360" w:lineRule="auto"/>
        <w:ind w:firstLine="420"/>
        <w:rPr>
          <w:sz w:val="21"/>
          <w:szCs w:val="21"/>
        </w:rPr>
      </w:pPr>
      <w:r>
        <w:rPr>
          <w:rFonts w:hint="eastAsia"/>
          <w:sz w:val="21"/>
          <w:szCs w:val="21"/>
        </w:rPr>
        <w:t xml:space="preserve">法定代表人：吕家进  </w:t>
      </w:r>
    </w:p>
    <w:p w14:paraId="0C1E6CFA">
      <w:pPr>
        <w:pStyle w:val="8"/>
        <w:spacing w:before="0" w:beforeAutospacing="0" w:after="0" w:afterAutospacing="0" w:line="360" w:lineRule="auto"/>
        <w:ind w:firstLine="420"/>
        <w:rPr>
          <w:sz w:val="21"/>
          <w:szCs w:val="21"/>
        </w:rPr>
      </w:pPr>
      <w:r>
        <w:rPr>
          <w:rFonts w:hint="eastAsia"/>
          <w:sz w:val="21"/>
          <w:szCs w:val="21"/>
        </w:rPr>
        <w:t xml:space="preserve">成立日期：1988年8月22日 </w:t>
      </w:r>
    </w:p>
    <w:p w14:paraId="2BAC1EA3">
      <w:pPr>
        <w:pStyle w:val="8"/>
        <w:spacing w:before="0" w:beforeAutospacing="0" w:after="0" w:afterAutospacing="0" w:line="360" w:lineRule="auto"/>
        <w:ind w:firstLine="420"/>
        <w:rPr>
          <w:sz w:val="21"/>
          <w:szCs w:val="21"/>
        </w:rPr>
      </w:pPr>
      <w:r>
        <w:rPr>
          <w:rFonts w:hint="eastAsia"/>
          <w:sz w:val="21"/>
          <w:szCs w:val="21"/>
        </w:rPr>
        <w:t xml:space="preserve">批准设立机关和批准设立文号：中国人民银行总行，银复[1988]347号 </w:t>
      </w:r>
    </w:p>
    <w:p w14:paraId="6C0C60B1">
      <w:pPr>
        <w:pStyle w:val="8"/>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基金托管业务批准文号：中国证监会证监基金字[2005]74号 </w:t>
      </w:r>
    </w:p>
    <w:p w14:paraId="151CA553">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58226392">
      <w:pPr>
        <w:pStyle w:val="8"/>
        <w:spacing w:before="0" w:beforeAutospacing="0" w:after="0" w:afterAutospacing="0" w:line="360" w:lineRule="auto"/>
        <w:ind w:firstLine="420"/>
        <w:rPr>
          <w:sz w:val="21"/>
          <w:szCs w:val="21"/>
        </w:rPr>
      </w:pPr>
      <w:r>
        <w:rPr>
          <w:rFonts w:hint="eastAsia"/>
          <w:sz w:val="21"/>
          <w:szCs w:val="21"/>
        </w:rPr>
        <w:t xml:space="preserve">注册资本：207.74亿元人民币 </w:t>
      </w:r>
    </w:p>
    <w:p w14:paraId="38689A5F">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53BC272F">
      <w:pPr>
        <w:pStyle w:val="8"/>
        <w:spacing w:before="0" w:beforeAutospacing="0" w:after="0" w:afterAutospacing="0" w:line="360" w:lineRule="auto"/>
        <w:ind w:firstLine="420"/>
        <w:rPr>
          <w:sz w:val="21"/>
          <w:szCs w:val="21"/>
        </w:rPr>
      </w:pPr>
      <w:r>
        <w:rPr>
          <w:rFonts w:hint="eastAsia"/>
          <w:sz w:val="21"/>
          <w:szCs w:val="21"/>
        </w:rPr>
        <w:t xml:space="preserve">2、发展概况及财务状况 </w:t>
      </w:r>
    </w:p>
    <w:p w14:paraId="7D204876">
      <w:pPr>
        <w:pStyle w:val="8"/>
        <w:spacing w:before="0" w:beforeAutospacing="0" w:after="0" w:afterAutospacing="0" w:line="360" w:lineRule="auto"/>
        <w:ind w:firstLine="420"/>
        <w:rPr>
          <w:sz w:val="21"/>
          <w:szCs w:val="21"/>
        </w:rPr>
      </w:pPr>
      <w:r>
        <w:rPr>
          <w:rFonts w:hint="eastAsia"/>
          <w:sz w:val="21"/>
          <w:szCs w:val="21"/>
        </w:rPr>
        <w:t xml:space="preserve">兴业银行成立于1988年8月，是经国务院、中国人民银行批准成立的首批股份制商业银行之一，总行设在福建省福州市，2007年2月5日正式在上海证券交易所挂牌上市（股票代码：601166），注册资本207.74亿元。截至2024年12月31日，兴业银行资产总额达10.51万亿元，实现营业收入2122.26亿元，同比增长0.66%，实现归属于母公司股东的净利润772.05亿元。开业三十多年来，兴业银行始终坚持“真诚服务，相伴成长”的经营理念，致力于为客户提供全面、优质、高效的金融服务。 </w:t>
      </w:r>
    </w:p>
    <w:p w14:paraId="53D82997">
      <w:pPr>
        <w:pStyle w:val="8"/>
        <w:spacing w:before="0" w:beforeAutospacing="0" w:after="0" w:afterAutospacing="0" w:line="360" w:lineRule="auto"/>
        <w:ind w:firstLine="420"/>
        <w:rPr>
          <w:sz w:val="21"/>
          <w:szCs w:val="21"/>
        </w:rPr>
      </w:pPr>
      <w:r>
        <w:rPr>
          <w:rFonts w:hint="eastAsia"/>
          <w:sz w:val="21"/>
          <w:szCs w:val="21"/>
        </w:rPr>
        <w:t xml:space="preserve">二、托管业务部部门设置及员工情况 </w:t>
      </w:r>
    </w:p>
    <w:p w14:paraId="473F07A7">
      <w:pPr>
        <w:pStyle w:val="8"/>
        <w:spacing w:before="0" w:beforeAutospacing="0" w:after="0" w:afterAutospacing="0" w:line="360" w:lineRule="auto"/>
        <w:ind w:firstLine="420"/>
        <w:rPr>
          <w:sz w:val="21"/>
          <w:szCs w:val="21"/>
        </w:rPr>
      </w:pPr>
      <w:r>
        <w:rPr>
          <w:rFonts w:hint="eastAsia"/>
          <w:sz w:val="21"/>
          <w:szCs w:val="21"/>
        </w:rPr>
        <w:t xml:space="preserve">兴业银行股份有限公司总行设资产托管部，下设综合管理处、证券基金处、信托保险处、理财私募处、需求支持处、稽核监察处、投资监督处、运行管理处，共有员工100余人，业务岗位人员均具有基金从业资格。 </w:t>
      </w:r>
    </w:p>
    <w:p w14:paraId="7DF7532E">
      <w:pPr>
        <w:pStyle w:val="8"/>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1C1516D4">
      <w:pPr>
        <w:pStyle w:val="8"/>
        <w:spacing w:before="0" w:beforeAutospacing="0" w:after="0" w:afterAutospacing="0" w:line="360" w:lineRule="auto"/>
        <w:ind w:firstLine="420"/>
        <w:rPr>
          <w:sz w:val="21"/>
          <w:szCs w:val="21"/>
        </w:rPr>
      </w:pPr>
      <w:r>
        <w:rPr>
          <w:rFonts w:hint="eastAsia"/>
          <w:sz w:val="21"/>
          <w:szCs w:val="21"/>
        </w:rPr>
        <w:t>兴业银行股份有限公司于2005年4月26日取得基金托管资格。基金托管业务批准文号：证监基金字[2005]74号。截至2025年6月30日，兴业银行共托管证券投资基金809只，</w:t>
      </w:r>
      <w:bookmarkStart w:id="30" w:name="chapter_level1_6_55_section_1_end"/>
      <w:bookmarkEnd w:id="30"/>
      <w:r>
        <w:rPr>
          <w:rFonts w:hint="eastAsia"/>
          <w:sz w:val="21"/>
          <w:szCs w:val="21"/>
        </w:rPr>
        <w:t xml:space="preserve">托管基金的基金资产净值合计27790.02亿元，基金份额合计25239.73亿份。 </w:t>
      </w:r>
      <w:bookmarkStart w:id="31" w:name="field_0_trustcompanyinfo_1_end"/>
      <w:bookmarkEnd w:id="31"/>
      <w:r>
        <w:rPr>
          <w:rFonts w:hint="eastAsia"/>
          <w:sz w:val="21"/>
          <w:szCs w:val="21"/>
        </w:rPr>
        <w:t xml:space="preserve">  </w:t>
      </w:r>
    </w:p>
    <w:p w14:paraId="47F3A907">
      <w:pPr>
        <w:pStyle w:val="8"/>
        <w:spacing w:before="0" w:beforeAutospacing="0" w:after="0" w:afterAutospacing="0" w:line="360" w:lineRule="auto"/>
        <w:ind w:firstLine="420"/>
        <w:rPr>
          <w:sz w:val="21"/>
          <w:szCs w:val="21"/>
        </w:rPr>
      </w:pPr>
      <w:bookmarkStart w:id="32" w:name="field_0_trustcontrollawinfo_1_start"/>
      <w:bookmarkEnd w:id="32"/>
      <w:bookmarkStart w:id="33" w:name="chapter_level1_6_55_section_2"/>
      <w:bookmarkEnd w:id="33"/>
      <w:r>
        <w:rPr>
          <w:rFonts w:hint="eastAsia"/>
          <w:sz w:val="21"/>
          <w:szCs w:val="21"/>
        </w:rPr>
        <w:t xml:space="preserve">四、基金托管人的内部控制制度 </w:t>
      </w:r>
    </w:p>
    <w:p w14:paraId="0BA133C4">
      <w:pPr>
        <w:pStyle w:val="8"/>
        <w:spacing w:before="0" w:beforeAutospacing="0" w:after="0" w:afterAutospacing="0" w:line="360" w:lineRule="auto"/>
        <w:ind w:firstLine="420"/>
        <w:rPr>
          <w:sz w:val="21"/>
          <w:szCs w:val="21"/>
        </w:rPr>
      </w:pPr>
      <w:r>
        <w:rPr>
          <w:rFonts w:hint="eastAsia"/>
          <w:sz w:val="21"/>
          <w:szCs w:val="21"/>
        </w:rPr>
        <w:t xml:space="preserve">（一）内部控制目标 </w:t>
      </w:r>
    </w:p>
    <w:p w14:paraId="40C5C25E">
      <w:pPr>
        <w:pStyle w:val="8"/>
        <w:spacing w:before="0" w:beforeAutospacing="0" w:after="0" w:afterAutospacing="0" w:line="360" w:lineRule="auto"/>
        <w:ind w:firstLine="420"/>
        <w:rPr>
          <w:sz w:val="21"/>
          <w:szCs w:val="21"/>
        </w:rPr>
      </w:pPr>
      <w:r>
        <w:rPr>
          <w:rFonts w:hint="eastAsia"/>
          <w:sz w:val="21"/>
          <w:szCs w:val="21"/>
        </w:rPr>
        <w:t xml:space="preserve">严格遵守国家有关托管业务的法律法规、行业监管规章和行内有关管理规定，守法经营、规范运作、严格监察，确保业务的稳健运行，保证基金资产的安全完整，确保有关信息的真实、准确、完整、及时，保护基金份额持有人的合法权益。 </w:t>
      </w:r>
    </w:p>
    <w:p w14:paraId="7431E8C7">
      <w:pPr>
        <w:pStyle w:val="8"/>
        <w:spacing w:before="0" w:beforeAutospacing="0" w:after="0" w:afterAutospacing="0" w:line="360" w:lineRule="auto"/>
        <w:ind w:firstLine="420"/>
        <w:rPr>
          <w:sz w:val="21"/>
          <w:szCs w:val="21"/>
        </w:rPr>
      </w:pPr>
      <w:r>
        <w:rPr>
          <w:rFonts w:hint="eastAsia"/>
          <w:sz w:val="21"/>
          <w:szCs w:val="21"/>
        </w:rPr>
        <w:t xml:space="preserve">（二）内部控制组织结构 </w:t>
      </w:r>
    </w:p>
    <w:p w14:paraId="2EB24C64">
      <w:pPr>
        <w:pStyle w:val="8"/>
        <w:spacing w:before="0" w:beforeAutospacing="0" w:after="0" w:afterAutospacing="0" w:line="360" w:lineRule="auto"/>
        <w:ind w:firstLine="420"/>
        <w:rPr>
          <w:sz w:val="21"/>
          <w:szCs w:val="21"/>
        </w:rPr>
      </w:pPr>
      <w:r>
        <w:rPr>
          <w:rFonts w:hint="eastAsia"/>
          <w:sz w:val="21"/>
          <w:szCs w:val="21"/>
        </w:rPr>
        <w:t xml:space="preserve">兴业银行基金托管业务内部控制组织架构由总行内部控制委员会、总行风险管理部门、总行审计部、总行资产托管部、总行运营管理部及分行托管运营机构共同组成。各级内部控制组织依照本行相关制度对本行托管业务风险管理和内部控制实施管理。 </w:t>
      </w:r>
    </w:p>
    <w:p w14:paraId="433D35AD">
      <w:pPr>
        <w:pStyle w:val="8"/>
        <w:spacing w:before="0" w:beforeAutospacing="0" w:after="0" w:afterAutospacing="0" w:line="360" w:lineRule="auto"/>
        <w:ind w:firstLine="420"/>
        <w:rPr>
          <w:sz w:val="21"/>
          <w:szCs w:val="21"/>
        </w:rPr>
      </w:pPr>
      <w:r>
        <w:rPr>
          <w:rFonts w:hint="eastAsia"/>
          <w:sz w:val="21"/>
          <w:szCs w:val="21"/>
        </w:rPr>
        <w:t xml:space="preserve">（三）内部控制原则 </w:t>
      </w:r>
    </w:p>
    <w:p w14:paraId="2D0EC9EC">
      <w:pPr>
        <w:pStyle w:val="8"/>
        <w:spacing w:before="0" w:beforeAutospacing="0" w:after="0" w:afterAutospacing="0" w:line="360" w:lineRule="auto"/>
        <w:ind w:firstLine="420"/>
        <w:rPr>
          <w:sz w:val="21"/>
          <w:szCs w:val="21"/>
        </w:rPr>
      </w:pPr>
      <w:r>
        <w:rPr>
          <w:rFonts w:hint="eastAsia"/>
          <w:sz w:val="21"/>
          <w:szCs w:val="21"/>
        </w:rPr>
        <w:t xml:space="preserve">1、全面性原则：内部控制贯穿资产托管业务的全过程，覆盖各项业务和产品，以及从事资产托管业务的各机构和从业人员； </w:t>
      </w:r>
    </w:p>
    <w:p w14:paraId="7AEABBE6">
      <w:pPr>
        <w:pStyle w:val="8"/>
        <w:spacing w:before="0" w:beforeAutospacing="0" w:after="0" w:afterAutospacing="0" w:line="360" w:lineRule="auto"/>
        <w:ind w:firstLine="420"/>
        <w:rPr>
          <w:sz w:val="21"/>
          <w:szCs w:val="21"/>
        </w:rPr>
      </w:pPr>
      <w:r>
        <w:rPr>
          <w:rFonts w:hint="eastAsia"/>
          <w:sz w:val="21"/>
          <w:szCs w:val="21"/>
        </w:rPr>
        <w:t xml:space="preserve">2、重要性原则：内部控制应当在全面控制的基础上，关注重要业务事项和高风险领域； </w:t>
      </w:r>
    </w:p>
    <w:p w14:paraId="6CC71EA0">
      <w:pPr>
        <w:pStyle w:val="8"/>
        <w:spacing w:before="0" w:beforeAutospacing="0" w:after="0" w:afterAutospacing="0" w:line="360" w:lineRule="auto"/>
        <w:ind w:firstLine="420"/>
        <w:rPr>
          <w:sz w:val="21"/>
          <w:szCs w:val="21"/>
        </w:rPr>
      </w:pPr>
      <w:r>
        <w:rPr>
          <w:rFonts w:hint="eastAsia"/>
          <w:sz w:val="21"/>
          <w:szCs w:val="21"/>
        </w:rPr>
        <w:t xml:space="preserve">3、独立性原则：开展托管业务的部门和岗位的设置应权责分明、相对独立、相互制衡； </w:t>
      </w:r>
    </w:p>
    <w:p w14:paraId="2BE67E7F">
      <w:pPr>
        <w:pStyle w:val="8"/>
        <w:spacing w:before="0" w:beforeAutospacing="0" w:after="0" w:afterAutospacing="0" w:line="360" w:lineRule="auto"/>
        <w:ind w:firstLine="420"/>
        <w:rPr>
          <w:sz w:val="21"/>
          <w:szCs w:val="21"/>
        </w:rPr>
      </w:pPr>
      <w:r>
        <w:rPr>
          <w:rFonts w:hint="eastAsia"/>
          <w:sz w:val="21"/>
          <w:szCs w:val="21"/>
        </w:rPr>
        <w:t xml:space="preserve">4、审慎性原则：内控与风险管理必须以防范风险，保证托管资产的安全与完整为出发点，“内控优先”，“制度优先”，审慎发展资产托管业务； </w:t>
      </w:r>
    </w:p>
    <w:p w14:paraId="5BCF1DA1">
      <w:pPr>
        <w:pStyle w:val="8"/>
        <w:spacing w:before="0" w:beforeAutospacing="0" w:after="0" w:afterAutospacing="0" w:line="360" w:lineRule="auto"/>
        <w:ind w:firstLine="420"/>
        <w:rPr>
          <w:sz w:val="21"/>
          <w:szCs w:val="21"/>
        </w:rPr>
      </w:pPr>
      <w:r>
        <w:rPr>
          <w:rFonts w:hint="eastAsia"/>
          <w:sz w:val="21"/>
          <w:szCs w:val="21"/>
        </w:rPr>
        <w:t xml:space="preserve">5、制衡性原则：内部控制应当在治理结构、机构设置及权责分配、业务流程等方面形成相互制约、相互监督，同时兼顾运营效率； </w:t>
      </w:r>
    </w:p>
    <w:p w14:paraId="6F4D1946">
      <w:pPr>
        <w:pStyle w:val="8"/>
        <w:spacing w:before="0" w:beforeAutospacing="0" w:after="0" w:afterAutospacing="0" w:line="360" w:lineRule="auto"/>
        <w:ind w:firstLine="420"/>
        <w:rPr>
          <w:sz w:val="21"/>
          <w:szCs w:val="21"/>
        </w:rPr>
      </w:pPr>
      <w:r>
        <w:rPr>
          <w:rFonts w:hint="eastAsia"/>
          <w:sz w:val="21"/>
          <w:szCs w:val="21"/>
        </w:rPr>
        <w:t xml:space="preserve">6、适应性原则：内部控制体系应同所处的环境相适应，以合理的成本实现内控目标，内部制度的制订应当具有前瞻性，并应当根据国家政策、法律及经营管理的需要，适时进行相应修改和完善；内部控制存在的问题应当能够得到及时反馈和纠正； </w:t>
      </w:r>
    </w:p>
    <w:p w14:paraId="2377AD1E">
      <w:pPr>
        <w:pStyle w:val="8"/>
        <w:spacing w:before="0" w:beforeAutospacing="0" w:after="0" w:afterAutospacing="0" w:line="360" w:lineRule="auto"/>
        <w:ind w:firstLine="420"/>
        <w:rPr>
          <w:sz w:val="21"/>
          <w:szCs w:val="21"/>
        </w:rPr>
      </w:pPr>
      <w:r>
        <w:rPr>
          <w:rFonts w:hint="eastAsia"/>
          <w:sz w:val="21"/>
          <w:szCs w:val="21"/>
        </w:rPr>
        <w:t xml:space="preserve">7、成本效益原则：内部控制应当权衡实施成本与预期效益，以适当的成本实现有效控制。 </w:t>
      </w:r>
    </w:p>
    <w:p w14:paraId="002C3F6C">
      <w:pPr>
        <w:pStyle w:val="8"/>
        <w:spacing w:before="0" w:beforeAutospacing="0" w:after="0" w:afterAutospacing="0" w:line="360" w:lineRule="auto"/>
        <w:ind w:firstLine="420"/>
        <w:rPr>
          <w:sz w:val="21"/>
          <w:szCs w:val="21"/>
        </w:rPr>
      </w:pPr>
      <w:r>
        <w:rPr>
          <w:rFonts w:hint="eastAsia"/>
          <w:sz w:val="21"/>
          <w:szCs w:val="21"/>
        </w:rPr>
        <w:t xml:space="preserve">（四）内部控制制度及措施 </w:t>
      </w:r>
    </w:p>
    <w:p w14:paraId="66DF291E">
      <w:pPr>
        <w:pStyle w:val="8"/>
        <w:spacing w:before="0" w:beforeAutospacing="0" w:after="0" w:afterAutospacing="0" w:line="360" w:lineRule="auto"/>
        <w:ind w:firstLine="420"/>
        <w:rPr>
          <w:sz w:val="21"/>
          <w:szCs w:val="21"/>
        </w:rPr>
      </w:pPr>
      <w:r>
        <w:rPr>
          <w:rFonts w:hint="eastAsia"/>
          <w:sz w:val="21"/>
          <w:szCs w:val="21"/>
        </w:rPr>
        <w:t xml:space="preserve">1、制度建设：建立了明确的岗位职责、科学的业务流程、详细的操作手册、严格的人员行为规范等一系列规章制度。 </w:t>
      </w:r>
    </w:p>
    <w:p w14:paraId="74EC1E1D">
      <w:pPr>
        <w:pStyle w:val="8"/>
        <w:spacing w:before="0" w:beforeAutospacing="0" w:after="0" w:afterAutospacing="0" w:line="360" w:lineRule="auto"/>
        <w:ind w:firstLine="420"/>
        <w:rPr>
          <w:sz w:val="21"/>
          <w:szCs w:val="21"/>
        </w:rPr>
      </w:pPr>
      <w:r>
        <w:rPr>
          <w:rFonts w:hint="eastAsia"/>
          <w:sz w:val="21"/>
          <w:szCs w:val="21"/>
        </w:rPr>
        <w:t xml:space="preserve">2、建立健全的组织管理结构：前后台分离，不同部门、岗位相互牵制。 </w:t>
      </w:r>
    </w:p>
    <w:p w14:paraId="67BCFB6F">
      <w:pPr>
        <w:pStyle w:val="8"/>
        <w:spacing w:before="0" w:beforeAutospacing="0" w:after="0" w:afterAutospacing="0" w:line="360" w:lineRule="auto"/>
        <w:ind w:firstLine="420"/>
        <w:rPr>
          <w:sz w:val="21"/>
          <w:szCs w:val="21"/>
        </w:rPr>
      </w:pPr>
      <w:r>
        <w:rPr>
          <w:rFonts w:hint="eastAsia"/>
          <w:sz w:val="21"/>
          <w:szCs w:val="21"/>
        </w:rPr>
        <w:t xml:space="preserve">3、风险识别与评估：稽核监察处指导业务处室进行风险识别、评估，制定并实施风险控制措施。 </w:t>
      </w:r>
    </w:p>
    <w:p w14:paraId="010D6F3B">
      <w:pPr>
        <w:pStyle w:val="8"/>
        <w:spacing w:before="0" w:beforeAutospacing="0" w:after="0" w:afterAutospacing="0" w:line="360" w:lineRule="auto"/>
        <w:ind w:firstLine="420"/>
        <w:rPr>
          <w:sz w:val="21"/>
          <w:szCs w:val="21"/>
        </w:rPr>
      </w:pPr>
      <w:r>
        <w:rPr>
          <w:rFonts w:hint="eastAsia"/>
          <w:sz w:val="21"/>
          <w:szCs w:val="21"/>
        </w:rPr>
        <w:t xml:space="preserve">4、相对独立的业务操作空间：业务操作区相对独立，实施门禁管理和音像监控。 </w:t>
      </w:r>
    </w:p>
    <w:p w14:paraId="3E077505">
      <w:pPr>
        <w:pStyle w:val="8"/>
        <w:spacing w:before="0" w:beforeAutospacing="0" w:after="0" w:afterAutospacing="0" w:line="360" w:lineRule="auto"/>
        <w:ind w:firstLine="420"/>
        <w:rPr>
          <w:sz w:val="21"/>
          <w:szCs w:val="21"/>
        </w:rPr>
      </w:pPr>
      <w:r>
        <w:rPr>
          <w:rFonts w:hint="eastAsia"/>
          <w:sz w:val="21"/>
          <w:szCs w:val="21"/>
        </w:rPr>
        <w:t xml:space="preserve">5、人员管理：进行定期的业务与职业道德培训，使员工树立风险防范与控制理念，并签订承诺书。 </w:t>
      </w:r>
    </w:p>
    <w:p w14:paraId="18477973">
      <w:pPr>
        <w:pStyle w:val="8"/>
        <w:spacing w:before="0" w:beforeAutospacing="0" w:after="0" w:afterAutospacing="0" w:line="360" w:lineRule="auto"/>
        <w:ind w:firstLine="420"/>
        <w:rPr>
          <w:sz w:val="21"/>
          <w:szCs w:val="21"/>
        </w:rPr>
      </w:pPr>
      <w:r>
        <w:rPr>
          <w:rFonts w:hint="eastAsia"/>
          <w:sz w:val="21"/>
          <w:szCs w:val="21"/>
        </w:rPr>
        <w:t xml:space="preserve">6、应急预案：制定完备的《应急预案》，并组织员工定期演练；建立异地灾备中心，保证业务不中断。 </w:t>
      </w:r>
    </w:p>
    <w:p w14:paraId="178D8FA3">
      <w:pPr>
        <w:pStyle w:val="8"/>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14:paraId="3405798B">
      <w:pPr>
        <w:pStyle w:val="8"/>
        <w:spacing w:before="0" w:beforeAutospacing="0" w:after="0" w:afterAutospacing="0" w:line="360" w:lineRule="auto"/>
        <w:ind w:firstLine="420"/>
        <w:rPr>
          <w:sz w:val="21"/>
          <w:szCs w:val="21"/>
        </w:rPr>
      </w:pPr>
      <w:r>
        <w:rPr>
          <w:rFonts w:hint="eastAsia"/>
          <w:sz w:val="21"/>
          <w:szCs w:val="21"/>
        </w:rPr>
        <w:t xml:space="preserve">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 </w:t>
      </w:r>
    </w:p>
    <w:p w14:paraId="39118F4A">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有违反《基金法》、《运作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基金托管人发现基金管理人有重大违规行为，立即报告中国证监会，同时，通知基金管理人限期纠正，并将纠正结果报告中国证监会。 </w:t>
      </w:r>
    </w:p>
    <w:p w14:paraId="2A7EE8B2">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基金托管人发现基金管理人的指令违反法律、行政法规和其他有关规定，或者违反基金合同约定的，应当拒绝执行，立即通知基金管理人，并及时向中国证监会报告。 </w:t>
      </w:r>
    </w:p>
    <w:p w14:paraId="24C1AB85">
      <w:pPr>
        <w:pStyle w:val="8"/>
        <w:spacing w:before="0" w:beforeAutospacing="0" w:after="0" w:afterAutospacing="0" w:line="360" w:lineRule="auto"/>
        <w:ind w:firstLine="420"/>
        <w:rPr>
          <w:sz w:val="21"/>
          <w:szCs w:val="21"/>
        </w:rPr>
      </w:pPr>
      <w:r>
        <w:rPr>
          <w:rFonts w:hint="eastAsia"/>
          <w:sz w:val="21"/>
          <w:szCs w:val="21"/>
        </w:rPr>
        <w:t>基金托管人发现基金管理人依据交易程序已经生效的投资指令违反法律、行政法规和其他有关规定，或者违反基金合同约定的，应当立即通知基金管理人，并及时向中国证监会报</w:t>
      </w:r>
      <w:bookmarkStart w:id="34" w:name="chapter_level1_6_55_section_2_end"/>
      <w:bookmarkEnd w:id="34"/>
      <w:r>
        <w:rPr>
          <w:rFonts w:hint="eastAsia"/>
          <w:sz w:val="21"/>
          <w:szCs w:val="21"/>
        </w:rPr>
        <w:t xml:space="preserve">告。 </w:t>
      </w:r>
      <w:bookmarkStart w:id="35" w:name="field_0_trustcontrollawinfo_1_end"/>
      <w:bookmarkEnd w:id="35"/>
      <w:r>
        <w:rPr>
          <w:rFonts w:hint="eastAsia"/>
          <w:sz w:val="21"/>
          <w:szCs w:val="21"/>
        </w:rPr>
        <w:t xml:space="preserve">  </w:t>
      </w:r>
    </w:p>
    <w:p w14:paraId="32C45DED">
      <w:pPr>
        <w:widowControl/>
        <w:jc w:val="left"/>
        <w:rPr>
          <w:rFonts w:ascii="宋体" w:hAnsi="宋体" w:eastAsia="宋体"/>
        </w:rPr>
      </w:pPr>
      <w:r>
        <w:rPr>
          <w:rFonts w:ascii="宋体" w:hAnsi="宋体" w:eastAsia="宋体"/>
        </w:rPr>
        <w:br w:type="page"/>
      </w:r>
    </w:p>
    <w:p w14:paraId="5F18F379">
      <w:pPr>
        <w:pStyle w:val="2"/>
        <w:jc w:val="center"/>
        <w:rPr>
          <w:rFonts w:ascii="宋体" w:hAnsi="宋体" w:eastAsia="宋体"/>
          <w:sz w:val="30"/>
        </w:rPr>
      </w:pPr>
      <w:bookmarkStart w:id="36" w:name="chapter_level1_7_56"/>
      <w:bookmarkStart w:id="37" w:name="_Toc207939901"/>
      <w:r>
        <w:rPr>
          <w:rFonts w:hint="eastAsia" w:ascii="宋体" w:hAnsi="宋体" w:eastAsia="宋体"/>
          <w:sz w:val="30"/>
        </w:rPr>
        <w:t>第五部分  相关服务机构</w:t>
      </w:r>
      <w:bookmarkEnd w:id="36"/>
      <w:bookmarkEnd w:id="37"/>
    </w:p>
    <w:p w14:paraId="57379B8B">
      <w:pPr>
        <w:pStyle w:val="8"/>
        <w:spacing w:before="0" w:beforeAutospacing="0" w:after="0" w:afterAutospacing="0" w:line="360" w:lineRule="auto"/>
        <w:ind w:firstLine="420"/>
        <w:rPr>
          <w:sz w:val="21"/>
          <w:szCs w:val="21"/>
        </w:rPr>
      </w:pPr>
      <w:bookmarkStart w:id="38" w:name="chapter_level1_7_56_section_1"/>
      <w:bookmarkEnd w:id="38"/>
      <w:r>
        <w:rPr>
          <w:rStyle w:val="12"/>
          <w:rFonts w:hint="eastAsia"/>
          <w:sz w:val="21"/>
          <w:szCs w:val="21"/>
        </w:rPr>
        <w:t>一、基金份额销售机构</w:t>
      </w:r>
    </w:p>
    <w:p w14:paraId="53894FA0">
      <w:pPr>
        <w:pStyle w:val="8"/>
        <w:spacing w:before="0" w:beforeAutospacing="0" w:after="0" w:afterAutospacing="0" w:line="360" w:lineRule="auto"/>
        <w:ind w:firstLine="420"/>
        <w:rPr>
          <w:sz w:val="21"/>
          <w:szCs w:val="21"/>
        </w:rPr>
      </w:pPr>
      <w:r>
        <w:rPr>
          <w:rFonts w:hint="eastAsia"/>
          <w:sz w:val="21"/>
          <w:szCs w:val="21"/>
        </w:rPr>
        <w:t xml:space="preserve">1、直销机构 </w:t>
      </w:r>
    </w:p>
    <w:p w14:paraId="34DA1591">
      <w:pPr>
        <w:pStyle w:val="8"/>
        <w:spacing w:before="0" w:beforeAutospacing="0" w:after="0" w:afterAutospacing="0" w:line="360" w:lineRule="auto"/>
        <w:ind w:firstLine="420"/>
        <w:rPr>
          <w:sz w:val="21"/>
          <w:szCs w:val="21"/>
        </w:rPr>
      </w:pPr>
      <w:bookmarkStart w:id="39" w:name="field_0_marketcompanyinfo_1_start"/>
      <w:bookmarkEnd w:id="39"/>
      <w:r>
        <w:rPr>
          <w:rFonts w:hint="eastAsia"/>
          <w:sz w:val="21"/>
          <w:szCs w:val="21"/>
        </w:rPr>
        <w:t xml:space="preserve">名称：博时基金管理有限公司北京直销中心 </w:t>
      </w:r>
    </w:p>
    <w:p w14:paraId="29090772">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51C58D99">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36792605">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6B3440A0">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1B7BA041">
      <w:pPr>
        <w:pStyle w:val="8"/>
        <w:spacing w:before="0" w:beforeAutospacing="0" w:after="0" w:afterAutospacing="0" w:line="360" w:lineRule="auto"/>
        <w:ind w:firstLine="420"/>
        <w:rPr>
          <w:sz w:val="21"/>
          <w:szCs w:val="21"/>
        </w:rPr>
      </w:pPr>
      <w:bookmarkStart w:id="40" w:name="chapter_level1_7_56_section_1_end"/>
      <w:bookmarkEnd w:id="40"/>
      <w:r>
        <w:rPr>
          <w:rFonts w:hint="eastAsia"/>
          <w:sz w:val="21"/>
          <w:szCs w:val="21"/>
        </w:rPr>
        <w:t xml:space="preserve">博时一线通：95105568（免长途话费） </w:t>
      </w:r>
      <w:bookmarkStart w:id="41" w:name="field_0_marketcompanyinfo_1_end"/>
      <w:bookmarkEnd w:id="41"/>
      <w:r>
        <w:rPr>
          <w:rFonts w:hint="eastAsia"/>
          <w:sz w:val="21"/>
          <w:szCs w:val="21"/>
        </w:rPr>
        <w:t xml:space="preserve">  </w:t>
      </w:r>
    </w:p>
    <w:p w14:paraId="51DE1315">
      <w:pPr>
        <w:pStyle w:val="8"/>
        <w:spacing w:before="0" w:beforeAutospacing="0" w:after="0" w:afterAutospacing="0" w:line="360" w:lineRule="auto"/>
        <w:ind w:firstLine="420"/>
        <w:rPr>
          <w:sz w:val="21"/>
          <w:szCs w:val="21"/>
        </w:rPr>
      </w:pPr>
      <w:bookmarkStart w:id="42" w:name="chapter_level1_7_56_section_2"/>
      <w:bookmarkEnd w:id="42"/>
      <w:r>
        <w:rPr>
          <w:rFonts w:hint="eastAsia"/>
          <w:sz w:val="21"/>
          <w:szCs w:val="21"/>
        </w:rPr>
        <w:t xml:space="preserve">2、代销机构 </w:t>
      </w:r>
    </w:p>
    <w:p w14:paraId="23F61897">
      <w:pPr>
        <w:pStyle w:val="8"/>
        <w:spacing w:before="0" w:beforeAutospacing="0" w:after="0" w:afterAutospacing="0" w:line="360" w:lineRule="auto"/>
        <w:ind w:firstLine="420"/>
        <w:rPr>
          <w:sz w:val="21"/>
          <w:szCs w:val="21"/>
        </w:rPr>
      </w:pPr>
      <w:bookmarkStart w:id="43" w:name="field_0_allproxysaletables_1_start"/>
      <w:bookmarkEnd w:id="43"/>
      <w:r>
        <w:rPr>
          <w:rFonts w:hint="eastAsia"/>
          <w:b/>
          <w:bCs/>
          <w:sz w:val="21"/>
          <w:szCs w:val="21"/>
        </w:rPr>
        <w:t>(1)招商银行股份有限公司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F836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A7DC0">
            <w:pPr>
              <w:pStyle w:val="8"/>
            </w:pPr>
            <w:r>
              <w:rPr>
                <w:rFonts w:hint="eastAsia"/>
              </w:rPr>
              <w:t xml:space="preserve">注册地址： </w:t>
            </w:r>
          </w:p>
        </w:tc>
        <w:tc>
          <w:tcPr>
            <w:tcW w:w="7440" w:type="dxa"/>
            <w:shd w:val="clear" w:color="auto" w:fill="auto"/>
          </w:tcPr>
          <w:p w14:paraId="3436E4E3">
            <w:pPr>
              <w:pStyle w:val="8"/>
            </w:pPr>
            <w:r>
              <w:rPr>
                <w:rFonts w:hint="eastAsia"/>
              </w:rPr>
              <w:t xml:space="preserve">深圳市福田区深南大道7088号招商银行大厦 </w:t>
            </w:r>
          </w:p>
        </w:tc>
      </w:tr>
      <w:tr w14:paraId="29DE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0DE40">
            <w:pPr>
              <w:pStyle w:val="8"/>
            </w:pPr>
            <w:r>
              <w:rPr>
                <w:rFonts w:hint="eastAsia"/>
              </w:rPr>
              <w:t xml:space="preserve">办公地址： </w:t>
            </w:r>
          </w:p>
        </w:tc>
        <w:tc>
          <w:tcPr>
            <w:tcW w:w="7440" w:type="dxa"/>
            <w:shd w:val="clear" w:color="auto" w:fill="auto"/>
          </w:tcPr>
          <w:p w14:paraId="2BCA8566">
            <w:pPr>
              <w:pStyle w:val="8"/>
            </w:pPr>
            <w:r>
              <w:rPr>
                <w:rFonts w:hint="eastAsia"/>
              </w:rPr>
              <w:t xml:space="preserve">深圳市福田区深南大道7088号招商银行大厦 </w:t>
            </w:r>
          </w:p>
        </w:tc>
      </w:tr>
      <w:tr w14:paraId="151C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6FD7D">
            <w:pPr>
              <w:pStyle w:val="8"/>
            </w:pPr>
            <w:r>
              <w:rPr>
                <w:rFonts w:hint="eastAsia"/>
              </w:rPr>
              <w:t xml:space="preserve">法定代表人： </w:t>
            </w:r>
          </w:p>
        </w:tc>
        <w:tc>
          <w:tcPr>
            <w:tcW w:w="7440" w:type="dxa"/>
            <w:shd w:val="clear" w:color="auto" w:fill="auto"/>
          </w:tcPr>
          <w:p w14:paraId="3AB1580E">
            <w:pPr>
              <w:pStyle w:val="8"/>
            </w:pPr>
            <w:r>
              <w:rPr>
                <w:rFonts w:hint="eastAsia"/>
              </w:rPr>
              <w:t xml:space="preserve">缪建民 </w:t>
            </w:r>
          </w:p>
        </w:tc>
      </w:tr>
      <w:tr w14:paraId="41A2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D04EB">
            <w:pPr>
              <w:pStyle w:val="8"/>
            </w:pPr>
            <w:r>
              <w:rPr>
                <w:rFonts w:hint="eastAsia"/>
              </w:rPr>
              <w:t xml:space="preserve">联系人： </w:t>
            </w:r>
          </w:p>
        </w:tc>
        <w:tc>
          <w:tcPr>
            <w:tcW w:w="7440" w:type="dxa"/>
            <w:shd w:val="clear" w:color="auto" w:fill="auto"/>
          </w:tcPr>
          <w:p w14:paraId="1FE792BA">
            <w:pPr>
              <w:pStyle w:val="8"/>
            </w:pPr>
            <w:r>
              <w:rPr>
                <w:rFonts w:hint="eastAsia"/>
              </w:rPr>
              <w:t xml:space="preserve">季平伟 </w:t>
            </w:r>
          </w:p>
        </w:tc>
      </w:tr>
      <w:tr w14:paraId="48974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C974B">
            <w:pPr>
              <w:pStyle w:val="8"/>
            </w:pPr>
            <w:r>
              <w:rPr>
                <w:rFonts w:hint="eastAsia"/>
              </w:rPr>
              <w:t xml:space="preserve">电话： </w:t>
            </w:r>
          </w:p>
        </w:tc>
        <w:tc>
          <w:tcPr>
            <w:tcW w:w="7440" w:type="dxa"/>
            <w:shd w:val="clear" w:color="auto" w:fill="auto"/>
          </w:tcPr>
          <w:p w14:paraId="1D72D195">
            <w:pPr>
              <w:pStyle w:val="8"/>
            </w:pPr>
            <w:r>
              <w:rPr>
                <w:rFonts w:hint="eastAsia"/>
              </w:rPr>
              <w:t xml:space="preserve">0755－83198888 </w:t>
            </w:r>
          </w:p>
        </w:tc>
      </w:tr>
      <w:tr w14:paraId="3EB46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9E771">
            <w:pPr>
              <w:pStyle w:val="8"/>
            </w:pPr>
            <w:r>
              <w:rPr>
                <w:rFonts w:hint="eastAsia"/>
              </w:rPr>
              <w:t xml:space="preserve">传真： </w:t>
            </w:r>
          </w:p>
        </w:tc>
        <w:tc>
          <w:tcPr>
            <w:tcW w:w="7440" w:type="dxa"/>
            <w:shd w:val="clear" w:color="auto" w:fill="auto"/>
          </w:tcPr>
          <w:p w14:paraId="2C951F8D">
            <w:pPr>
              <w:pStyle w:val="8"/>
            </w:pPr>
            <w:r>
              <w:rPr>
                <w:rFonts w:hint="eastAsia"/>
              </w:rPr>
              <w:t xml:space="preserve">0755－83195049 </w:t>
            </w:r>
          </w:p>
        </w:tc>
      </w:tr>
      <w:tr w14:paraId="02BB4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65FC9">
            <w:pPr>
              <w:pStyle w:val="8"/>
            </w:pPr>
            <w:r>
              <w:rPr>
                <w:rFonts w:hint="eastAsia"/>
              </w:rPr>
              <w:t xml:space="preserve">客户服务电话： </w:t>
            </w:r>
          </w:p>
        </w:tc>
        <w:tc>
          <w:tcPr>
            <w:tcW w:w="7440" w:type="dxa"/>
            <w:shd w:val="clear" w:color="auto" w:fill="auto"/>
          </w:tcPr>
          <w:p w14:paraId="2BCE142E">
            <w:pPr>
              <w:pStyle w:val="8"/>
            </w:pPr>
            <w:r>
              <w:rPr>
                <w:rFonts w:hint="eastAsia"/>
              </w:rPr>
              <w:t xml:space="preserve">95555 </w:t>
            </w:r>
          </w:p>
        </w:tc>
      </w:tr>
      <w:tr w14:paraId="58C6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C2F8D">
            <w:pPr>
              <w:pStyle w:val="8"/>
            </w:pPr>
            <w:r>
              <w:rPr>
                <w:rFonts w:hint="eastAsia"/>
              </w:rPr>
              <w:t xml:space="preserve">网址： </w:t>
            </w:r>
          </w:p>
        </w:tc>
        <w:tc>
          <w:tcPr>
            <w:tcW w:w="7440" w:type="dxa"/>
            <w:shd w:val="clear" w:color="auto" w:fill="auto"/>
          </w:tcPr>
          <w:p w14:paraId="2A2B1D96">
            <w:pPr>
              <w:pStyle w:val="8"/>
            </w:pPr>
            <w:r>
              <w:rPr>
                <w:rFonts w:hint="eastAsia"/>
              </w:rPr>
              <w:t xml:space="preserve">http://www.cmbchina.com/ </w:t>
            </w:r>
          </w:p>
        </w:tc>
      </w:tr>
    </w:tbl>
    <w:p w14:paraId="08A63867">
      <w:pPr>
        <w:pStyle w:val="8"/>
        <w:spacing w:before="0" w:beforeAutospacing="0" w:after="0" w:afterAutospacing="0" w:line="360" w:lineRule="auto"/>
        <w:ind w:firstLine="420"/>
        <w:rPr>
          <w:sz w:val="21"/>
          <w:szCs w:val="21"/>
        </w:rPr>
      </w:pPr>
      <w:r>
        <w:rPr>
          <w:rFonts w:hint="eastAsia"/>
          <w:b/>
          <w:bCs/>
          <w:sz w:val="21"/>
          <w:szCs w:val="21"/>
        </w:rPr>
        <w:t>(2)兴业银行股份有限公司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9F9A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A704C">
            <w:pPr>
              <w:pStyle w:val="8"/>
            </w:pPr>
            <w:r>
              <w:rPr>
                <w:rFonts w:hint="eastAsia"/>
              </w:rPr>
              <w:t xml:space="preserve">注册地址： </w:t>
            </w:r>
          </w:p>
        </w:tc>
        <w:tc>
          <w:tcPr>
            <w:tcW w:w="7440" w:type="dxa"/>
            <w:shd w:val="clear" w:color="auto" w:fill="auto"/>
          </w:tcPr>
          <w:p w14:paraId="318B0D11">
            <w:pPr>
              <w:pStyle w:val="8"/>
            </w:pPr>
            <w:r>
              <w:rPr>
                <w:rFonts w:hint="eastAsia"/>
              </w:rPr>
              <w:t xml:space="preserve">福州市湖东路154号 </w:t>
            </w:r>
          </w:p>
        </w:tc>
      </w:tr>
      <w:tr w14:paraId="2217F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2B84A">
            <w:pPr>
              <w:pStyle w:val="8"/>
            </w:pPr>
            <w:r>
              <w:rPr>
                <w:rFonts w:hint="eastAsia"/>
              </w:rPr>
              <w:t xml:space="preserve">办公地址： </w:t>
            </w:r>
          </w:p>
        </w:tc>
        <w:tc>
          <w:tcPr>
            <w:tcW w:w="7440" w:type="dxa"/>
            <w:shd w:val="clear" w:color="auto" w:fill="auto"/>
          </w:tcPr>
          <w:p w14:paraId="2C768CDA">
            <w:pPr>
              <w:pStyle w:val="8"/>
            </w:pPr>
            <w:r>
              <w:rPr>
                <w:rFonts w:hint="eastAsia"/>
              </w:rPr>
              <w:t xml:space="preserve">上海市江宁路168号 </w:t>
            </w:r>
          </w:p>
        </w:tc>
      </w:tr>
      <w:tr w14:paraId="0C41B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82A8F">
            <w:pPr>
              <w:pStyle w:val="8"/>
            </w:pPr>
            <w:r>
              <w:rPr>
                <w:rFonts w:hint="eastAsia"/>
              </w:rPr>
              <w:t xml:space="preserve">法定代表人： </w:t>
            </w:r>
          </w:p>
        </w:tc>
        <w:tc>
          <w:tcPr>
            <w:tcW w:w="7440" w:type="dxa"/>
            <w:shd w:val="clear" w:color="auto" w:fill="auto"/>
          </w:tcPr>
          <w:p w14:paraId="1961CE1E">
            <w:pPr>
              <w:pStyle w:val="8"/>
            </w:pPr>
            <w:r>
              <w:rPr>
                <w:rFonts w:hint="eastAsia"/>
              </w:rPr>
              <w:t xml:space="preserve">吕家进 </w:t>
            </w:r>
          </w:p>
        </w:tc>
      </w:tr>
      <w:tr w14:paraId="15ED7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67B8B">
            <w:pPr>
              <w:pStyle w:val="8"/>
            </w:pPr>
            <w:r>
              <w:rPr>
                <w:rFonts w:hint="eastAsia"/>
              </w:rPr>
              <w:t xml:space="preserve">联系人： </w:t>
            </w:r>
          </w:p>
        </w:tc>
        <w:tc>
          <w:tcPr>
            <w:tcW w:w="7440" w:type="dxa"/>
            <w:shd w:val="clear" w:color="auto" w:fill="auto"/>
          </w:tcPr>
          <w:p w14:paraId="6139FF26">
            <w:pPr>
              <w:pStyle w:val="8"/>
            </w:pPr>
            <w:r>
              <w:rPr>
                <w:rFonts w:hint="eastAsia"/>
              </w:rPr>
              <w:t xml:space="preserve">曾鸣 </w:t>
            </w:r>
          </w:p>
        </w:tc>
      </w:tr>
      <w:tr w14:paraId="132F5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C8115D">
            <w:pPr>
              <w:pStyle w:val="8"/>
            </w:pPr>
            <w:r>
              <w:rPr>
                <w:rFonts w:hint="eastAsia"/>
              </w:rPr>
              <w:t xml:space="preserve">电话： </w:t>
            </w:r>
          </w:p>
        </w:tc>
        <w:tc>
          <w:tcPr>
            <w:tcW w:w="7440" w:type="dxa"/>
            <w:shd w:val="clear" w:color="auto" w:fill="auto"/>
          </w:tcPr>
          <w:p w14:paraId="4A0E000C">
            <w:pPr>
              <w:pStyle w:val="8"/>
            </w:pPr>
            <w:r>
              <w:rPr>
                <w:rFonts w:hint="eastAsia"/>
              </w:rPr>
              <w:t xml:space="preserve">021-52629999 </w:t>
            </w:r>
          </w:p>
        </w:tc>
      </w:tr>
      <w:tr w14:paraId="6E717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2B0CF">
            <w:pPr>
              <w:pStyle w:val="8"/>
            </w:pPr>
            <w:r>
              <w:rPr>
                <w:rFonts w:hint="eastAsia"/>
              </w:rPr>
              <w:t xml:space="preserve">客户服务电话： </w:t>
            </w:r>
          </w:p>
        </w:tc>
        <w:tc>
          <w:tcPr>
            <w:tcW w:w="7440" w:type="dxa"/>
            <w:shd w:val="clear" w:color="auto" w:fill="auto"/>
          </w:tcPr>
          <w:p w14:paraId="4800A834">
            <w:pPr>
              <w:pStyle w:val="8"/>
            </w:pPr>
            <w:r>
              <w:rPr>
                <w:rFonts w:hint="eastAsia"/>
              </w:rPr>
              <w:t xml:space="preserve">95561 </w:t>
            </w:r>
          </w:p>
        </w:tc>
      </w:tr>
      <w:tr w14:paraId="68C2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BCC81">
            <w:pPr>
              <w:pStyle w:val="8"/>
            </w:pPr>
            <w:r>
              <w:rPr>
                <w:rFonts w:hint="eastAsia"/>
              </w:rPr>
              <w:t xml:space="preserve">网址： </w:t>
            </w:r>
          </w:p>
        </w:tc>
        <w:tc>
          <w:tcPr>
            <w:tcW w:w="7440" w:type="dxa"/>
            <w:shd w:val="clear" w:color="auto" w:fill="auto"/>
          </w:tcPr>
          <w:p w14:paraId="190C1560">
            <w:pPr>
              <w:pStyle w:val="8"/>
            </w:pPr>
            <w:r>
              <w:rPr>
                <w:rFonts w:hint="eastAsia"/>
              </w:rPr>
              <w:t xml:space="preserve">www.cib.com.cn </w:t>
            </w:r>
          </w:p>
        </w:tc>
      </w:tr>
    </w:tbl>
    <w:p w14:paraId="715ECC7A">
      <w:pPr>
        <w:pStyle w:val="8"/>
        <w:spacing w:before="0" w:beforeAutospacing="0" w:after="0" w:afterAutospacing="0" w:line="360" w:lineRule="auto"/>
        <w:ind w:firstLine="420"/>
        <w:rPr>
          <w:sz w:val="21"/>
          <w:szCs w:val="21"/>
        </w:rPr>
      </w:pPr>
      <w:r>
        <w:rPr>
          <w:rFonts w:hint="eastAsia"/>
          <w:b/>
          <w:bCs/>
          <w:sz w:val="21"/>
          <w:szCs w:val="21"/>
        </w:rPr>
        <w:t>(3)苏州银行股份有限公司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6E5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156D0">
            <w:pPr>
              <w:pStyle w:val="8"/>
            </w:pPr>
            <w:r>
              <w:rPr>
                <w:rFonts w:hint="eastAsia"/>
              </w:rPr>
              <w:t xml:space="preserve">注册地址： </w:t>
            </w:r>
          </w:p>
        </w:tc>
        <w:tc>
          <w:tcPr>
            <w:tcW w:w="7440" w:type="dxa"/>
            <w:shd w:val="clear" w:color="auto" w:fill="auto"/>
          </w:tcPr>
          <w:p w14:paraId="62D70C03">
            <w:pPr>
              <w:pStyle w:val="8"/>
            </w:pPr>
            <w:r>
              <w:rPr>
                <w:rFonts w:hint="eastAsia"/>
              </w:rPr>
              <w:t xml:space="preserve">江苏省苏州市工业园区钟园路728号 </w:t>
            </w:r>
          </w:p>
        </w:tc>
      </w:tr>
      <w:tr w14:paraId="07AC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109FA3">
            <w:pPr>
              <w:pStyle w:val="8"/>
            </w:pPr>
            <w:r>
              <w:rPr>
                <w:rFonts w:hint="eastAsia"/>
              </w:rPr>
              <w:t xml:space="preserve">办公地址： </w:t>
            </w:r>
          </w:p>
        </w:tc>
        <w:tc>
          <w:tcPr>
            <w:tcW w:w="7440" w:type="dxa"/>
            <w:shd w:val="clear" w:color="auto" w:fill="auto"/>
          </w:tcPr>
          <w:p w14:paraId="10688508">
            <w:pPr>
              <w:pStyle w:val="8"/>
            </w:pPr>
            <w:r>
              <w:rPr>
                <w:rFonts w:hint="eastAsia"/>
              </w:rPr>
              <w:t xml:space="preserve">江苏省苏州市工业园区钟园路728号 </w:t>
            </w:r>
          </w:p>
        </w:tc>
      </w:tr>
      <w:tr w14:paraId="50847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96481">
            <w:pPr>
              <w:pStyle w:val="8"/>
            </w:pPr>
            <w:r>
              <w:rPr>
                <w:rFonts w:hint="eastAsia"/>
              </w:rPr>
              <w:t xml:space="preserve">法定代表人： </w:t>
            </w:r>
          </w:p>
        </w:tc>
        <w:tc>
          <w:tcPr>
            <w:tcW w:w="7440" w:type="dxa"/>
            <w:shd w:val="clear" w:color="auto" w:fill="auto"/>
          </w:tcPr>
          <w:p w14:paraId="5187B290">
            <w:pPr>
              <w:pStyle w:val="8"/>
            </w:pPr>
            <w:r>
              <w:rPr>
                <w:rFonts w:hint="eastAsia"/>
              </w:rPr>
              <w:t xml:space="preserve">崔庆军 </w:t>
            </w:r>
          </w:p>
        </w:tc>
      </w:tr>
      <w:tr w14:paraId="7F106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C1CA1">
            <w:pPr>
              <w:pStyle w:val="8"/>
            </w:pPr>
            <w:r>
              <w:rPr>
                <w:rFonts w:hint="eastAsia"/>
              </w:rPr>
              <w:t xml:space="preserve">联系人： </w:t>
            </w:r>
          </w:p>
        </w:tc>
        <w:tc>
          <w:tcPr>
            <w:tcW w:w="7440" w:type="dxa"/>
            <w:shd w:val="clear" w:color="auto" w:fill="auto"/>
          </w:tcPr>
          <w:p w14:paraId="6B7D0386">
            <w:pPr>
              <w:pStyle w:val="8"/>
            </w:pPr>
            <w:r>
              <w:rPr>
                <w:rFonts w:hint="eastAsia"/>
              </w:rPr>
              <w:t xml:space="preserve">吴骏 </w:t>
            </w:r>
          </w:p>
        </w:tc>
      </w:tr>
      <w:tr w14:paraId="78BD3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1BFFA">
            <w:pPr>
              <w:pStyle w:val="8"/>
            </w:pPr>
            <w:r>
              <w:rPr>
                <w:rFonts w:hint="eastAsia"/>
              </w:rPr>
              <w:t xml:space="preserve">电话： </w:t>
            </w:r>
          </w:p>
        </w:tc>
        <w:tc>
          <w:tcPr>
            <w:tcW w:w="7440" w:type="dxa"/>
            <w:shd w:val="clear" w:color="auto" w:fill="auto"/>
          </w:tcPr>
          <w:p w14:paraId="08F9DDDB">
            <w:pPr>
              <w:pStyle w:val="8"/>
            </w:pPr>
            <w:r>
              <w:rPr>
                <w:rFonts w:hint="eastAsia"/>
              </w:rPr>
              <w:t xml:space="preserve">0512-69868373 </w:t>
            </w:r>
          </w:p>
        </w:tc>
      </w:tr>
      <w:tr w14:paraId="19908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73E7F">
            <w:pPr>
              <w:pStyle w:val="8"/>
            </w:pPr>
            <w:r>
              <w:rPr>
                <w:rFonts w:hint="eastAsia"/>
              </w:rPr>
              <w:t xml:space="preserve">传真： </w:t>
            </w:r>
          </w:p>
        </w:tc>
        <w:tc>
          <w:tcPr>
            <w:tcW w:w="7440" w:type="dxa"/>
            <w:shd w:val="clear" w:color="auto" w:fill="auto"/>
          </w:tcPr>
          <w:p w14:paraId="5B9F0530">
            <w:pPr>
              <w:pStyle w:val="8"/>
            </w:pPr>
            <w:r>
              <w:rPr>
                <w:rFonts w:hint="eastAsia"/>
              </w:rPr>
              <w:t xml:space="preserve">0512-69868370 </w:t>
            </w:r>
          </w:p>
        </w:tc>
      </w:tr>
      <w:tr w14:paraId="36FE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143B4">
            <w:pPr>
              <w:pStyle w:val="8"/>
            </w:pPr>
            <w:r>
              <w:rPr>
                <w:rFonts w:hint="eastAsia"/>
              </w:rPr>
              <w:t xml:space="preserve">客户服务电话： </w:t>
            </w:r>
          </w:p>
        </w:tc>
        <w:tc>
          <w:tcPr>
            <w:tcW w:w="7440" w:type="dxa"/>
            <w:shd w:val="clear" w:color="auto" w:fill="auto"/>
          </w:tcPr>
          <w:p w14:paraId="20E5F491">
            <w:pPr>
              <w:pStyle w:val="8"/>
            </w:pPr>
            <w:r>
              <w:rPr>
                <w:rFonts w:hint="eastAsia"/>
              </w:rPr>
              <w:t xml:space="preserve">96067 </w:t>
            </w:r>
          </w:p>
        </w:tc>
      </w:tr>
      <w:tr w14:paraId="44D7F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1EA85">
            <w:pPr>
              <w:pStyle w:val="8"/>
            </w:pPr>
            <w:r>
              <w:rPr>
                <w:rFonts w:hint="eastAsia"/>
              </w:rPr>
              <w:t xml:space="preserve">网址： </w:t>
            </w:r>
          </w:p>
        </w:tc>
        <w:tc>
          <w:tcPr>
            <w:tcW w:w="7440" w:type="dxa"/>
            <w:shd w:val="clear" w:color="auto" w:fill="auto"/>
          </w:tcPr>
          <w:p w14:paraId="13E432DF">
            <w:pPr>
              <w:pStyle w:val="8"/>
            </w:pPr>
            <w:r>
              <w:rPr>
                <w:rFonts w:hint="eastAsia"/>
              </w:rPr>
              <w:t xml:space="preserve">www.suzhoubank.com </w:t>
            </w:r>
          </w:p>
        </w:tc>
      </w:tr>
    </w:tbl>
    <w:p w14:paraId="452C4F43">
      <w:pPr>
        <w:pStyle w:val="8"/>
        <w:spacing w:before="0" w:beforeAutospacing="0" w:after="0" w:afterAutospacing="0" w:line="360" w:lineRule="auto"/>
        <w:ind w:firstLine="420"/>
        <w:rPr>
          <w:sz w:val="21"/>
          <w:szCs w:val="21"/>
        </w:rPr>
      </w:pPr>
      <w:r>
        <w:rPr>
          <w:rFonts w:hint="eastAsia"/>
          <w:b/>
          <w:bCs/>
          <w:sz w:val="21"/>
          <w:szCs w:val="21"/>
        </w:rPr>
        <w:t>(4)鼎信汇金（北京）投资管理有限公司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1E2F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B49C2">
            <w:pPr>
              <w:pStyle w:val="8"/>
            </w:pPr>
            <w:r>
              <w:rPr>
                <w:rFonts w:hint="eastAsia"/>
              </w:rPr>
              <w:t xml:space="preserve">注册地址： </w:t>
            </w:r>
          </w:p>
        </w:tc>
        <w:tc>
          <w:tcPr>
            <w:tcW w:w="7440" w:type="dxa"/>
            <w:shd w:val="clear" w:color="auto" w:fill="auto"/>
          </w:tcPr>
          <w:p w14:paraId="440534DA">
            <w:pPr>
              <w:pStyle w:val="8"/>
            </w:pPr>
            <w:r>
              <w:rPr>
                <w:rFonts w:hint="eastAsia"/>
              </w:rPr>
              <w:t xml:space="preserve">北京市朝阳区霄云路40号院1号楼3层306室 </w:t>
            </w:r>
          </w:p>
        </w:tc>
      </w:tr>
      <w:tr w14:paraId="4FD1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DCBC1">
            <w:pPr>
              <w:pStyle w:val="8"/>
            </w:pPr>
            <w:r>
              <w:rPr>
                <w:rFonts w:hint="eastAsia"/>
              </w:rPr>
              <w:t xml:space="preserve">办公地址： </w:t>
            </w:r>
          </w:p>
        </w:tc>
        <w:tc>
          <w:tcPr>
            <w:tcW w:w="7440" w:type="dxa"/>
            <w:shd w:val="clear" w:color="auto" w:fill="auto"/>
          </w:tcPr>
          <w:p w14:paraId="6F015D40">
            <w:pPr>
              <w:pStyle w:val="8"/>
            </w:pPr>
            <w:r>
              <w:rPr>
                <w:rFonts w:hint="eastAsia"/>
              </w:rPr>
              <w:t xml:space="preserve">北京市朝阳区霄云路40号院1号楼3层306室 </w:t>
            </w:r>
          </w:p>
        </w:tc>
      </w:tr>
      <w:tr w14:paraId="691A4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CFF4C">
            <w:pPr>
              <w:pStyle w:val="8"/>
            </w:pPr>
            <w:r>
              <w:rPr>
                <w:rFonts w:hint="eastAsia"/>
              </w:rPr>
              <w:t xml:space="preserve">法定代表人： </w:t>
            </w:r>
          </w:p>
        </w:tc>
        <w:tc>
          <w:tcPr>
            <w:tcW w:w="7440" w:type="dxa"/>
            <w:shd w:val="clear" w:color="auto" w:fill="auto"/>
          </w:tcPr>
          <w:p w14:paraId="424BCF54">
            <w:pPr>
              <w:pStyle w:val="8"/>
            </w:pPr>
            <w:r>
              <w:rPr>
                <w:rFonts w:hint="eastAsia"/>
              </w:rPr>
              <w:t xml:space="preserve">齐凌峰 </w:t>
            </w:r>
          </w:p>
        </w:tc>
      </w:tr>
      <w:tr w14:paraId="0EFE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10424">
            <w:pPr>
              <w:pStyle w:val="8"/>
            </w:pPr>
            <w:r>
              <w:rPr>
                <w:rFonts w:hint="eastAsia"/>
              </w:rPr>
              <w:t xml:space="preserve">联系人： </w:t>
            </w:r>
          </w:p>
        </w:tc>
        <w:tc>
          <w:tcPr>
            <w:tcW w:w="7440" w:type="dxa"/>
            <w:shd w:val="clear" w:color="auto" w:fill="auto"/>
          </w:tcPr>
          <w:p w14:paraId="4726BAB2">
            <w:pPr>
              <w:pStyle w:val="8"/>
            </w:pPr>
            <w:r>
              <w:rPr>
                <w:rFonts w:hint="eastAsia"/>
              </w:rPr>
              <w:t xml:space="preserve">陈臣 </w:t>
            </w:r>
          </w:p>
        </w:tc>
      </w:tr>
      <w:tr w14:paraId="3EE3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F747F">
            <w:pPr>
              <w:pStyle w:val="8"/>
            </w:pPr>
            <w:r>
              <w:rPr>
                <w:rFonts w:hint="eastAsia"/>
              </w:rPr>
              <w:t xml:space="preserve">电话： </w:t>
            </w:r>
          </w:p>
        </w:tc>
        <w:tc>
          <w:tcPr>
            <w:tcW w:w="7440" w:type="dxa"/>
            <w:shd w:val="clear" w:color="auto" w:fill="auto"/>
          </w:tcPr>
          <w:p w14:paraId="1DE783BB">
            <w:pPr>
              <w:pStyle w:val="8"/>
            </w:pPr>
            <w:r>
              <w:rPr>
                <w:rFonts w:hint="eastAsia"/>
              </w:rPr>
              <w:t xml:space="preserve">010-84489488-8702 </w:t>
            </w:r>
          </w:p>
        </w:tc>
      </w:tr>
      <w:tr w14:paraId="0AB5B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4BF2B">
            <w:pPr>
              <w:pStyle w:val="8"/>
            </w:pPr>
            <w:r>
              <w:rPr>
                <w:rFonts w:hint="eastAsia"/>
              </w:rPr>
              <w:t xml:space="preserve">传真： </w:t>
            </w:r>
          </w:p>
        </w:tc>
        <w:tc>
          <w:tcPr>
            <w:tcW w:w="7440" w:type="dxa"/>
            <w:shd w:val="clear" w:color="auto" w:fill="auto"/>
          </w:tcPr>
          <w:p w14:paraId="52275E6B">
            <w:pPr>
              <w:pStyle w:val="8"/>
            </w:pPr>
            <w:r>
              <w:rPr>
                <w:rFonts w:hint="eastAsia"/>
              </w:rPr>
              <w:t xml:space="preserve">010-82086110 </w:t>
            </w:r>
          </w:p>
        </w:tc>
      </w:tr>
      <w:tr w14:paraId="6BCB0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0C498">
            <w:pPr>
              <w:pStyle w:val="8"/>
            </w:pPr>
            <w:r>
              <w:rPr>
                <w:rFonts w:hint="eastAsia"/>
              </w:rPr>
              <w:t xml:space="preserve">客户服务电话： </w:t>
            </w:r>
          </w:p>
        </w:tc>
        <w:tc>
          <w:tcPr>
            <w:tcW w:w="7440" w:type="dxa"/>
            <w:shd w:val="clear" w:color="auto" w:fill="auto"/>
          </w:tcPr>
          <w:p w14:paraId="1BA8917C">
            <w:pPr>
              <w:pStyle w:val="8"/>
            </w:pPr>
            <w:r>
              <w:rPr>
                <w:rFonts w:hint="eastAsia"/>
              </w:rPr>
              <w:t xml:space="preserve">400-158-5050 </w:t>
            </w:r>
          </w:p>
        </w:tc>
      </w:tr>
      <w:tr w14:paraId="106C0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3318A">
            <w:pPr>
              <w:pStyle w:val="8"/>
            </w:pPr>
            <w:r>
              <w:rPr>
                <w:rFonts w:hint="eastAsia"/>
              </w:rPr>
              <w:t xml:space="preserve">网址： </w:t>
            </w:r>
          </w:p>
        </w:tc>
        <w:tc>
          <w:tcPr>
            <w:tcW w:w="7440" w:type="dxa"/>
            <w:shd w:val="clear" w:color="auto" w:fill="auto"/>
          </w:tcPr>
          <w:p w14:paraId="38FEBCEE">
            <w:pPr>
              <w:pStyle w:val="8"/>
            </w:pPr>
            <w:r>
              <w:rPr>
                <w:rFonts w:hint="eastAsia"/>
              </w:rPr>
              <w:t xml:space="preserve">www.9ifund.com </w:t>
            </w:r>
          </w:p>
        </w:tc>
      </w:tr>
    </w:tbl>
    <w:p w14:paraId="64A5654A">
      <w:pPr>
        <w:pStyle w:val="8"/>
        <w:spacing w:before="0" w:beforeAutospacing="0" w:after="0" w:afterAutospacing="0" w:line="360" w:lineRule="auto"/>
        <w:ind w:firstLine="420"/>
        <w:rPr>
          <w:sz w:val="21"/>
          <w:szCs w:val="21"/>
        </w:rPr>
      </w:pPr>
      <w:r>
        <w:rPr>
          <w:rFonts w:hint="eastAsia"/>
          <w:b/>
          <w:bCs/>
          <w:sz w:val="21"/>
          <w:szCs w:val="21"/>
        </w:rPr>
        <w:t>(5)上海挖财基金销售有限公司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D92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57683">
            <w:pPr>
              <w:pStyle w:val="8"/>
            </w:pPr>
            <w:r>
              <w:rPr>
                <w:rFonts w:hint="eastAsia"/>
              </w:rPr>
              <w:t xml:space="preserve">注册地址： </w:t>
            </w:r>
          </w:p>
        </w:tc>
        <w:tc>
          <w:tcPr>
            <w:tcW w:w="7440" w:type="dxa"/>
            <w:shd w:val="clear" w:color="auto" w:fill="auto"/>
          </w:tcPr>
          <w:p w14:paraId="13AA766F">
            <w:pPr>
              <w:pStyle w:val="8"/>
            </w:pPr>
            <w:r>
              <w:rPr>
                <w:rFonts w:hint="eastAsia"/>
              </w:rPr>
              <w:t xml:space="preserve">中国（上海）自由贸易试验区杨高南路799号5楼01、02、03室 </w:t>
            </w:r>
          </w:p>
        </w:tc>
      </w:tr>
      <w:tr w14:paraId="0EF9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109EB">
            <w:pPr>
              <w:pStyle w:val="8"/>
            </w:pPr>
            <w:r>
              <w:rPr>
                <w:rFonts w:hint="eastAsia"/>
              </w:rPr>
              <w:t xml:space="preserve">办公地址： </w:t>
            </w:r>
          </w:p>
        </w:tc>
        <w:tc>
          <w:tcPr>
            <w:tcW w:w="7440" w:type="dxa"/>
            <w:shd w:val="clear" w:color="auto" w:fill="auto"/>
          </w:tcPr>
          <w:p w14:paraId="657A2AEC">
            <w:pPr>
              <w:pStyle w:val="8"/>
            </w:pPr>
            <w:r>
              <w:rPr>
                <w:rFonts w:hint="eastAsia"/>
              </w:rPr>
              <w:t xml:space="preserve">上海市浦东新区杨高南路799号陆家嘴世纪金融广场3号楼5层01、02、03室 </w:t>
            </w:r>
          </w:p>
        </w:tc>
      </w:tr>
      <w:tr w14:paraId="2A2DA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40583">
            <w:pPr>
              <w:pStyle w:val="8"/>
            </w:pPr>
            <w:r>
              <w:rPr>
                <w:rFonts w:hint="eastAsia"/>
              </w:rPr>
              <w:t xml:space="preserve">法定代表人： </w:t>
            </w:r>
          </w:p>
        </w:tc>
        <w:tc>
          <w:tcPr>
            <w:tcW w:w="7440" w:type="dxa"/>
            <w:shd w:val="clear" w:color="auto" w:fill="auto"/>
          </w:tcPr>
          <w:p w14:paraId="01C4E190">
            <w:pPr>
              <w:pStyle w:val="8"/>
            </w:pPr>
            <w:r>
              <w:rPr>
                <w:rFonts w:hint="eastAsia"/>
              </w:rPr>
              <w:t xml:space="preserve">吕柳霞 </w:t>
            </w:r>
          </w:p>
        </w:tc>
      </w:tr>
      <w:tr w14:paraId="7E32B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1C7AF">
            <w:pPr>
              <w:pStyle w:val="8"/>
            </w:pPr>
            <w:r>
              <w:rPr>
                <w:rFonts w:hint="eastAsia"/>
              </w:rPr>
              <w:t xml:space="preserve">联系人： </w:t>
            </w:r>
          </w:p>
        </w:tc>
        <w:tc>
          <w:tcPr>
            <w:tcW w:w="7440" w:type="dxa"/>
            <w:shd w:val="clear" w:color="auto" w:fill="auto"/>
          </w:tcPr>
          <w:p w14:paraId="66CA95CE">
            <w:pPr>
              <w:pStyle w:val="8"/>
            </w:pPr>
            <w:r>
              <w:rPr>
                <w:rFonts w:hint="eastAsia"/>
              </w:rPr>
              <w:t xml:space="preserve">陈璐 </w:t>
            </w:r>
          </w:p>
        </w:tc>
      </w:tr>
      <w:tr w14:paraId="069AF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C2089">
            <w:pPr>
              <w:pStyle w:val="8"/>
            </w:pPr>
            <w:r>
              <w:rPr>
                <w:rFonts w:hint="eastAsia"/>
              </w:rPr>
              <w:t xml:space="preserve">电话： </w:t>
            </w:r>
          </w:p>
        </w:tc>
        <w:tc>
          <w:tcPr>
            <w:tcW w:w="7440" w:type="dxa"/>
            <w:shd w:val="clear" w:color="auto" w:fill="auto"/>
          </w:tcPr>
          <w:p w14:paraId="13FD09E1">
            <w:pPr>
              <w:pStyle w:val="8"/>
            </w:pPr>
            <w:r>
              <w:rPr>
                <w:rFonts w:hint="eastAsia"/>
              </w:rPr>
              <w:t xml:space="preserve">021-50810687 </w:t>
            </w:r>
          </w:p>
        </w:tc>
      </w:tr>
      <w:tr w14:paraId="55DB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671CF">
            <w:pPr>
              <w:pStyle w:val="8"/>
            </w:pPr>
            <w:r>
              <w:rPr>
                <w:rFonts w:hint="eastAsia"/>
              </w:rPr>
              <w:t xml:space="preserve">传真： </w:t>
            </w:r>
          </w:p>
        </w:tc>
        <w:tc>
          <w:tcPr>
            <w:tcW w:w="7440" w:type="dxa"/>
            <w:shd w:val="clear" w:color="auto" w:fill="auto"/>
          </w:tcPr>
          <w:p w14:paraId="62EC326B">
            <w:pPr>
              <w:pStyle w:val="8"/>
            </w:pPr>
            <w:r>
              <w:rPr>
                <w:rFonts w:hint="eastAsia"/>
              </w:rPr>
              <w:t xml:space="preserve">021-58300279 </w:t>
            </w:r>
          </w:p>
        </w:tc>
      </w:tr>
      <w:tr w14:paraId="2FA66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08E9B">
            <w:pPr>
              <w:pStyle w:val="8"/>
            </w:pPr>
            <w:r>
              <w:rPr>
                <w:rFonts w:hint="eastAsia"/>
              </w:rPr>
              <w:t xml:space="preserve">客户服务电话： </w:t>
            </w:r>
          </w:p>
        </w:tc>
        <w:tc>
          <w:tcPr>
            <w:tcW w:w="7440" w:type="dxa"/>
            <w:shd w:val="clear" w:color="auto" w:fill="auto"/>
          </w:tcPr>
          <w:p w14:paraId="080502B9">
            <w:pPr>
              <w:pStyle w:val="8"/>
            </w:pPr>
            <w:r>
              <w:rPr>
                <w:rFonts w:hint="eastAsia"/>
              </w:rPr>
              <w:t xml:space="preserve">021-50810673 </w:t>
            </w:r>
          </w:p>
        </w:tc>
      </w:tr>
      <w:tr w14:paraId="3D0B1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B7170">
            <w:pPr>
              <w:pStyle w:val="8"/>
            </w:pPr>
            <w:r>
              <w:rPr>
                <w:rFonts w:hint="eastAsia"/>
              </w:rPr>
              <w:t xml:space="preserve">网址： </w:t>
            </w:r>
          </w:p>
        </w:tc>
        <w:tc>
          <w:tcPr>
            <w:tcW w:w="7440" w:type="dxa"/>
            <w:shd w:val="clear" w:color="auto" w:fill="auto"/>
          </w:tcPr>
          <w:p w14:paraId="5230362F">
            <w:pPr>
              <w:pStyle w:val="8"/>
            </w:pPr>
            <w:r>
              <w:rPr>
                <w:rFonts w:hint="eastAsia"/>
              </w:rPr>
              <w:t xml:space="preserve">http://wacaijijin.com/ </w:t>
            </w:r>
          </w:p>
        </w:tc>
      </w:tr>
    </w:tbl>
    <w:p w14:paraId="3E9ACE88">
      <w:pPr>
        <w:pStyle w:val="8"/>
        <w:spacing w:before="0" w:beforeAutospacing="0" w:after="0" w:afterAutospacing="0" w:line="360" w:lineRule="auto"/>
        <w:ind w:firstLine="420"/>
        <w:rPr>
          <w:sz w:val="21"/>
          <w:szCs w:val="21"/>
        </w:rPr>
      </w:pPr>
      <w:r>
        <w:rPr>
          <w:rFonts w:hint="eastAsia"/>
          <w:b/>
          <w:bCs/>
          <w:sz w:val="21"/>
          <w:szCs w:val="21"/>
        </w:rPr>
        <w:t>(6)腾安基金销售（深圳）有限公司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A2A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16B37">
            <w:pPr>
              <w:pStyle w:val="8"/>
            </w:pPr>
            <w:r>
              <w:rPr>
                <w:rFonts w:hint="eastAsia"/>
              </w:rPr>
              <w:t xml:space="preserve">注册地址： </w:t>
            </w:r>
          </w:p>
        </w:tc>
        <w:tc>
          <w:tcPr>
            <w:tcW w:w="7440" w:type="dxa"/>
            <w:shd w:val="clear" w:color="auto" w:fill="auto"/>
          </w:tcPr>
          <w:p w14:paraId="7BC3D931">
            <w:pPr>
              <w:pStyle w:val="8"/>
            </w:pPr>
            <w:r>
              <w:rPr>
                <w:rFonts w:hint="eastAsia"/>
              </w:rPr>
              <w:t xml:space="preserve">深圳市前海深港合作区前湾一路1号A栋201室（入驻深圳市前海商务秘书有限公司） </w:t>
            </w:r>
          </w:p>
        </w:tc>
      </w:tr>
      <w:tr w14:paraId="3800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51D55">
            <w:pPr>
              <w:pStyle w:val="8"/>
            </w:pPr>
            <w:r>
              <w:rPr>
                <w:rFonts w:hint="eastAsia"/>
              </w:rPr>
              <w:t xml:space="preserve">办公地址： </w:t>
            </w:r>
          </w:p>
        </w:tc>
        <w:tc>
          <w:tcPr>
            <w:tcW w:w="7440" w:type="dxa"/>
            <w:shd w:val="clear" w:color="auto" w:fill="auto"/>
          </w:tcPr>
          <w:p w14:paraId="13366D95">
            <w:pPr>
              <w:pStyle w:val="8"/>
            </w:pPr>
            <w:r>
              <w:rPr>
                <w:rFonts w:hint="eastAsia"/>
              </w:rPr>
              <w:t xml:space="preserve">深圳市南山区海天二路33号腾讯滨海大厦15层 </w:t>
            </w:r>
          </w:p>
        </w:tc>
      </w:tr>
      <w:tr w14:paraId="55F6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F9645">
            <w:pPr>
              <w:pStyle w:val="8"/>
            </w:pPr>
            <w:r>
              <w:rPr>
                <w:rFonts w:hint="eastAsia"/>
              </w:rPr>
              <w:t xml:space="preserve">法定代表人： </w:t>
            </w:r>
          </w:p>
        </w:tc>
        <w:tc>
          <w:tcPr>
            <w:tcW w:w="7440" w:type="dxa"/>
            <w:shd w:val="clear" w:color="auto" w:fill="auto"/>
          </w:tcPr>
          <w:p w14:paraId="34971D31">
            <w:pPr>
              <w:pStyle w:val="8"/>
            </w:pPr>
            <w:r>
              <w:rPr>
                <w:rFonts w:hint="eastAsia"/>
              </w:rPr>
              <w:t xml:space="preserve">刘明军 </w:t>
            </w:r>
          </w:p>
        </w:tc>
      </w:tr>
      <w:tr w14:paraId="560A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0A227">
            <w:pPr>
              <w:pStyle w:val="8"/>
            </w:pPr>
            <w:r>
              <w:rPr>
                <w:rFonts w:hint="eastAsia"/>
              </w:rPr>
              <w:t xml:space="preserve">联系人： </w:t>
            </w:r>
          </w:p>
        </w:tc>
        <w:tc>
          <w:tcPr>
            <w:tcW w:w="7440" w:type="dxa"/>
            <w:shd w:val="clear" w:color="auto" w:fill="auto"/>
          </w:tcPr>
          <w:p w14:paraId="16FBCD1D">
            <w:pPr>
              <w:pStyle w:val="8"/>
            </w:pPr>
            <w:r>
              <w:rPr>
                <w:rFonts w:hint="eastAsia"/>
              </w:rPr>
              <w:t xml:space="preserve">谭广锋 </w:t>
            </w:r>
          </w:p>
        </w:tc>
      </w:tr>
      <w:tr w14:paraId="6C0EE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5586F">
            <w:pPr>
              <w:pStyle w:val="8"/>
            </w:pPr>
            <w:r>
              <w:rPr>
                <w:rFonts w:hint="eastAsia"/>
              </w:rPr>
              <w:t xml:space="preserve">传真： </w:t>
            </w:r>
          </w:p>
        </w:tc>
        <w:tc>
          <w:tcPr>
            <w:tcW w:w="7440" w:type="dxa"/>
            <w:shd w:val="clear" w:color="auto" w:fill="auto"/>
          </w:tcPr>
          <w:p w14:paraId="66A7E5A1">
            <w:pPr>
              <w:pStyle w:val="8"/>
            </w:pPr>
            <w:r>
              <w:rPr>
                <w:rFonts w:hint="eastAsia"/>
              </w:rPr>
              <w:t xml:space="preserve">0755-86013399 </w:t>
            </w:r>
          </w:p>
        </w:tc>
      </w:tr>
      <w:tr w14:paraId="118B3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1F9D2">
            <w:pPr>
              <w:pStyle w:val="8"/>
            </w:pPr>
            <w:r>
              <w:rPr>
                <w:rFonts w:hint="eastAsia"/>
              </w:rPr>
              <w:t xml:space="preserve">客户服务电话： </w:t>
            </w:r>
          </w:p>
        </w:tc>
        <w:tc>
          <w:tcPr>
            <w:tcW w:w="7440" w:type="dxa"/>
            <w:shd w:val="clear" w:color="auto" w:fill="auto"/>
          </w:tcPr>
          <w:p w14:paraId="0805EA29">
            <w:pPr>
              <w:pStyle w:val="8"/>
            </w:pPr>
            <w:r>
              <w:rPr>
                <w:rFonts w:hint="eastAsia"/>
              </w:rPr>
              <w:t xml:space="preserve">95017(拨通后转1再转8)；4000890555 </w:t>
            </w:r>
          </w:p>
        </w:tc>
      </w:tr>
      <w:tr w14:paraId="4E8BD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BAE14">
            <w:pPr>
              <w:pStyle w:val="8"/>
            </w:pPr>
            <w:r>
              <w:rPr>
                <w:rFonts w:hint="eastAsia"/>
              </w:rPr>
              <w:t xml:space="preserve">网址： </w:t>
            </w:r>
          </w:p>
        </w:tc>
        <w:tc>
          <w:tcPr>
            <w:tcW w:w="7440" w:type="dxa"/>
            <w:shd w:val="clear" w:color="auto" w:fill="auto"/>
          </w:tcPr>
          <w:p w14:paraId="0E361E48">
            <w:pPr>
              <w:pStyle w:val="8"/>
            </w:pPr>
            <w:r>
              <w:rPr>
                <w:rFonts w:hint="eastAsia"/>
              </w:rPr>
              <w:t xml:space="preserve">https://www.txfund.com/ </w:t>
            </w:r>
          </w:p>
        </w:tc>
      </w:tr>
    </w:tbl>
    <w:p w14:paraId="7B8147C3">
      <w:pPr>
        <w:pStyle w:val="8"/>
        <w:spacing w:before="0" w:beforeAutospacing="0" w:after="0" w:afterAutospacing="0" w:line="360" w:lineRule="auto"/>
        <w:ind w:firstLine="420"/>
        <w:rPr>
          <w:sz w:val="21"/>
          <w:szCs w:val="21"/>
        </w:rPr>
      </w:pPr>
      <w:r>
        <w:rPr>
          <w:rFonts w:hint="eastAsia"/>
          <w:b/>
          <w:bCs/>
          <w:sz w:val="21"/>
          <w:szCs w:val="21"/>
        </w:rPr>
        <w:t>(7)北京度小满基金销售有限公司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9EC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879F1">
            <w:pPr>
              <w:pStyle w:val="8"/>
            </w:pPr>
            <w:r>
              <w:rPr>
                <w:rFonts w:hint="eastAsia"/>
              </w:rPr>
              <w:t xml:space="preserve">注册地址： </w:t>
            </w:r>
          </w:p>
        </w:tc>
        <w:tc>
          <w:tcPr>
            <w:tcW w:w="7440" w:type="dxa"/>
            <w:shd w:val="clear" w:color="auto" w:fill="auto"/>
          </w:tcPr>
          <w:p w14:paraId="61C7B4F7">
            <w:pPr>
              <w:pStyle w:val="8"/>
            </w:pPr>
            <w:r>
              <w:rPr>
                <w:rFonts w:hint="eastAsia"/>
              </w:rPr>
              <w:t xml:space="preserve">北京市海淀区西北旺东路10号院西区4号楼1层103室 </w:t>
            </w:r>
          </w:p>
        </w:tc>
      </w:tr>
      <w:tr w14:paraId="27F6D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61DAE">
            <w:pPr>
              <w:pStyle w:val="8"/>
            </w:pPr>
            <w:r>
              <w:rPr>
                <w:rFonts w:hint="eastAsia"/>
              </w:rPr>
              <w:t xml:space="preserve">办公地址： </w:t>
            </w:r>
          </w:p>
        </w:tc>
        <w:tc>
          <w:tcPr>
            <w:tcW w:w="7440" w:type="dxa"/>
            <w:shd w:val="clear" w:color="auto" w:fill="auto"/>
          </w:tcPr>
          <w:p w14:paraId="3384D4A5">
            <w:pPr>
              <w:pStyle w:val="8"/>
            </w:pPr>
            <w:r>
              <w:rPr>
                <w:rFonts w:hint="eastAsia"/>
              </w:rPr>
              <w:t xml:space="preserve">北京市海淀区西北旺东路10号院西区4号楼 </w:t>
            </w:r>
          </w:p>
        </w:tc>
      </w:tr>
      <w:tr w14:paraId="09754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7CEEA1">
            <w:pPr>
              <w:pStyle w:val="8"/>
            </w:pPr>
            <w:r>
              <w:rPr>
                <w:rFonts w:hint="eastAsia"/>
              </w:rPr>
              <w:t xml:space="preserve">法定代表人： </w:t>
            </w:r>
          </w:p>
        </w:tc>
        <w:tc>
          <w:tcPr>
            <w:tcW w:w="7440" w:type="dxa"/>
            <w:shd w:val="clear" w:color="auto" w:fill="auto"/>
          </w:tcPr>
          <w:p w14:paraId="360AD718">
            <w:pPr>
              <w:pStyle w:val="8"/>
            </w:pPr>
            <w:r>
              <w:rPr>
                <w:rFonts w:hint="eastAsia"/>
              </w:rPr>
              <w:t xml:space="preserve">葛新 </w:t>
            </w:r>
          </w:p>
        </w:tc>
      </w:tr>
      <w:tr w14:paraId="5E92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2EA40">
            <w:pPr>
              <w:pStyle w:val="8"/>
            </w:pPr>
            <w:r>
              <w:rPr>
                <w:rFonts w:hint="eastAsia"/>
              </w:rPr>
              <w:t xml:space="preserve">联系人： </w:t>
            </w:r>
          </w:p>
        </w:tc>
        <w:tc>
          <w:tcPr>
            <w:tcW w:w="7440" w:type="dxa"/>
            <w:shd w:val="clear" w:color="auto" w:fill="auto"/>
          </w:tcPr>
          <w:p w14:paraId="6580D4E0">
            <w:pPr>
              <w:pStyle w:val="8"/>
            </w:pPr>
            <w:r>
              <w:rPr>
                <w:rFonts w:hint="eastAsia"/>
              </w:rPr>
              <w:t xml:space="preserve">孙博超 </w:t>
            </w:r>
          </w:p>
        </w:tc>
      </w:tr>
      <w:tr w14:paraId="34FC1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65471A">
            <w:pPr>
              <w:pStyle w:val="8"/>
            </w:pPr>
            <w:r>
              <w:rPr>
                <w:rFonts w:hint="eastAsia"/>
              </w:rPr>
              <w:t xml:space="preserve">电话： </w:t>
            </w:r>
          </w:p>
        </w:tc>
        <w:tc>
          <w:tcPr>
            <w:tcW w:w="7440" w:type="dxa"/>
            <w:shd w:val="clear" w:color="auto" w:fill="auto"/>
          </w:tcPr>
          <w:p w14:paraId="6651B2D3">
            <w:pPr>
              <w:pStyle w:val="8"/>
            </w:pPr>
            <w:r>
              <w:rPr>
                <w:rFonts w:hint="eastAsia"/>
              </w:rPr>
              <w:t xml:space="preserve">010-59403028 </w:t>
            </w:r>
          </w:p>
        </w:tc>
      </w:tr>
      <w:tr w14:paraId="785CF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E4C18">
            <w:pPr>
              <w:pStyle w:val="8"/>
            </w:pPr>
            <w:r>
              <w:rPr>
                <w:rFonts w:hint="eastAsia"/>
              </w:rPr>
              <w:t xml:space="preserve">传真： </w:t>
            </w:r>
          </w:p>
        </w:tc>
        <w:tc>
          <w:tcPr>
            <w:tcW w:w="7440" w:type="dxa"/>
            <w:shd w:val="clear" w:color="auto" w:fill="auto"/>
          </w:tcPr>
          <w:p w14:paraId="5129BF14">
            <w:pPr>
              <w:pStyle w:val="8"/>
            </w:pPr>
            <w:r>
              <w:rPr>
                <w:rFonts w:hint="eastAsia"/>
              </w:rPr>
              <w:t xml:space="preserve">010-59403027 </w:t>
            </w:r>
          </w:p>
        </w:tc>
      </w:tr>
      <w:tr w14:paraId="15884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D18E7">
            <w:pPr>
              <w:pStyle w:val="8"/>
            </w:pPr>
            <w:r>
              <w:rPr>
                <w:rFonts w:hint="eastAsia"/>
              </w:rPr>
              <w:t xml:space="preserve">客户服务电话： </w:t>
            </w:r>
          </w:p>
        </w:tc>
        <w:tc>
          <w:tcPr>
            <w:tcW w:w="7440" w:type="dxa"/>
            <w:shd w:val="clear" w:color="auto" w:fill="auto"/>
          </w:tcPr>
          <w:p w14:paraId="2D8DEF42">
            <w:pPr>
              <w:pStyle w:val="8"/>
            </w:pPr>
            <w:r>
              <w:rPr>
                <w:rFonts w:hint="eastAsia"/>
              </w:rPr>
              <w:t xml:space="preserve">95055-4 </w:t>
            </w:r>
          </w:p>
        </w:tc>
      </w:tr>
      <w:tr w14:paraId="7ED7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EDCE2">
            <w:pPr>
              <w:pStyle w:val="8"/>
            </w:pPr>
            <w:r>
              <w:rPr>
                <w:rFonts w:hint="eastAsia"/>
              </w:rPr>
              <w:t xml:space="preserve">网址： </w:t>
            </w:r>
          </w:p>
        </w:tc>
        <w:tc>
          <w:tcPr>
            <w:tcW w:w="7440" w:type="dxa"/>
            <w:shd w:val="clear" w:color="auto" w:fill="auto"/>
          </w:tcPr>
          <w:p w14:paraId="5FB8B34A">
            <w:pPr>
              <w:pStyle w:val="8"/>
            </w:pPr>
            <w:r>
              <w:rPr>
                <w:rFonts w:hint="eastAsia"/>
              </w:rPr>
              <w:t xml:space="preserve">www.duxiaomanfund.com </w:t>
            </w:r>
          </w:p>
        </w:tc>
      </w:tr>
    </w:tbl>
    <w:p w14:paraId="7326557F">
      <w:pPr>
        <w:pStyle w:val="8"/>
        <w:spacing w:before="0" w:beforeAutospacing="0" w:after="0" w:afterAutospacing="0" w:line="360" w:lineRule="auto"/>
        <w:ind w:firstLine="420"/>
        <w:rPr>
          <w:sz w:val="21"/>
          <w:szCs w:val="21"/>
        </w:rPr>
      </w:pPr>
      <w:r>
        <w:rPr>
          <w:rFonts w:hint="eastAsia"/>
          <w:b/>
          <w:bCs/>
          <w:sz w:val="21"/>
          <w:szCs w:val="21"/>
        </w:rPr>
        <w:t>(8)博时财富基金销售有限公司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7EF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C6266">
            <w:pPr>
              <w:pStyle w:val="8"/>
            </w:pPr>
            <w:r>
              <w:rPr>
                <w:rFonts w:hint="eastAsia"/>
              </w:rPr>
              <w:t xml:space="preserve">注册地址： </w:t>
            </w:r>
          </w:p>
        </w:tc>
        <w:tc>
          <w:tcPr>
            <w:tcW w:w="7440" w:type="dxa"/>
            <w:shd w:val="clear" w:color="auto" w:fill="auto"/>
          </w:tcPr>
          <w:p w14:paraId="6741F174">
            <w:pPr>
              <w:pStyle w:val="8"/>
            </w:pPr>
            <w:r>
              <w:rPr>
                <w:rFonts w:hint="eastAsia"/>
              </w:rPr>
              <w:t xml:space="preserve">广东省深圳市福田区莲花街道福新社区益田路5999号基金大厦19层 </w:t>
            </w:r>
          </w:p>
        </w:tc>
      </w:tr>
      <w:tr w14:paraId="3E42B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126F5">
            <w:pPr>
              <w:pStyle w:val="8"/>
            </w:pPr>
            <w:r>
              <w:rPr>
                <w:rFonts w:hint="eastAsia"/>
              </w:rPr>
              <w:t xml:space="preserve">办公地址： </w:t>
            </w:r>
          </w:p>
        </w:tc>
        <w:tc>
          <w:tcPr>
            <w:tcW w:w="7440" w:type="dxa"/>
            <w:shd w:val="clear" w:color="auto" w:fill="auto"/>
          </w:tcPr>
          <w:p w14:paraId="6745A9B4">
            <w:pPr>
              <w:pStyle w:val="8"/>
            </w:pPr>
            <w:r>
              <w:rPr>
                <w:rFonts w:hint="eastAsia"/>
              </w:rPr>
              <w:t xml:space="preserve">广东省深圳市福田区莲花街道福新社区益田路5999号基金大厦19层 </w:t>
            </w:r>
          </w:p>
        </w:tc>
      </w:tr>
      <w:tr w14:paraId="150F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29611">
            <w:pPr>
              <w:pStyle w:val="8"/>
            </w:pPr>
            <w:r>
              <w:rPr>
                <w:rFonts w:hint="eastAsia"/>
              </w:rPr>
              <w:t xml:space="preserve">法定代表人： </w:t>
            </w:r>
          </w:p>
        </w:tc>
        <w:tc>
          <w:tcPr>
            <w:tcW w:w="7440" w:type="dxa"/>
            <w:shd w:val="clear" w:color="auto" w:fill="auto"/>
          </w:tcPr>
          <w:p w14:paraId="087B6D14">
            <w:pPr>
              <w:pStyle w:val="8"/>
            </w:pPr>
            <w:r>
              <w:rPr>
                <w:rFonts w:hint="eastAsia"/>
              </w:rPr>
              <w:t xml:space="preserve">王德英 </w:t>
            </w:r>
          </w:p>
        </w:tc>
      </w:tr>
      <w:tr w14:paraId="66C45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1EC71">
            <w:pPr>
              <w:pStyle w:val="8"/>
            </w:pPr>
            <w:r>
              <w:rPr>
                <w:rFonts w:hint="eastAsia"/>
              </w:rPr>
              <w:t xml:space="preserve">联系人： </w:t>
            </w:r>
          </w:p>
        </w:tc>
        <w:tc>
          <w:tcPr>
            <w:tcW w:w="7440" w:type="dxa"/>
            <w:shd w:val="clear" w:color="auto" w:fill="auto"/>
          </w:tcPr>
          <w:p w14:paraId="29620078">
            <w:pPr>
              <w:pStyle w:val="8"/>
            </w:pPr>
            <w:r>
              <w:rPr>
                <w:rFonts w:hint="eastAsia"/>
              </w:rPr>
              <w:t xml:space="preserve">崔丹 </w:t>
            </w:r>
          </w:p>
        </w:tc>
      </w:tr>
      <w:tr w14:paraId="599A4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1D2E1">
            <w:pPr>
              <w:pStyle w:val="8"/>
            </w:pPr>
            <w:r>
              <w:rPr>
                <w:rFonts w:hint="eastAsia"/>
              </w:rPr>
              <w:t xml:space="preserve">电话： </w:t>
            </w:r>
          </w:p>
        </w:tc>
        <w:tc>
          <w:tcPr>
            <w:tcW w:w="7440" w:type="dxa"/>
            <w:shd w:val="clear" w:color="auto" w:fill="auto"/>
          </w:tcPr>
          <w:p w14:paraId="0563576D">
            <w:pPr>
              <w:pStyle w:val="8"/>
            </w:pPr>
            <w:r>
              <w:rPr>
                <w:rFonts w:hint="eastAsia"/>
              </w:rPr>
              <w:t xml:space="preserve">0755-83169999 </w:t>
            </w:r>
          </w:p>
        </w:tc>
      </w:tr>
      <w:tr w14:paraId="39066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A523E">
            <w:pPr>
              <w:pStyle w:val="8"/>
            </w:pPr>
            <w:r>
              <w:rPr>
                <w:rFonts w:hint="eastAsia"/>
              </w:rPr>
              <w:t xml:space="preserve">传真： </w:t>
            </w:r>
          </w:p>
        </w:tc>
        <w:tc>
          <w:tcPr>
            <w:tcW w:w="7440" w:type="dxa"/>
            <w:shd w:val="clear" w:color="auto" w:fill="auto"/>
          </w:tcPr>
          <w:p w14:paraId="5E8F09A8">
            <w:pPr>
              <w:pStyle w:val="8"/>
            </w:pPr>
            <w:r>
              <w:rPr>
                <w:rFonts w:hint="eastAsia"/>
              </w:rPr>
              <w:t xml:space="preserve">0755-83195220 </w:t>
            </w:r>
          </w:p>
        </w:tc>
      </w:tr>
      <w:tr w14:paraId="02507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A567D">
            <w:pPr>
              <w:pStyle w:val="8"/>
            </w:pPr>
            <w:r>
              <w:rPr>
                <w:rFonts w:hint="eastAsia"/>
              </w:rPr>
              <w:t xml:space="preserve">客户服务电话： </w:t>
            </w:r>
          </w:p>
        </w:tc>
        <w:tc>
          <w:tcPr>
            <w:tcW w:w="7440" w:type="dxa"/>
            <w:shd w:val="clear" w:color="auto" w:fill="auto"/>
          </w:tcPr>
          <w:p w14:paraId="205DA548">
            <w:pPr>
              <w:pStyle w:val="8"/>
            </w:pPr>
            <w:r>
              <w:rPr>
                <w:rFonts w:hint="eastAsia"/>
              </w:rPr>
              <w:t xml:space="preserve">400-610-5568 </w:t>
            </w:r>
          </w:p>
        </w:tc>
      </w:tr>
      <w:tr w14:paraId="66EE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14B48">
            <w:pPr>
              <w:pStyle w:val="8"/>
            </w:pPr>
            <w:r>
              <w:rPr>
                <w:rFonts w:hint="eastAsia"/>
              </w:rPr>
              <w:t xml:space="preserve">网址： </w:t>
            </w:r>
          </w:p>
        </w:tc>
        <w:tc>
          <w:tcPr>
            <w:tcW w:w="7440" w:type="dxa"/>
            <w:shd w:val="clear" w:color="auto" w:fill="auto"/>
          </w:tcPr>
          <w:p w14:paraId="123565F7">
            <w:pPr>
              <w:pStyle w:val="8"/>
            </w:pPr>
            <w:r>
              <w:rPr>
                <w:rFonts w:hint="eastAsia"/>
              </w:rPr>
              <w:t xml:space="preserve">www.boserawealth.com </w:t>
            </w:r>
          </w:p>
        </w:tc>
      </w:tr>
    </w:tbl>
    <w:p w14:paraId="2C8A9D25">
      <w:pPr>
        <w:pStyle w:val="8"/>
        <w:spacing w:before="0" w:beforeAutospacing="0" w:after="0" w:afterAutospacing="0" w:line="360" w:lineRule="auto"/>
        <w:ind w:firstLine="420"/>
        <w:rPr>
          <w:sz w:val="21"/>
          <w:szCs w:val="21"/>
        </w:rPr>
      </w:pPr>
      <w:r>
        <w:rPr>
          <w:rFonts w:hint="eastAsia"/>
          <w:b/>
          <w:bCs/>
          <w:sz w:val="21"/>
          <w:szCs w:val="21"/>
        </w:rPr>
        <w:t>(9)诺亚正行基金销售有限公司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055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A0882">
            <w:pPr>
              <w:pStyle w:val="8"/>
            </w:pPr>
            <w:r>
              <w:rPr>
                <w:rFonts w:hint="eastAsia"/>
              </w:rPr>
              <w:t xml:space="preserve">注册地址： </w:t>
            </w:r>
          </w:p>
        </w:tc>
        <w:tc>
          <w:tcPr>
            <w:tcW w:w="7440" w:type="dxa"/>
            <w:shd w:val="clear" w:color="auto" w:fill="auto"/>
          </w:tcPr>
          <w:p w14:paraId="65A5D78E">
            <w:pPr>
              <w:pStyle w:val="8"/>
            </w:pPr>
            <w:r>
              <w:rPr>
                <w:rFonts w:hint="eastAsia"/>
              </w:rPr>
              <w:t xml:space="preserve">上海市虹口区飞虹路360弄9号6层 </w:t>
            </w:r>
          </w:p>
        </w:tc>
      </w:tr>
      <w:tr w14:paraId="0D5C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1137E">
            <w:pPr>
              <w:pStyle w:val="8"/>
            </w:pPr>
            <w:r>
              <w:rPr>
                <w:rFonts w:hint="eastAsia"/>
              </w:rPr>
              <w:t xml:space="preserve">办公地址： </w:t>
            </w:r>
          </w:p>
        </w:tc>
        <w:tc>
          <w:tcPr>
            <w:tcW w:w="7440" w:type="dxa"/>
            <w:shd w:val="clear" w:color="auto" w:fill="auto"/>
          </w:tcPr>
          <w:p w14:paraId="3B9DF2F3">
            <w:pPr>
              <w:pStyle w:val="8"/>
            </w:pPr>
            <w:r>
              <w:rPr>
                <w:rFonts w:hint="eastAsia"/>
              </w:rPr>
              <w:t xml:space="preserve">上海市闵行区申滨南路1226号诺亚财富中心 </w:t>
            </w:r>
          </w:p>
        </w:tc>
      </w:tr>
      <w:tr w14:paraId="2F60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F8116">
            <w:pPr>
              <w:pStyle w:val="8"/>
            </w:pPr>
            <w:r>
              <w:rPr>
                <w:rFonts w:hint="eastAsia"/>
              </w:rPr>
              <w:t xml:space="preserve">法定代表人： </w:t>
            </w:r>
          </w:p>
        </w:tc>
        <w:tc>
          <w:tcPr>
            <w:tcW w:w="7440" w:type="dxa"/>
            <w:shd w:val="clear" w:color="auto" w:fill="auto"/>
          </w:tcPr>
          <w:p w14:paraId="49920548">
            <w:pPr>
              <w:pStyle w:val="8"/>
            </w:pPr>
            <w:r>
              <w:rPr>
                <w:rFonts w:hint="eastAsia"/>
              </w:rPr>
              <w:t xml:space="preserve">吴卫国 </w:t>
            </w:r>
          </w:p>
        </w:tc>
      </w:tr>
      <w:tr w14:paraId="6CA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2788B">
            <w:pPr>
              <w:pStyle w:val="8"/>
            </w:pPr>
            <w:r>
              <w:rPr>
                <w:rFonts w:hint="eastAsia"/>
              </w:rPr>
              <w:t xml:space="preserve">联系人： </w:t>
            </w:r>
          </w:p>
        </w:tc>
        <w:tc>
          <w:tcPr>
            <w:tcW w:w="7440" w:type="dxa"/>
            <w:shd w:val="clear" w:color="auto" w:fill="auto"/>
          </w:tcPr>
          <w:p w14:paraId="0A612475">
            <w:pPr>
              <w:pStyle w:val="8"/>
            </w:pPr>
            <w:r>
              <w:rPr>
                <w:rFonts w:hint="eastAsia"/>
              </w:rPr>
              <w:t xml:space="preserve">黄欣文 </w:t>
            </w:r>
          </w:p>
        </w:tc>
      </w:tr>
      <w:tr w14:paraId="5883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E14541">
            <w:pPr>
              <w:pStyle w:val="8"/>
            </w:pPr>
            <w:r>
              <w:rPr>
                <w:rFonts w:hint="eastAsia"/>
              </w:rPr>
              <w:t xml:space="preserve">电话： </w:t>
            </w:r>
          </w:p>
        </w:tc>
        <w:tc>
          <w:tcPr>
            <w:tcW w:w="7440" w:type="dxa"/>
            <w:shd w:val="clear" w:color="auto" w:fill="auto"/>
          </w:tcPr>
          <w:p w14:paraId="7AC21DA4">
            <w:pPr>
              <w:pStyle w:val="8"/>
            </w:pPr>
            <w:r>
              <w:rPr>
                <w:rFonts w:hint="eastAsia"/>
              </w:rPr>
              <w:t xml:space="preserve">021-38602377 </w:t>
            </w:r>
          </w:p>
        </w:tc>
      </w:tr>
      <w:tr w14:paraId="01804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1FF43">
            <w:pPr>
              <w:pStyle w:val="8"/>
            </w:pPr>
            <w:r>
              <w:rPr>
                <w:rFonts w:hint="eastAsia"/>
              </w:rPr>
              <w:t xml:space="preserve">传真： </w:t>
            </w:r>
          </w:p>
        </w:tc>
        <w:tc>
          <w:tcPr>
            <w:tcW w:w="7440" w:type="dxa"/>
            <w:shd w:val="clear" w:color="auto" w:fill="auto"/>
          </w:tcPr>
          <w:p w14:paraId="4474263F">
            <w:pPr>
              <w:pStyle w:val="8"/>
            </w:pPr>
            <w:r>
              <w:rPr>
                <w:rFonts w:hint="eastAsia"/>
              </w:rPr>
              <w:t xml:space="preserve">021-38509777 </w:t>
            </w:r>
          </w:p>
        </w:tc>
      </w:tr>
      <w:tr w14:paraId="1EFB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FA7A3">
            <w:pPr>
              <w:pStyle w:val="8"/>
            </w:pPr>
            <w:r>
              <w:rPr>
                <w:rFonts w:hint="eastAsia"/>
              </w:rPr>
              <w:t xml:space="preserve">客户服务电话： </w:t>
            </w:r>
          </w:p>
        </w:tc>
        <w:tc>
          <w:tcPr>
            <w:tcW w:w="7440" w:type="dxa"/>
            <w:shd w:val="clear" w:color="auto" w:fill="auto"/>
          </w:tcPr>
          <w:p w14:paraId="4815D62C">
            <w:pPr>
              <w:pStyle w:val="8"/>
            </w:pPr>
            <w:r>
              <w:rPr>
                <w:rFonts w:hint="eastAsia"/>
              </w:rPr>
              <w:t xml:space="preserve">400-821-5399 </w:t>
            </w:r>
          </w:p>
        </w:tc>
      </w:tr>
      <w:tr w14:paraId="330B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3EFD1">
            <w:pPr>
              <w:pStyle w:val="8"/>
            </w:pPr>
            <w:r>
              <w:rPr>
                <w:rFonts w:hint="eastAsia"/>
              </w:rPr>
              <w:t xml:space="preserve">网址： </w:t>
            </w:r>
          </w:p>
        </w:tc>
        <w:tc>
          <w:tcPr>
            <w:tcW w:w="7440" w:type="dxa"/>
            <w:shd w:val="clear" w:color="auto" w:fill="auto"/>
          </w:tcPr>
          <w:p w14:paraId="2C65D855">
            <w:pPr>
              <w:pStyle w:val="8"/>
            </w:pPr>
            <w:r>
              <w:rPr>
                <w:rFonts w:hint="eastAsia"/>
              </w:rPr>
              <w:t xml:space="preserve">http://www.noah-fund.com </w:t>
            </w:r>
          </w:p>
        </w:tc>
      </w:tr>
    </w:tbl>
    <w:p w14:paraId="69E14E01">
      <w:pPr>
        <w:pStyle w:val="8"/>
        <w:spacing w:before="0" w:beforeAutospacing="0" w:after="0" w:afterAutospacing="0" w:line="360" w:lineRule="auto"/>
        <w:ind w:firstLine="420"/>
        <w:rPr>
          <w:sz w:val="21"/>
          <w:szCs w:val="21"/>
        </w:rPr>
      </w:pPr>
      <w:r>
        <w:rPr>
          <w:rFonts w:hint="eastAsia"/>
          <w:b/>
          <w:bCs/>
          <w:sz w:val="21"/>
          <w:szCs w:val="21"/>
        </w:rPr>
        <w:t>(10)上海天天基金销售有限公司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D70F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D62CA">
            <w:pPr>
              <w:pStyle w:val="8"/>
            </w:pPr>
            <w:r>
              <w:rPr>
                <w:rFonts w:hint="eastAsia"/>
              </w:rPr>
              <w:t xml:space="preserve">注册地址： </w:t>
            </w:r>
          </w:p>
        </w:tc>
        <w:tc>
          <w:tcPr>
            <w:tcW w:w="7440" w:type="dxa"/>
            <w:shd w:val="clear" w:color="auto" w:fill="auto"/>
          </w:tcPr>
          <w:p w14:paraId="323A125B">
            <w:pPr>
              <w:pStyle w:val="8"/>
            </w:pPr>
            <w:r>
              <w:rPr>
                <w:rFonts w:hint="eastAsia"/>
              </w:rPr>
              <w:t xml:space="preserve">上海市徐汇区龙田路190号2号楼2层 </w:t>
            </w:r>
          </w:p>
        </w:tc>
      </w:tr>
      <w:tr w14:paraId="1A91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695DE">
            <w:pPr>
              <w:pStyle w:val="8"/>
            </w:pPr>
            <w:r>
              <w:rPr>
                <w:rFonts w:hint="eastAsia"/>
              </w:rPr>
              <w:t xml:space="preserve">办公地址： </w:t>
            </w:r>
          </w:p>
        </w:tc>
        <w:tc>
          <w:tcPr>
            <w:tcW w:w="7440" w:type="dxa"/>
            <w:shd w:val="clear" w:color="auto" w:fill="auto"/>
          </w:tcPr>
          <w:p w14:paraId="50640D6C">
            <w:pPr>
              <w:pStyle w:val="8"/>
            </w:pPr>
            <w:r>
              <w:rPr>
                <w:rFonts w:hint="eastAsia"/>
              </w:rPr>
              <w:t xml:space="preserve">上海市徐汇区龙田路195号3C座9楼 </w:t>
            </w:r>
          </w:p>
        </w:tc>
      </w:tr>
      <w:tr w14:paraId="27574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CC529">
            <w:pPr>
              <w:pStyle w:val="8"/>
            </w:pPr>
            <w:r>
              <w:rPr>
                <w:rFonts w:hint="eastAsia"/>
              </w:rPr>
              <w:t xml:space="preserve">法定代表人： </w:t>
            </w:r>
          </w:p>
        </w:tc>
        <w:tc>
          <w:tcPr>
            <w:tcW w:w="7440" w:type="dxa"/>
            <w:shd w:val="clear" w:color="auto" w:fill="auto"/>
          </w:tcPr>
          <w:p w14:paraId="0EC05C08">
            <w:pPr>
              <w:pStyle w:val="8"/>
            </w:pPr>
            <w:r>
              <w:rPr>
                <w:rFonts w:hint="eastAsia"/>
              </w:rPr>
              <w:t xml:space="preserve">其实 </w:t>
            </w:r>
          </w:p>
        </w:tc>
      </w:tr>
      <w:tr w14:paraId="0DBA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BFF37">
            <w:pPr>
              <w:pStyle w:val="8"/>
            </w:pPr>
            <w:r>
              <w:rPr>
                <w:rFonts w:hint="eastAsia"/>
              </w:rPr>
              <w:t xml:space="preserve">联系人： </w:t>
            </w:r>
          </w:p>
        </w:tc>
        <w:tc>
          <w:tcPr>
            <w:tcW w:w="7440" w:type="dxa"/>
            <w:shd w:val="clear" w:color="auto" w:fill="auto"/>
          </w:tcPr>
          <w:p w14:paraId="4C7F759C">
            <w:pPr>
              <w:pStyle w:val="8"/>
            </w:pPr>
            <w:r>
              <w:rPr>
                <w:rFonts w:hint="eastAsia"/>
              </w:rPr>
              <w:t xml:space="preserve">潘世友 </w:t>
            </w:r>
          </w:p>
        </w:tc>
      </w:tr>
      <w:tr w14:paraId="4D0F6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96484">
            <w:pPr>
              <w:pStyle w:val="8"/>
            </w:pPr>
            <w:r>
              <w:rPr>
                <w:rFonts w:hint="eastAsia"/>
              </w:rPr>
              <w:t xml:space="preserve">电话： </w:t>
            </w:r>
          </w:p>
        </w:tc>
        <w:tc>
          <w:tcPr>
            <w:tcW w:w="7440" w:type="dxa"/>
            <w:shd w:val="clear" w:color="auto" w:fill="auto"/>
          </w:tcPr>
          <w:p w14:paraId="0FF3BC06">
            <w:pPr>
              <w:pStyle w:val="8"/>
            </w:pPr>
            <w:r>
              <w:rPr>
                <w:rFonts w:hint="eastAsia"/>
              </w:rPr>
              <w:t xml:space="preserve">021-54509998 </w:t>
            </w:r>
          </w:p>
        </w:tc>
      </w:tr>
      <w:tr w14:paraId="1173E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DF7EB">
            <w:pPr>
              <w:pStyle w:val="8"/>
            </w:pPr>
            <w:r>
              <w:rPr>
                <w:rFonts w:hint="eastAsia"/>
              </w:rPr>
              <w:t xml:space="preserve">传真： </w:t>
            </w:r>
          </w:p>
        </w:tc>
        <w:tc>
          <w:tcPr>
            <w:tcW w:w="7440" w:type="dxa"/>
            <w:shd w:val="clear" w:color="auto" w:fill="auto"/>
          </w:tcPr>
          <w:p w14:paraId="4B21ADD8">
            <w:pPr>
              <w:pStyle w:val="8"/>
            </w:pPr>
            <w:r>
              <w:rPr>
                <w:rFonts w:hint="eastAsia"/>
              </w:rPr>
              <w:t xml:space="preserve">021-64385308 </w:t>
            </w:r>
          </w:p>
        </w:tc>
      </w:tr>
      <w:tr w14:paraId="5EF93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F6C14">
            <w:pPr>
              <w:pStyle w:val="8"/>
            </w:pPr>
            <w:r>
              <w:rPr>
                <w:rFonts w:hint="eastAsia"/>
              </w:rPr>
              <w:t xml:space="preserve">客户服务电话： </w:t>
            </w:r>
          </w:p>
        </w:tc>
        <w:tc>
          <w:tcPr>
            <w:tcW w:w="7440" w:type="dxa"/>
            <w:shd w:val="clear" w:color="auto" w:fill="auto"/>
          </w:tcPr>
          <w:p w14:paraId="1EC2CE71">
            <w:pPr>
              <w:pStyle w:val="8"/>
            </w:pPr>
            <w:r>
              <w:rPr>
                <w:rFonts w:hint="eastAsia"/>
              </w:rPr>
              <w:t xml:space="preserve">400-181-8188 </w:t>
            </w:r>
          </w:p>
        </w:tc>
      </w:tr>
      <w:tr w14:paraId="7170C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37934">
            <w:pPr>
              <w:pStyle w:val="8"/>
            </w:pPr>
            <w:r>
              <w:rPr>
                <w:rFonts w:hint="eastAsia"/>
              </w:rPr>
              <w:t xml:space="preserve">网址： </w:t>
            </w:r>
          </w:p>
        </w:tc>
        <w:tc>
          <w:tcPr>
            <w:tcW w:w="7440" w:type="dxa"/>
            <w:shd w:val="clear" w:color="auto" w:fill="auto"/>
          </w:tcPr>
          <w:p w14:paraId="51FC2AB6">
            <w:pPr>
              <w:pStyle w:val="8"/>
            </w:pPr>
            <w:r>
              <w:rPr>
                <w:rFonts w:hint="eastAsia"/>
              </w:rPr>
              <w:t xml:space="preserve">http://www.1234567.com.cn </w:t>
            </w:r>
          </w:p>
        </w:tc>
      </w:tr>
    </w:tbl>
    <w:p w14:paraId="577B8AB0">
      <w:pPr>
        <w:pStyle w:val="8"/>
        <w:spacing w:before="0" w:beforeAutospacing="0" w:after="0" w:afterAutospacing="0" w:line="360" w:lineRule="auto"/>
        <w:ind w:firstLine="420"/>
        <w:rPr>
          <w:sz w:val="21"/>
          <w:szCs w:val="21"/>
        </w:rPr>
      </w:pPr>
      <w:r>
        <w:rPr>
          <w:rFonts w:hint="eastAsia"/>
          <w:b/>
          <w:bCs/>
          <w:sz w:val="21"/>
          <w:szCs w:val="21"/>
        </w:rPr>
        <w:t>(11)蚂蚁（杭州）基金销售有限公司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4D0F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783A595">
            <w:pPr>
              <w:pStyle w:val="8"/>
            </w:pPr>
            <w:r>
              <w:rPr>
                <w:rFonts w:hint="eastAsia"/>
              </w:rPr>
              <w:t xml:space="preserve">注册地址： </w:t>
            </w:r>
          </w:p>
        </w:tc>
        <w:tc>
          <w:tcPr>
            <w:tcW w:w="7440" w:type="dxa"/>
            <w:shd w:val="clear" w:color="auto" w:fill="auto"/>
          </w:tcPr>
          <w:p w14:paraId="365C77E1">
            <w:pPr>
              <w:pStyle w:val="8"/>
            </w:pPr>
            <w:r>
              <w:rPr>
                <w:rFonts w:hint="eastAsia"/>
              </w:rPr>
              <w:t xml:space="preserve">浙江省杭州市余杭区五常街道文一西路969号3幢5层599室 </w:t>
            </w:r>
          </w:p>
        </w:tc>
      </w:tr>
      <w:tr w14:paraId="6840F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598BC">
            <w:pPr>
              <w:pStyle w:val="8"/>
            </w:pPr>
            <w:r>
              <w:rPr>
                <w:rFonts w:hint="eastAsia"/>
              </w:rPr>
              <w:t xml:space="preserve">办公地址： </w:t>
            </w:r>
          </w:p>
        </w:tc>
        <w:tc>
          <w:tcPr>
            <w:tcW w:w="7440" w:type="dxa"/>
            <w:shd w:val="clear" w:color="auto" w:fill="auto"/>
          </w:tcPr>
          <w:p w14:paraId="618D6CC2">
            <w:pPr>
              <w:pStyle w:val="8"/>
            </w:pPr>
            <w:r>
              <w:rPr>
                <w:rFonts w:hint="eastAsia"/>
              </w:rPr>
              <w:t xml:space="preserve">浙江省杭州市西湖区西溪路556号 </w:t>
            </w:r>
          </w:p>
        </w:tc>
      </w:tr>
      <w:tr w14:paraId="35927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80D4C">
            <w:pPr>
              <w:pStyle w:val="8"/>
            </w:pPr>
            <w:r>
              <w:rPr>
                <w:rFonts w:hint="eastAsia"/>
              </w:rPr>
              <w:t xml:space="preserve">法定代表人： </w:t>
            </w:r>
          </w:p>
        </w:tc>
        <w:tc>
          <w:tcPr>
            <w:tcW w:w="7440" w:type="dxa"/>
            <w:shd w:val="clear" w:color="auto" w:fill="auto"/>
          </w:tcPr>
          <w:p w14:paraId="05A1BE08">
            <w:pPr>
              <w:pStyle w:val="8"/>
            </w:pPr>
            <w:r>
              <w:rPr>
                <w:rFonts w:hint="eastAsia"/>
              </w:rPr>
              <w:t xml:space="preserve">王珺 </w:t>
            </w:r>
          </w:p>
        </w:tc>
      </w:tr>
      <w:tr w14:paraId="3E5D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E472B">
            <w:pPr>
              <w:pStyle w:val="8"/>
            </w:pPr>
            <w:r>
              <w:rPr>
                <w:rFonts w:hint="eastAsia"/>
              </w:rPr>
              <w:t xml:space="preserve">联系人： </w:t>
            </w:r>
          </w:p>
        </w:tc>
        <w:tc>
          <w:tcPr>
            <w:tcW w:w="7440" w:type="dxa"/>
            <w:shd w:val="clear" w:color="auto" w:fill="auto"/>
          </w:tcPr>
          <w:p w14:paraId="278A69C5">
            <w:pPr>
              <w:pStyle w:val="8"/>
            </w:pPr>
            <w:r>
              <w:rPr>
                <w:rFonts w:hint="eastAsia"/>
              </w:rPr>
              <w:t xml:space="preserve">韩爱彬 </w:t>
            </w:r>
          </w:p>
        </w:tc>
      </w:tr>
      <w:tr w14:paraId="0384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437B8">
            <w:pPr>
              <w:pStyle w:val="8"/>
            </w:pPr>
            <w:r>
              <w:rPr>
                <w:rFonts w:hint="eastAsia"/>
              </w:rPr>
              <w:t xml:space="preserve">电话： </w:t>
            </w:r>
          </w:p>
        </w:tc>
        <w:tc>
          <w:tcPr>
            <w:tcW w:w="7440" w:type="dxa"/>
            <w:shd w:val="clear" w:color="auto" w:fill="auto"/>
          </w:tcPr>
          <w:p w14:paraId="7A6C3EEE">
            <w:pPr>
              <w:pStyle w:val="8"/>
            </w:pPr>
            <w:r>
              <w:rPr>
                <w:rFonts w:hint="eastAsia"/>
              </w:rPr>
              <w:t xml:space="preserve">021-60897840 </w:t>
            </w:r>
          </w:p>
        </w:tc>
      </w:tr>
      <w:tr w14:paraId="0E6D0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8512F">
            <w:pPr>
              <w:pStyle w:val="8"/>
            </w:pPr>
            <w:r>
              <w:rPr>
                <w:rFonts w:hint="eastAsia"/>
              </w:rPr>
              <w:t xml:space="preserve">传真： </w:t>
            </w:r>
          </w:p>
        </w:tc>
        <w:tc>
          <w:tcPr>
            <w:tcW w:w="7440" w:type="dxa"/>
            <w:shd w:val="clear" w:color="auto" w:fill="auto"/>
          </w:tcPr>
          <w:p w14:paraId="7EBAC6B3">
            <w:pPr>
              <w:pStyle w:val="8"/>
            </w:pPr>
            <w:r>
              <w:rPr>
                <w:rFonts w:hint="eastAsia"/>
              </w:rPr>
              <w:t xml:space="preserve">0571-26697013 </w:t>
            </w:r>
          </w:p>
        </w:tc>
      </w:tr>
      <w:tr w14:paraId="2457A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D43F1">
            <w:pPr>
              <w:pStyle w:val="8"/>
            </w:pPr>
            <w:r>
              <w:rPr>
                <w:rFonts w:hint="eastAsia"/>
              </w:rPr>
              <w:t xml:space="preserve">客户服务电话： </w:t>
            </w:r>
          </w:p>
        </w:tc>
        <w:tc>
          <w:tcPr>
            <w:tcW w:w="7440" w:type="dxa"/>
            <w:shd w:val="clear" w:color="auto" w:fill="auto"/>
          </w:tcPr>
          <w:p w14:paraId="1E5CC6EE">
            <w:pPr>
              <w:pStyle w:val="8"/>
            </w:pPr>
            <w:r>
              <w:rPr>
                <w:rFonts w:hint="eastAsia"/>
              </w:rPr>
              <w:t xml:space="preserve">95188-8 </w:t>
            </w:r>
          </w:p>
        </w:tc>
      </w:tr>
      <w:tr w14:paraId="07BBA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AFF4B">
            <w:pPr>
              <w:pStyle w:val="8"/>
            </w:pPr>
            <w:r>
              <w:rPr>
                <w:rFonts w:hint="eastAsia"/>
              </w:rPr>
              <w:t xml:space="preserve">网址： </w:t>
            </w:r>
          </w:p>
        </w:tc>
        <w:tc>
          <w:tcPr>
            <w:tcW w:w="7440" w:type="dxa"/>
            <w:shd w:val="clear" w:color="auto" w:fill="auto"/>
          </w:tcPr>
          <w:p w14:paraId="7BB5B8CF">
            <w:pPr>
              <w:pStyle w:val="8"/>
            </w:pPr>
            <w:r>
              <w:rPr>
                <w:rFonts w:hint="eastAsia"/>
              </w:rPr>
              <w:t xml:space="preserve">http://www.fund123.cn </w:t>
            </w:r>
          </w:p>
        </w:tc>
      </w:tr>
    </w:tbl>
    <w:p w14:paraId="0CED2A8E">
      <w:pPr>
        <w:pStyle w:val="8"/>
        <w:spacing w:before="0" w:beforeAutospacing="0" w:after="0" w:afterAutospacing="0" w:line="360" w:lineRule="auto"/>
        <w:ind w:firstLine="420"/>
        <w:rPr>
          <w:sz w:val="21"/>
          <w:szCs w:val="21"/>
        </w:rPr>
      </w:pPr>
      <w:r>
        <w:rPr>
          <w:rFonts w:hint="eastAsia"/>
          <w:b/>
          <w:bCs/>
          <w:sz w:val="21"/>
          <w:szCs w:val="21"/>
        </w:rPr>
        <w:t>(12)浙江同花顺基金销售有限公司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E44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21A37">
            <w:pPr>
              <w:pStyle w:val="8"/>
            </w:pPr>
            <w:r>
              <w:rPr>
                <w:rFonts w:hint="eastAsia"/>
              </w:rPr>
              <w:t xml:space="preserve">注册地址： </w:t>
            </w:r>
          </w:p>
        </w:tc>
        <w:tc>
          <w:tcPr>
            <w:tcW w:w="7440" w:type="dxa"/>
            <w:shd w:val="clear" w:color="auto" w:fill="auto"/>
          </w:tcPr>
          <w:p w14:paraId="7F315D96">
            <w:pPr>
              <w:pStyle w:val="8"/>
            </w:pPr>
            <w:r>
              <w:rPr>
                <w:rFonts w:hint="eastAsia"/>
              </w:rPr>
              <w:t xml:space="preserve">杭州市西湖区文二西路1号元茂大厦903室 </w:t>
            </w:r>
          </w:p>
        </w:tc>
      </w:tr>
      <w:tr w14:paraId="38F9D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B4BCA">
            <w:pPr>
              <w:pStyle w:val="8"/>
            </w:pPr>
            <w:r>
              <w:rPr>
                <w:rFonts w:hint="eastAsia"/>
              </w:rPr>
              <w:t xml:space="preserve">办公地址： </w:t>
            </w:r>
          </w:p>
        </w:tc>
        <w:tc>
          <w:tcPr>
            <w:tcW w:w="7440" w:type="dxa"/>
            <w:shd w:val="clear" w:color="auto" w:fill="auto"/>
          </w:tcPr>
          <w:p w14:paraId="470EFA87">
            <w:pPr>
              <w:pStyle w:val="8"/>
            </w:pPr>
            <w:r>
              <w:rPr>
                <w:rFonts w:hint="eastAsia"/>
              </w:rPr>
              <w:t xml:space="preserve">浙江省杭州市余杭区五常街道同顺街18号同花顺大楼 </w:t>
            </w:r>
          </w:p>
        </w:tc>
      </w:tr>
      <w:tr w14:paraId="2D71E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91D87">
            <w:pPr>
              <w:pStyle w:val="8"/>
            </w:pPr>
            <w:r>
              <w:rPr>
                <w:rFonts w:hint="eastAsia"/>
              </w:rPr>
              <w:t xml:space="preserve">法定代表人： </w:t>
            </w:r>
          </w:p>
        </w:tc>
        <w:tc>
          <w:tcPr>
            <w:tcW w:w="7440" w:type="dxa"/>
            <w:shd w:val="clear" w:color="auto" w:fill="auto"/>
          </w:tcPr>
          <w:p w14:paraId="1CB3138F">
            <w:pPr>
              <w:pStyle w:val="8"/>
            </w:pPr>
            <w:r>
              <w:rPr>
                <w:rFonts w:hint="eastAsia"/>
              </w:rPr>
              <w:t xml:space="preserve">凌顺平 </w:t>
            </w:r>
          </w:p>
        </w:tc>
      </w:tr>
      <w:tr w14:paraId="0886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5AC1C">
            <w:pPr>
              <w:pStyle w:val="8"/>
            </w:pPr>
            <w:r>
              <w:rPr>
                <w:rFonts w:hint="eastAsia"/>
              </w:rPr>
              <w:t xml:space="preserve">联系人： </w:t>
            </w:r>
          </w:p>
        </w:tc>
        <w:tc>
          <w:tcPr>
            <w:tcW w:w="7440" w:type="dxa"/>
            <w:shd w:val="clear" w:color="auto" w:fill="auto"/>
          </w:tcPr>
          <w:p w14:paraId="3C0EF6C0">
            <w:pPr>
              <w:pStyle w:val="8"/>
            </w:pPr>
            <w:r>
              <w:rPr>
                <w:rFonts w:hint="eastAsia"/>
              </w:rPr>
              <w:t xml:space="preserve">吴杰 </w:t>
            </w:r>
          </w:p>
        </w:tc>
      </w:tr>
      <w:tr w14:paraId="6E06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01446">
            <w:pPr>
              <w:pStyle w:val="8"/>
            </w:pPr>
            <w:r>
              <w:rPr>
                <w:rFonts w:hint="eastAsia"/>
              </w:rPr>
              <w:t xml:space="preserve">电话： </w:t>
            </w:r>
          </w:p>
        </w:tc>
        <w:tc>
          <w:tcPr>
            <w:tcW w:w="7440" w:type="dxa"/>
            <w:shd w:val="clear" w:color="auto" w:fill="auto"/>
          </w:tcPr>
          <w:p w14:paraId="4999B185">
            <w:pPr>
              <w:pStyle w:val="8"/>
            </w:pPr>
            <w:r>
              <w:rPr>
                <w:rFonts w:hint="eastAsia"/>
              </w:rPr>
              <w:t xml:space="preserve">0571-88911818 </w:t>
            </w:r>
          </w:p>
        </w:tc>
      </w:tr>
      <w:tr w14:paraId="59B4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C0DC6">
            <w:pPr>
              <w:pStyle w:val="8"/>
            </w:pPr>
            <w:r>
              <w:rPr>
                <w:rFonts w:hint="eastAsia"/>
              </w:rPr>
              <w:t xml:space="preserve">传真： </w:t>
            </w:r>
          </w:p>
        </w:tc>
        <w:tc>
          <w:tcPr>
            <w:tcW w:w="7440" w:type="dxa"/>
            <w:shd w:val="clear" w:color="auto" w:fill="auto"/>
          </w:tcPr>
          <w:p w14:paraId="56E65824">
            <w:pPr>
              <w:pStyle w:val="8"/>
            </w:pPr>
            <w:r>
              <w:rPr>
                <w:rFonts w:hint="eastAsia"/>
              </w:rPr>
              <w:t xml:space="preserve">0571-86800423 </w:t>
            </w:r>
          </w:p>
        </w:tc>
      </w:tr>
      <w:tr w14:paraId="6353A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9F13A">
            <w:pPr>
              <w:pStyle w:val="8"/>
            </w:pPr>
            <w:r>
              <w:rPr>
                <w:rFonts w:hint="eastAsia"/>
              </w:rPr>
              <w:t xml:space="preserve">客户服务电话： </w:t>
            </w:r>
          </w:p>
        </w:tc>
        <w:tc>
          <w:tcPr>
            <w:tcW w:w="7440" w:type="dxa"/>
            <w:shd w:val="clear" w:color="auto" w:fill="auto"/>
          </w:tcPr>
          <w:p w14:paraId="12F62C5C">
            <w:pPr>
              <w:pStyle w:val="8"/>
            </w:pPr>
            <w:r>
              <w:rPr>
                <w:rFonts w:hint="eastAsia"/>
              </w:rPr>
              <w:t xml:space="preserve">952555 </w:t>
            </w:r>
          </w:p>
        </w:tc>
      </w:tr>
      <w:tr w14:paraId="5C09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FDFDF">
            <w:pPr>
              <w:pStyle w:val="8"/>
            </w:pPr>
            <w:r>
              <w:rPr>
                <w:rFonts w:hint="eastAsia"/>
              </w:rPr>
              <w:t xml:space="preserve">网址： </w:t>
            </w:r>
          </w:p>
        </w:tc>
        <w:tc>
          <w:tcPr>
            <w:tcW w:w="7440" w:type="dxa"/>
            <w:shd w:val="clear" w:color="auto" w:fill="auto"/>
          </w:tcPr>
          <w:p w14:paraId="51F8820D">
            <w:pPr>
              <w:pStyle w:val="8"/>
            </w:pPr>
            <w:r>
              <w:rPr>
                <w:rFonts w:hint="eastAsia"/>
              </w:rPr>
              <w:t xml:space="preserve">www.5ifund.com </w:t>
            </w:r>
          </w:p>
        </w:tc>
      </w:tr>
    </w:tbl>
    <w:p w14:paraId="448596B3">
      <w:pPr>
        <w:pStyle w:val="8"/>
        <w:spacing w:before="0" w:beforeAutospacing="0" w:after="0" w:afterAutospacing="0" w:line="360" w:lineRule="auto"/>
        <w:ind w:firstLine="420"/>
        <w:rPr>
          <w:sz w:val="21"/>
          <w:szCs w:val="21"/>
        </w:rPr>
      </w:pPr>
      <w:r>
        <w:rPr>
          <w:rFonts w:hint="eastAsia"/>
          <w:b/>
          <w:bCs/>
          <w:sz w:val="21"/>
          <w:szCs w:val="21"/>
        </w:rPr>
        <w:t>(13)上海利得基金销售有限公司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CB46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F6FE9">
            <w:pPr>
              <w:pStyle w:val="8"/>
            </w:pPr>
            <w:r>
              <w:rPr>
                <w:rFonts w:hint="eastAsia"/>
              </w:rPr>
              <w:t xml:space="preserve">注册地址： </w:t>
            </w:r>
          </w:p>
        </w:tc>
        <w:tc>
          <w:tcPr>
            <w:tcW w:w="7440" w:type="dxa"/>
            <w:shd w:val="clear" w:color="auto" w:fill="auto"/>
          </w:tcPr>
          <w:p w14:paraId="3A5B3025">
            <w:pPr>
              <w:pStyle w:val="8"/>
            </w:pPr>
            <w:r>
              <w:rPr>
                <w:rFonts w:hint="eastAsia"/>
              </w:rPr>
              <w:t xml:space="preserve">上海市宝山区蕴川路5475号1033室 </w:t>
            </w:r>
          </w:p>
        </w:tc>
      </w:tr>
      <w:tr w14:paraId="17DC7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F4C4C">
            <w:pPr>
              <w:pStyle w:val="8"/>
            </w:pPr>
            <w:r>
              <w:rPr>
                <w:rFonts w:hint="eastAsia"/>
              </w:rPr>
              <w:t xml:space="preserve">办公地址： </w:t>
            </w:r>
          </w:p>
        </w:tc>
        <w:tc>
          <w:tcPr>
            <w:tcW w:w="7440" w:type="dxa"/>
            <w:shd w:val="clear" w:color="auto" w:fill="auto"/>
          </w:tcPr>
          <w:p w14:paraId="7EA69E5F">
            <w:pPr>
              <w:pStyle w:val="8"/>
            </w:pPr>
            <w:r>
              <w:rPr>
                <w:rFonts w:hint="eastAsia"/>
              </w:rPr>
              <w:t xml:space="preserve">上海浦东新区峨山路91弄61号10号楼12楼 </w:t>
            </w:r>
          </w:p>
        </w:tc>
      </w:tr>
      <w:tr w14:paraId="4DE0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7ECB2">
            <w:pPr>
              <w:pStyle w:val="8"/>
            </w:pPr>
            <w:r>
              <w:rPr>
                <w:rFonts w:hint="eastAsia"/>
              </w:rPr>
              <w:t xml:space="preserve">法定代表人： </w:t>
            </w:r>
          </w:p>
        </w:tc>
        <w:tc>
          <w:tcPr>
            <w:tcW w:w="7440" w:type="dxa"/>
            <w:shd w:val="clear" w:color="auto" w:fill="auto"/>
          </w:tcPr>
          <w:p w14:paraId="598EA2B7">
            <w:pPr>
              <w:pStyle w:val="8"/>
            </w:pPr>
            <w:r>
              <w:rPr>
                <w:rFonts w:hint="eastAsia"/>
              </w:rPr>
              <w:t xml:space="preserve">李兴春 </w:t>
            </w:r>
          </w:p>
        </w:tc>
      </w:tr>
      <w:tr w14:paraId="53C1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2AF08">
            <w:pPr>
              <w:pStyle w:val="8"/>
            </w:pPr>
            <w:r>
              <w:rPr>
                <w:rFonts w:hint="eastAsia"/>
              </w:rPr>
              <w:t xml:space="preserve">联系人： </w:t>
            </w:r>
          </w:p>
        </w:tc>
        <w:tc>
          <w:tcPr>
            <w:tcW w:w="7440" w:type="dxa"/>
            <w:shd w:val="clear" w:color="auto" w:fill="auto"/>
          </w:tcPr>
          <w:p w14:paraId="08ACFB5E">
            <w:pPr>
              <w:pStyle w:val="8"/>
            </w:pPr>
            <w:r>
              <w:rPr>
                <w:rFonts w:hint="eastAsia"/>
              </w:rPr>
              <w:t xml:space="preserve">徐鹏 </w:t>
            </w:r>
          </w:p>
        </w:tc>
      </w:tr>
      <w:tr w14:paraId="33390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C06EC">
            <w:pPr>
              <w:pStyle w:val="8"/>
            </w:pPr>
            <w:r>
              <w:rPr>
                <w:rFonts w:hint="eastAsia"/>
              </w:rPr>
              <w:t xml:space="preserve">电话： </w:t>
            </w:r>
          </w:p>
        </w:tc>
        <w:tc>
          <w:tcPr>
            <w:tcW w:w="7440" w:type="dxa"/>
            <w:shd w:val="clear" w:color="auto" w:fill="auto"/>
          </w:tcPr>
          <w:p w14:paraId="18259797">
            <w:pPr>
              <w:pStyle w:val="8"/>
            </w:pPr>
            <w:r>
              <w:rPr>
                <w:rFonts w:hint="eastAsia"/>
              </w:rPr>
              <w:t xml:space="preserve">021-50583533 </w:t>
            </w:r>
          </w:p>
        </w:tc>
      </w:tr>
      <w:tr w14:paraId="77B08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36296">
            <w:pPr>
              <w:pStyle w:val="8"/>
            </w:pPr>
            <w:r>
              <w:rPr>
                <w:rFonts w:hint="eastAsia"/>
              </w:rPr>
              <w:t xml:space="preserve">传真： </w:t>
            </w:r>
          </w:p>
        </w:tc>
        <w:tc>
          <w:tcPr>
            <w:tcW w:w="7440" w:type="dxa"/>
            <w:shd w:val="clear" w:color="auto" w:fill="auto"/>
          </w:tcPr>
          <w:p w14:paraId="73EA73A8">
            <w:pPr>
              <w:pStyle w:val="8"/>
            </w:pPr>
            <w:r>
              <w:rPr>
                <w:rFonts w:hint="eastAsia"/>
              </w:rPr>
              <w:t xml:space="preserve">021-50583633 </w:t>
            </w:r>
          </w:p>
        </w:tc>
      </w:tr>
      <w:tr w14:paraId="3D950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D7955">
            <w:pPr>
              <w:pStyle w:val="8"/>
            </w:pPr>
            <w:r>
              <w:rPr>
                <w:rFonts w:hint="eastAsia"/>
              </w:rPr>
              <w:t xml:space="preserve">客户服务电话： </w:t>
            </w:r>
          </w:p>
        </w:tc>
        <w:tc>
          <w:tcPr>
            <w:tcW w:w="7440" w:type="dxa"/>
            <w:shd w:val="clear" w:color="auto" w:fill="auto"/>
          </w:tcPr>
          <w:p w14:paraId="7155707B">
            <w:pPr>
              <w:pStyle w:val="8"/>
            </w:pPr>
            <w:r>
              <w:rPr>
                <w:rFonts w:hint="eastAsia"/>
              </w:rPr>
              <w:t xml:space="preserve">400-921-7755 </w:t>
            </w:r>
          </w:p>
        </w:tc>
      </w:tr>
      <w:tr w14:paraId="62F89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5E56B">
            <w:pPr>
              <w:pStyle w:val="8"/>
            </w:pPr>
            <w:r>
              <w:rPr>
                <w:rFonts w:hint="eastAsia"/>
              </w:rPr>
              <w:t xml:space="preserve">网址： </w:t>
            </w:r>
          </w:p>
        </w:tc>
        <w:tc>
          <w:tcPr>
            <w:tcW w:w="7440" w:type="dxa"/>
            <w:shd w:val="clear" w:color="auto" w:fill="auto"/>
          </w:tcPr>
          <w:p w14:paraId="1052BE15">
            <w:pPr>
              <w:pStyle w:val="8"/>
            </w:pPr>
            <w:r>
              <w:rPr>
                <w:rFonts w:hint="eastAsia"/>
              </w:rPr>
              <w:t xml:space="preserve">http://a.leadfund.com.cn/ </w:t>
            </w:r>
          </w:p>
        </w:tc>
      </w:tr>
    </w:tbl>
    <w:p w14:paraId="1647F448">
      <w:pPr>
        <w:pStyle w:val="8"/>
        <w:spacing w:before="0" w:beforeAutospacing="0" w:after="0" w:afterAutospacing="0" w:line="360" w:lineRule="auto"/>
        <w:ind w:firstLine="420"/>
        <w:rPr>
          <w:sz w:val="21"/>
          <w:szCs w:val="21"/>
        </w:rPr>
      </w:pPr>
      <w:r>
        <w:rPr>
          <w:rFonts w:hint="eastAsia"/>
          <w:b/>
          <w:bCs/>
          <w:sz w:val="21"/>
          <w:szCs w:val="21"/>
        </w:rPr>
        <w:t>(14)嘉实财富管理有限公司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D424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9F467C">
            <w:pPr>
              <w:pStyle w:val="8"/>
            </w:pPr>
            <w:r>
              <w:rPr>
                <w:rFonts w:hint="eastAsia"/>
              </w:rPr>
              <w:t xml:space="preserve">注册地址： </w:t>
            </w:r>
          </w:p>
        </w:tc>
        <w:tc>
          <w:tcPr>
            <w:tcW w:w="7440" w:type="dxa"/>
            <w:shd w:val="clear" w:color="auto" w:fill="auto"/>
          </w:tcPr>
          <w:p w14:paraId="1C2381F3">
            <w:pPr>
              <w:pStyle w:val="8"/>
            </w:pPr>
            <w:r>
              <w:rPr>
                <w:rFonts w:hint="eastAsia"/>
              </w:rPr>
              <w:t xml:space="preserve">上海市浦东新区世纪大道8号上海国金中心办公楼二期46层4609-10单元 </w:t>
            </w:r>
          </w:p>
        </w:tc>
      </w:tr>
      <w:tr w14:paraId="6218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0C7A4">
            <w:pPr>
              <w:pStyle w:val="8"/>
            </w:pPr>
            <w:r>
              <w:rPr>
                <w:rFonts w:hint="eastAsia"/>
              </w:rPr>
              <w:t xml:space="preserve">办公地址： </w:t>
            </w:r>
          </w:p>
        </w:tc>
        <w:tc>
          <w:tcPr>
            <w:tcW w:w="7440" w:type="dxa"/>
            <w:shd w:val="clear" w:color="auto" w:fill="auto"/>
          </w:tcPr>
          <w:p w14:paraId="7DD4F225">
            <w:pPr>
              <w:pStyle w:val="8"/>
            </w:pPr>
            <w:r>
              <w:rPr>
                <w:rFonts w:hint="eastAsia"/>
              </w:rPr>
              <w:t xml:space="preserve">北京市朝阳区建国门外大街21号北京国际俱乐部C座写字楼11层 </w:t>
            </w:r>
          </w:p>
        </w:tc>
      </w:tr>
      <w:tr w14:paraId="1B6F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3614D">
            <w:pPr>
              <w:pStyle w:val="8"/>
            </w:pPr>
            <w:r>
              <w:rPr>
                <w:rFonts w:hint="eastAsia"/>
              </w:rPr>
              <w:t xml:space="preserve">法定代表人： </w:t>
            </w:r>
          </w:p>
        </w:tc>
        <w:tc>
          <w:tcPr>
            <w:tcW w:w="7440" w:type="dxa"/>
            <w:shd w:val="clear" w:color="auto" w:fill="auto"/>
          </w:tcPr>
          <w:p w14:paraId="4F73E6BA">
            <w:pPr>
              <w:pStyle w:val="8"/>
            </w:pPr>
            <w:r>
              <w:rPr>
                <w:rFonts w:hint="eastAsia"/>
              </w:rPr>
              <w:t xml:space="preserve">赵学军 </w:t>
            </w:r>
          </w:p>
        </w:tc>
      </w:tr>
      <w:tr w14:paraId="54DA1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898B9">
            <w:pPr>
              <w:pStyle w:val="8"/>
            </w:pPr>
            <w:r>
              <w:rPr>
                <w:rFonts w:hint="eastAsia"/>
              </w:rPr>
              <w:t xml:space="preserve">联系人： </w:t>
            </w:r>
          </w:p>
        </w:tc>
        <w:tc>
          <w:tcPr>
            <w:tcW w:w="7440" w:type="dxa"/>
            <w:shd w:val="clear" w:color="auto" w:fill="auto"/>
          </w:tcPr>
          <w:p w14:paraId="7115150D">
            <w:pPr>
              <w:pStyle w:val="8"/>
            </w:pPr>
            <w:r>
              <w:rPr>
                <w:rFonts w:hint="eastAsia"/>
              </w:rPr>
              <w:t xml:space="preserve">余永键 </w:t>
            </w:r>
          </w:p>
        </w:tc>
      </w:tr>
      <w:tr w14:paraId="5148F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581A3">
            <w:pPr>
              <w:pStyle w:val="8"/>
            </w:pPr>
            <w:r>
              <w:rPr>
                <w:rFonts w:hint="eastAsia"/>
              </w:rPr>
              <w:t xml:space="preserve">电话： </w:t>
            </w:r>
          </w:p>
        </w:tc>
        <w:tc>
          <w:tcPr>
            <w:tcW w:w="7440" w:type="dxa"/>
            <w:shd w:val="clear" w:color="auto" w:fill="auto"/>
          </w:tcPr>
          <w:p w14:paraId="088176A0">
            <w:pPr>
              <w:pStyle w:val="8"/>
            </w:pPr>
            <w:r>
              <w:rPr>
                <w:rFonts w:hint="eastAsia"/>
              </w:rPr>
              <w:t xml:space="preserve">010-85097570 </w:t>
            </w:r>
          </w:p>
        </w:tc>
      </w:tr>
      <w:tr w14:paraId="1805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63A11">
            <w:pPr>
              <w:pStyle w:val="8"/>
            </w:pPr>
            <w:r>
              <w:rPr>
                <w:rFonts w:hint="eastAsia"/>
              </w:rPr>
              <w:t xml:space="preserve">传真： </w:t>
            </w:r>
          </w:p>
        </w:tc>
        <w:tc>
          <w:tcPr>
            <w:tcW w:w="7440" w:type="dxa"/>
            <w:shd w:val="clear" w:color="auto" w:fill="auto"/>
          </w:tcPr>
          <w:p w14:paraId="1500618A">
            <w:pPr>
              <w:pStyle w:val="8"/>
            </w:pPr>
            <w:r>
              <w:rPr>
                <w:rFonts w:hint="eastAsia"/>
              </w:rPr>
              <w:t xml:space="preserve">010-65215433 </w:t>
            </w:r>
          </w:p>
        </w:tc>
      </w:tr>
      <w:tr w14:paraId="7C8F6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43780">
            <w:pPr>
              <w:pStyle w:val="8"/>
            </w:pPr>
            <w:r>
              <w:rPr>
                <w:rFonts w:hint="eastAsia"/>
              </w:rPr>
              <w:t xml:space="preserve">客户服务电话： </w:t>
            </w:r>
          </w:p>
        </w:tc>
        <w:tc>
          <w:tcPr>
            <w:tcW w:w="7440" w:type="dxa"/>
            <w:shd w:val="clear" w:color="auto" w:fill="auto"/>
          </w:tcPr>
          <w:p w14:paraId="759F2147">
            <w:pPr>
              <w:pStyle w:val="8"/>
            </w:pPr>
            <w:r>
              <w:rPr>
                <w:rFonts w:hint="eastAsia"/>
              </w:rPr>
              <w:t xml:space="preserve">400-021-8850 </w:t>
            </w:r>
          </w:p>
        </w:tc>
      </w:tr>
      <w:tr w14:paraId="202F1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4D671">
            <w:pPr>
              <w:pStyle w:val="8"/>
            </w:pPr>
            <w:r>
              <w:rPr>
                <w:rFonts w:hint="eastAsia"/>
              </w:rPr>
              <w:t xml:space="preserve">网址： </w:t>
            </w:r>
          </w:p>
        </w:tc>
        <w:tc>
          <w:tcPr>
            <w:tcW w:w="7440" w:type="dxa"/>
            <w:shd w:val="clear" w:color="auto" w:fill="auto"/>
          </w:tcPr>
          <w:p w14:paraId="51133B56">
            <w:pPr>
              <w:pStyle w:val="8"/>
            </w:pPr>
            <w:r>
              <w:rPr>
                <w:rFonts w:hint="eastAsia"/>
              </w:rPr>
              <w:t xml:space="preserve">www.harvestwm.cn </w:t>
            </w:r>
          </w:p>
        </w:tc>
      </w:tr>
    </w:tbl>
    <w:p w14:paraId="13693E6C">
      <w:pPr>
        <w:pStyle w:val="8"/>
        <w:spacing w:before="0" w:beforeAutospacing="0" w:after="0" w:afterAutospacing="0" w:line="360" w:lineRule="auto"/>
        <w:ind w:firstLine="420"/>
        <w:rPr>
          <w:sz w:val="21"/>
          <w:szCs w:val="21"/>
        </w:rPr>
      </w:pPr>
      <w:r>
        <w:rPr>
          <w:rFonts w:hint="eastAsia"/>
          <w:b/>
          <w:bCs/>
          <w:sz w:val="21"/>
          <w:szCs w:val="21"/>
        </w:rPr>
        <w:t>(15)泛华普益基金销售有限公司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58F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F265B3">
            <w:pPr>
              <w:pStyle w:val="8"/>
            </w:pPr>
            <w:r>
              <w:rPr>
                <w:rFonts w:hint="eastAsia"/>
              </w:rPr>
              <w:t xml:space="preserve">注册地址： </w:t>
            </w:r>
          </w:p>
        </w:tc>
        <w:tc>
          <w:tcPr>
            <w:tcW w:w="7440" w:type="dxa"/>
            <w:shd w:val="clear" w:color="auto" w:fill="auto"/>
          </w:tcPr>
          <w:p w14:paraId="0657EFEB">
            <w:pPr>
              <w:pStyle w:val="8"/>
            </w:pPr>
            <w:r>
              <w:rPr>
                <w:rFonts w:hint="eastAsia"/>
              </w:rPr>
              <w:t xml:space="preserve">四川省成都市成华区建设路9号高地中心1101室 </w:t>
            </w:r>
          </w:p>
        </w:tc>
      </w:tr>
      <w:tr w14:paraId="6294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6431D">
            <w:pPr>
              <w:pStyle w:val="8"/>
            </w:pPr>
            <w:r>
              <w:rPr>
                <w:rFonts w:hint="eastAsia"/>
              </w:rPr>
              <w:t xml:space="preserve">办公地址： </w:t>
            </w:r>
          </w:p>
        </w:tc>
        <w:tc>
          <w:tcPr>
            <w:tcW w:w="7440" w:type="dxa"/>
            <w:shd w:val="clear" w:color="auto" w:fill="auto"/>
          </w:tcPr>
          <w:p w14:paraId="1B7C5044">
            <w:pPr>
              <w:pStyle w:val="8"/>
            </w:pPr>
            <w:r>
              <w:rPr>
                <w:rFonts w:hint="eastAsia"/>
              </w:rPr>
              <w:t xml:space="preserve">四川省成都市成华区建设路9号高地中心1101室 </w:t>
            </w:r>
          </w:p>
        </w:tc>
      </w:tr>
      <w:tr w14:paraId="5508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C45D98">
            <w:pPr>
              <w:pStyle w:val="8"/>
            </w:pPr>
            <w:r>
              <w:rPr>
                <w:rFonts w:hint="eastAsia"/>
              </w:rPr>
              <w:t xml:space="preserve">法定代表人： </w:t>
            </w:r>
          </w:p>
        </w:tc>
        <w:tc>
          <w:tcPr>
            <w:tcW w:w="7440" w:type="dxa"/>
            <w:shd w:val="clear" w:color="auto" w:fill="auto"/>
          </w:tcPr>
          <w:p w14:paraId="5EE8B46D">
            <w:pPr>
              <w:pStyle w:val="8"/>
            </w:pPr>
            <w:r>
              <w:rPr>
                <w:rFonts w:hint="eastAsia"/>
              </w:rPr>
              <w:t xml:space="preserve">于海锋 </w:t>
            </w:r>
          </w:p>
        </w:tc>
      </w:tr>
      <w:tr w14:paraId="4169B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56FD1">
            <w:pPr>
              <w:pStyle w:val="8"/>
            </w:pPr>
            <w:r>
              <w:rPr>
                <w:rFonts w:hint="eastAsia"/>
              </w:rPr>
              <w:t xml:space="preserve">联系人： </w:t>
            </w:r>
          </w:p>
        </w:tc>
        <w:tc>
          <w:tcPr>
            <w:tcW w:w="7440" w:type="dxa"/>
            <w:shd w:val="clear" w:color="auto" w:fill="auto"/>
          </w:tcPr>
          <w:p w14:paraId="7FE8F238">
            <w:pPr>
              <w:pStyle w:val="8"/>
            </w:pPr>
            <w:r>
              <w:rPr>
                <w:rFonts w:hint="eastAsia"/>
              </w:rPr>
              <w:t xml:space="preserve">邓鹏 </w:t>
            </w:r>
          </w:p>
        </w:tc>
      </w:tr>
      <w:tr w14:paraId="203C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A002F">
            <w:pPr>
              <w:pStyle w:val="8"/>
            </w:pPr>
            <w:r>
              <w:rPr>
                <w:rFonts w:hint="eastAsia"/>
              </w:rPr>
              <w:t xml:space="preserve">电话： </w:t>
            </w:r>
          </w:p>
        </w:tc>
        <w:tc>
          <w:tcPr>
            <w:tcW w:w="7440" w:type="dxa"/>
            <w:shd w:val="clear" w:color="auto" w:fill="auto"/>
          </w:tcPr>
          <w:p w14:paraId="08BA217B">
            <w:pPr>
              <w:pStyle w:val="8"/>
            </w:pPr>
            <w:r>
              <w:rPr>
                <w:rFonts w:hint="eastAsia"/>
              </w:rPr>
              <w:t xml:space="preserve">028-66980977 </w:t>
            </w:r>
          </w:p>
        </w:tc>
      </w:tr>
      <w:tr w14:paraId="32BDE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22379">
            <w:pPr>
              <w:pStyle w:val="8"/>
            </w:pPr>
            <w:r>
              <w:rPr>
                <w:rFonts w:hint="eastAsia"/>
              </w:rPr>
              <w:t xml:space="preserve">传真： </w:t>
            </w:r>
          </w:p>
        </w:tc>
        <w:tc>
          <w:tcPr>
            <w:tcW w:w="7440" w:type="dxa"/>
            <w:shd w:val="clear" w:color="auto" w:fill="auto"/>
          </w:tcPr>
          <w:p w14:paraId="51C3A453">
            <w:pPr>
              <w:pStyle w:val="8"/>
            </w:pPr>
            <w:r>
              <w:rPr>
                <w:rFonts w:hint="eastAsia"/>
              </w:rPr>
              <w:t xml:space="preserve">028-82000996-805 </w:t>
            </w:r>
          </w:p>
        </w:tc>
      </w:tr>
      <w:tr w14:paraId="11C6E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24A8D5">
            <w:pPr>
              <w:pStyle w:val="8"/>
            </w:pPr>
            <w:r>
              <w:rPr>
                <w:rFonts w:hint="eastAsia"/>
              </w:rPr>
              <w:t xml:space="preserve">客户服务电话： </w:t>
            </w:r>
          </w:p>
        </w:tc>
        <w:tc>
          <w:tcPr>
            <w:tcW w:w="7440" w:type="dxa"/>
            <w:shd w:val="clear" w:color="auto" w:fill="auto"/>
          </w:tcPr>
          <w:p w14:paraId="496A5C29">
            <w:pPr>
              <w:pStyle w:val="8"/>
            </w:pPr>
            <w:r>
              <w:rPr>
                <w:rFonts w:hint="eastAsia"/>
              </w:rPr>
              <w:t xml:space="preserve">028-84252474 </w:t>
            </w:r>
          </w:p>
        </w:tc>
      </w:tr>
      <w:tr w14:paraId="41DB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1432B">
            <w:pPr>
              <w:pStyle w:val="8"/>
            </w:pPr>
            <w:r>
              <w:rPr>
                <w:rFonts w:hint="eastAsia"/>
              </w:rPr>
              <w:t xml:space="preserve">网址： </w:t>
            </w:r>
          </w:p>
        </w:tc>
        <w:tc>
          <w:tcPr>
            <w:tcW w:w="7440" w:type="dxa"/>
            <w:shd w:val="clear" w:color="auto" w:fill="auto"/>
          </w:tcPr>
          <w:p w14:paraId="5EA9299E">
            <w:pPr>
              <w:pStyle w:val="8"/>
            </w:pPr>
            <w:r>
              <w:rPr>
                <w:rFonts w:hint="eastAsia"/>
              </w:rPr>
              <w:t xml:space="preserve">www.puyiwm.com </w:t>
            </w:r>
          </w:p>
        </w:tc>
      </w:tr>
    </w:tbl>
    <w:p w14:paraId="42C1C978">
      <w:pPr>
        <w:pStyle w:val="8"/>
        <w:spacing w:before="0" w:beforeAutospacing="0" w:after="0" w:afterAutospacing="0" w:line="360" w:lineRule="auto"/>
        <w:ind w:firstLine="420"/>
        <w:rPr>
          <w:sz w:val="21"/>
          <w:szCs w:val="21"/>
        </w:rPr>
      </w:pPr>
      <w:r>
        <w:rPr>
          <w:rFonts w:hint="eastAsia"/>
          <w:b/>
          <w:bCs/>
          <w:sz w:val="21"/>
          <w:szCs w:val="21"/>
        </w:rPr>
        <w:t>(16)宜信普泽（北京）基金销售有限公司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FB12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2AB3D">
            <w:pPr>
              <w:pStyle w:val="8"/>
            </w:pPr>
            <w:r>
              <w:rPr>
                <w:rFonts w:hint="eastAsia"/>
              </w:rPr>
              <w:t xml:space="preserve">注册地址： </w:t>
            </w:r>
          </w:p>
        </w:tc>
        <w:tc>
          <w:tcPr>
            <w:tcW w:w="7440" w:type="dxa"/>
            <w:shd w:val="clear" w:color="auto" w:fill="auto"/>
          </w:tcPr>
          <w:p w14:paraId="643089E5">
            <w:pPr>
              <w:pStyle w:val="8"/>
            </w:pPr>
            <w:r>
              <w:rPr>
                <w:rFonts w:hint="eastAsia"/>
              </w:rPr>
              <w:t xml:space="preserve">北京市朝阳区建国路88号9号楼15层1809 </w:t>
            </w:r>
          </w:p>
        </w:tc>
      </w:tr>
      <w:tr w14:paraId="171EF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32088">
            <w:pPr>
              <w:pStyle w:val="8"/>
            </w:pPr>
            <w:r>
              <w:rPr>
                <w:rFonts w:hint="eastAsia"/>
              </w:rPr>
              <w:t xml:space="preserve">办公地址： </w:t>
            </w:r>
          </w:p>
        </w:tc>
        <w:tc>
          <w:tcPr>
            <w:tcW w:w="7440" w:type="dxa"/>
            <w:shd w:val="clear" w:color="auto" w:fill="auto"/>
          </w:tcPr>
          <w:p w14:paraId="409EDB24">
            <w:pPr>
              <w:pStyle w:val="8"/>
            </w:pPr>
            <w:r>
              <w:rPr>
                <w:rFonts w:hint="eastAsia"/>
              </w:rPr>
              <w:t xml:space="preserve">北京市朝阳区建国路88号SOHO现代城C座18层1809 </w:t>
            </w:r>
          </w:p>
        </w:tc>
      </w:tr>
      <w:tr w14:paraId="6A787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396A14">
            <w:pPr>
              <w:pStyle w:val="8"/>
            </w:pPr>
            <w:r>
              <w:rPr>
                <w:rFonts w:hint="eastAsia"/>
              </w:rPr>
              <w:t xml:space="preserve">法定代表人： </w:t>
            </w:r>
          </w:p>
        </w:tc>
        <w:tc>
          <w:tcPr>
            <w:tcW w:w="7440" w:type="dxa"/>
            <w:shd w:val="clear" w:color="auto" w:fill="auto"/>
          </w:tcPr>
          <w:p w14:paraId="724FB249">
            <w:pPr>
              <w:pStyle w:val="8"/>
            </w:pPr>
            <w:r>
              <w:rPr>
                <w:rFonts w:hint="eastAsia"/>
              </w:rPr>
              <w:t xml:space="preserve">戎兵 </w:t>
            </w:r>
          </w:p>
        </w:tc>
      </w:tr>
      <w:tr w14:paraId="292DC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B072C">
            <w:pPr>
              <w:pStyle w:val="8"/>
            </w:pPr>
            <w:r>
              <w:rPr>
                <w:rFonts w:hint="eastAsia"/>
              </w:rPr>
              <w:t xml:space="preserve">联系人： </w:t>
            </w:r>
          </w:p>
        </w:tc>
        <w:tc>
          <w:tcPr>
            <w:tcW w:w="7440" w:type="dxa"/>
            <w:shd w:val="clear" w:color="auto" w:fill="auto"/>
          </w:tcPr>
          <w:p w14:paraId="5205335D">
            <w:pPr>
              <w:pStyle w:val="8"/>
            </w:pPr>
            <w:r>
              <w:rPr>
                <w:rFonts w:hint="eastAsia"/>
              </w:rPr>
              <w:t xml:space="preserve">程刚 </w:t>
            </w:r>
          </w:p>
        </w:tc>
      </w:tr>
      <w:tr w14:paraId="0391F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98C0A">
            <w:pPr>
              <w:pStyle w:val="8"/>
            </w:pPr>
            <w:r>
              <w:rPr>
                <w:rFonts w:hint="eastAsia"/>
              </w:rPr>
              <w:t xml:space="preserve">电话： </w:t>
            </w:r>
          </w:p>
        </w:tc>
        <w:tc>
          <w:tcPr>
            <w:tcW w:w="7440" w:type="dxa"/>
            <w:shd w:val="clear" w:color="auto" w:fill="auto"/>
          </w:tcPr>
          <w:p w14:paraId="6D5808F1">
            <w:pPr>
              <w:pStyle w:val="8"/>
            </w:pPr>
            <w:r>
              <w:rPr>
                <w:rFonts w:hint="eastAsia"/>
              </w:rPr>
              <w:t xml:space="preserve">010-52855713 </w:t>
            </w:r>
          </w:p>
        </w:tc>
      </w:tr>
      <w:tr w14:paraId="277F7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EC6F9">
            <w:pPr>
              <w:pStyle w:val="8"/>
            </w:pPr>
            <w:r>
              <w:rPr>
                <w:rFonts w:hint="eastAsia"/>
              </w:rPr>
              <w:t xml:space="preserve">传真： </w:t>
            </w:r>
          </w:p>
        </w:tc>
        <w:tc>
          <w:tcPr>
            <w:tcW w:w="7440" w:type="dxa"/>
            <w:shd w:val="clear" w:color="auto" w:fill="auto"/>
          </w:tcPr>
          <w:p w14:paraId="610E2BFE">
            <w:pPr>
              <w:pStyle w:val="8"/>
            </w:pPr>
            <w:r>
              <w:rPr>
                <w:rFonts w:hint="eastAsia"/>
              </w:rPr>
              <w:t xml:space="preserve">010-85894285 </w:t>
            </w:r>
          </w:p>
        </w:tc>
      </w:tr>
      <w:tr w14:paraId="59E48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24949">
            <w:pPr>
              <w:pStyle w:val="8"/>
            </w:pPr>
            <w:r>
              <w:rPr>
                <w:rFonts w:hint="eastAsia"/>
              </w:rPr>
              <w:t xml:space="preserve">客户服务电话： </w:t>
            </w:r>
          </w:p>
        </w:tc>
        <w:tc>
          <w:tcPr>
            <w:tcW w:w="7440" w:type="dxa"/>
            <w:shd w:val="clear" w:color="auto" w:fill="auto"/>
          </w:tcPr>
          <w:p w14:paraId="0BF2F8D5">
            <w:pPr>
              <w:pStyle w:val="8"/>
            </w:pPr>
            <w:r>
              <w:rPr>
                <w:rFonts w:hint="eastAsia"/>
              </w:rPr>
              <w:t xml:space="preserve">400-609-9200 </w:t>
            </w:r>
          </w:p>
        </w:tc>
      </w:tr>
      <w:tr w14:paraId="188BB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3C76D">
            <w:pPr>
              <w:pStyle w:val="8"/>
            </w:pPr>
            <w:r>
              <w:rPr>
                <w:rFonts w:hint="eastAsia"/>
              </w:rPr>
              <w:t xml:space="preserve">网址： </w:t>
            </w:r>
          </w:p>
        </w:tc>
        <w:tc>
          <w:tcPr>
            <w:tcW w:w="7440" w:type="dxa"/>
            <w:shd w:val="clear" w:color="auto" w:fill="auto"/>
          </w:tcPr>
          <w:p w14:paraId="10786D3F">
            <w:pPr>
              <w:pStyle w:val="8"/>
            </w:pPr>
            <w:r>
              <w:rPr>
                <w:rFonts w:hint="eastAsia"/>
              </w:rPr>
              <w:t xml:space="preserve">http://www.yixinfund.com </w:t>
            </w:r>
          </w:p>
        </w:tc>
      </w:tr>
    </w:tbl>
    <w:p w14:paraId="25A166DE">
      <w:pPr>
        <w:pStyle w:val="8"/>
        <w:spacing w:before="0" w:beforeAutospacing="0" w:after="0" w:afterAutospacing="0" w:line="360" w:lineRule="auto"/>
        <w:ind w:firstLine="420"/>
        <w:rPr>
          <w:sz w:val="21"/>
          <w:szCs w:val="21"/>
        </w:rPr>
      </w:pPr>
      <w:r>
        <w:rPr>
          <w:rFonts w:hint="eastAsia"/>
          <w:b/>
          <w:bCs/>
          <w:sz w:val="21"/>
          <w:szCs w:val="21"/>
        </w:rPr>
        <w:t>(17)南京苏宁基金销售有限公司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2CE9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53C9F2">
            <w:pPr>
              <w:pStyle w:val="8"/>
            </w:pPr>
            <w:r>
              <w:rPr>
                <w:rFonts w:hint="eastAsia"/>
              </w:rPr>
              <w:t xml:space="preserve">注册地址： </w:t>
            </w:r>
          </w:p>
        </w:tc>
        <w:tc>
          <w:tcPr>
            <w:tcW w:w="7440" w:type="dxa"/>
            <w:shd w:val="clear" w:color="auto" w:fill="auto"/>
          </w:tcPr>
          <w:p w14:paraId="014DF047">
            <w:pPr>
              <w:pStyle w:val="8"/>
            </w:pPr>
            <w:r>
              <w:rPr>
                <w:rFonts w:hint="eastAsia"/>
              </w:rPr>
              <w:t xml:space="preserve">南京市玄武区苏宁大道1-5号 </w:t>
            </w:r>
          </w:p>
        </w:tc>
      </w:tr>
      <w:tr w14:paraId="7D6A7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90E8E">
            <w:pPr>
              <w:pStyle w:val="8"/>
            </w:pPr>
            <w:r>
              <w:rPr>
                <w:rFonts w:hint="eastAsia"/>
              </w:rPr>
              <w:t xml:space="preserve">办公地址： </w:t>
            </w:r>
          </w:p>
        </w:tc>
        <w:tc>
          <w:tcPr>
            <w:tcW w:w="7440" w:type="dxa"/>
            <w:shd w:val="clear" w:color="auto" w:fill="auto"/>
          </w:tcPr>
          <w:p w14:paraId="08D97F4B">
            <w:pPr>
              <w:pStyle w:val="8"/>
            </w:pPr>
            <w:r>
              <w:rPr>
                <w:rFonts w:hint="eastAsia"/>
              </w:rPr>
              <w:t xml:space="preserve">南京市玄武区苏宁大道1-5号 </w:t>
            </w:r>
          </w:p>
        </w:tc>
      </w:tr>
      <w:tr w14:paraId="16CBF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6EA5A">
            <w:pPr>
              <w:pStyle w:val="8"/>
            </w:pPr>
            <w:r>
              <w:rPr>
                <w:rFonts w:hint="eastAsia"/>
              </w:rPr>
              <w:t xml:space="preserve">法定代表人： </w:t>
            </w:r>
          </w:p>
        </w:tc>
        <w:tc>
          <w:tcPr>
            <w:tcW w:w="7440" w:type="dxa"/>
            <w:shd w:val="clear" w:color="auto" w:fill="auto"/>
          </w:tcPr>
          <w:p w14:paraId="70053265">
            <w:pPr>
              <w:pStyle w:val="8"/>
            </w:pPr>
            <w:r>
              <w:rPr>
                <w:rFonts w:hint="eastAsia"/>
              </w:rPr>
              <w:t xml:space="preserve">钱燕飞 </w:t>
            </w:r>
          </w:p>
        </w:tc>
      </w:tr>
      <w:tr w14:paraId="0B7B0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18CB6">
            <w:pPr>
              <w:pStyle w:val="8"/>
            </w:pPr>
            <w:r>
              <w:rPr>
                <w:rFonts w:hint="eastAsia"/>
              </w:rPr>
              <w:t xml:space="preserve">联系人： </w:t>
            </w:r>
          </w:p>
        </w:tc>
        <w:tc>
          <w:tcPr>
            <w:tcW w:w="7440" w:type="dxa"/>
            <w:shd w:val="clear" w:color="auto" w:fill="auto"/>
          </w:tcPr>
          <w:p w14:paraId="71D6359C">
            <w:pPr>
              <w:pStyle w:val="8"/>
            </w:pPr>
            <w:r>
              <w:rPr>
                <w:rFonts w:hint="eastAsia"/>
              </w:rPr>
              <w:t xml:space="preserve">喻明明 </w:t>
            </w:r>
          </w:p>
        </w:tc>
      </w:tr>
      <w:tr w14:paraId="2E491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8F991">
            <w:pPr>
              <w:pStyle w:val="8"/>
            </w:pPr>
            <w:r>
              <w:rPr>
                <w:rFonts w:hint="eastAsia"/>
              </w:rPr>
              <w:t xml:space="preserve">电话： </w:t>
            </w:r>
          </w:p>
        </w:tc>
        <w:tc>
          <w:tcPr>
            <w:tcW w:w="7440" w:type="dxa"/>
            <w:shd w:val="clear" w:color="auto" w:fill="auto"/>
          </w:tcPr>
          <w:p w14:paraId="7737F698">
            <w:pPr>
              <w:pStyle w:val="8"/>
            </w:pPr>
            <w:r>
              <w:rPr>
                <w:rFonts w:hint="eastAsia"/>
              </w:rPr>
              <w:t xml:space="preserve">025-66996699-884131 </w:t>
            </w:r>
          </w:p>
        </w:tc>
      </w:tr>
      <w:tr w14:paraId="0F34D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2C487">
            <w:pPr>
              <w:pStyle w:val="8"/>
            </w:pPr>
            <w:r>
              <w:rPr>
                <w:rFonts w:hint="eastAsia"/>
              </w:rPr>
              <w:t xml:space="preserve">传真： </w:t>
            </w:r>
          </w:p>
        </w:tc>
        <w:tc>
          <w:tcPr>
            <w:tcW w:w="7440" w:type="dxa"/>
            <w:shd w:val="clear" w:color="auto" w:fill="auto"/>
          </w:tcPr>
          <w:p w14:paraId="48CFF7E6">
            <w:pPr>
              <w:pStyle w:val="8"/>
            </w:pPr>
            <w:r>
              <w:rPr>
                <w:rFonts w:hint="eastAsia"/>
              </w:rPr>
              <w:t xml:space="preserve">025-66996699-884131 </w:t>
            </w:r>
          </w:p>
        </w:tc>
      </w:tr>
      <w:tr w14:paraId="71E7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31487">
            <w:pPr>
              <w:pStyle w:val="8"/>
            </w:pPr>
            <w:r>
              <w:rPr>
                <w:rFonts w:hint="eastAsia"/>
              </w:rPr>
              <w:t xml:space="preserve">客户服务电话： </w:t>
            </w:r>
          </w:p>
        </w:tc>
        <w:tc>
          <w:tcPr>
            <w:tcW w:w="7440" w:type="dxa"/>
            <w:shd w:val="clear" w:color="auto" w:fill="auto"/>
          </w:tcPr>
          <w:p w14:paraId="38743A02">
            <w:pPr>
              <w:pStyle w:val="8"/>
            </w:pPr>
            <w:r>
              <w:rPr>
                <w:rFonts w:hint="eastAsia"/>
              </w:rPr>
              <w:t xml:space="preserve">95177 </w:t>
            </w:r>
          </w:p>
        </w:tc>
      </w:tr>
      <w:tr w14:paraId="3DB0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4D408">
            <w:pPr>
              <w:pStyle w:val="8"/>
            </w:pPr>
            <w:r>
              <w:rPr>
                <w:rFonts w:hint="eastAsia"/>
              </w:rPr>
              <w:t xml:space="preserve">网址： </w:t>
            </w:r>
          </w:p>
        </w:tc>
        <w:tc>
          <w:tcPr>
            <w:tcW w:w="7440" w:type="dxa"/>
            <w:shd w:val="clear" w:color="auto" w:fill="auto"/>
          </w:tcPr>
          <w:p w14:paraId="77E0B5E5">
            <w:pPr>
              <w:pStyle w:val="8"/>
            </w:pPr>
            <w:r>
              <w:rPr>
                <w:rFonts w:hint="eastAsia"/>
              </w:rPr>
              <w:t xml:space="preserve">www.snjijin.com </w:t>
            </w:r>
          </w:p>
        </w:tc>
      </w:tr>
    </w:tbl>
    <w:p w14:paraId="7672A08A">
      <w:pPr>
        <w:pStyle w:val="8"/>
        <w:spacing w:before="0" w:beforeAutospacing="0" w:after="0" w:afterAutospacing="0" w:line="360" w:lineRule="auto"/>
        <w:ind w:firstLine="420"/>
        <w:rPr>
          <w:sz w:val="21"/>
          <w:szCs w:val="21"/>
        </w:rPr>
      </w:pPr>
      <w:r>
        <w:rPr>
          <w:rFonts w:hint="eastAsia"/>
          <w:b/>
          <w:bCs/>
          <w:sz w:val="21"/>
          <w:szCs w:val="21"/>
        </w:rPr>
        <w:t>(18)北京新浪仓石基金销售有限公司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958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F9231">
            <w:pPr>
              <w:pStyle w:val="8"/>
            </w:pPr>
            <w:r>
              <w:rPr>
                <w:rFonts w:hint="eastAsia"/>
              </w:rPr>
              <w:t xml:space="preserve">注册地址： </w:t>
            </w:r>
          </w:p>
        </w:tc>
        <w:tc>
          <w:tcPr>
            <w:tcW w:w="7440" w:type="dxa"/>
            <w:shd w:val="clear" w:color="auto" w:fill="auto"/>
          </w:tcPr>
          <w:p w14:paraId="38897175">
            <w:pPr>
              <w:pStyle w:val="8"/>
            </w:pPr>
            <w:r>
              <w:rPr>
                <w:rFonts w:hint="eastAsia"/>
              </w:rPr>
              <w:t xml:space="preserve">北京市海淀区东北旺西路中关村软件园二期（西扩）N-1、N-2地块新浪总部科研楼5层518室 </w:t>
            </w:r>
          </w:p>
        </w:tc>
      </w:tr>
      <w:tr w14:paraId="77EC8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B3B92">
            <w:pPr>
              <w:pStyle w:val="8"/>
            </w:pPr>
            <w:r>
              <w:rPr>
                <w:rFonts w:hint="eastAsia"/>
              </w:rPr>
              <w:t xml:space="preserve">办公地址： </w:t>
            </w:r>
          </w:p>
        </w:tc>
        <w:tc>
          <w:tcPr>
            <w:tcW w:w="7440" w:type="dxa"/>
            <w:shd w:val="clear" w:color="auto" w:fill="auto"/>
          </w:tcPr>
          <w:p w14:paraId="73813B1C">
            <w:pPr>
              <w:pStyle w:val="8"/>
            </w:pPr>
            <w:r>
              <w:rPr>
                <w:rFonts w:hint="eastAsia"/>
              </w:rPr>
              <w:t xml:space="preserve">北京市海淀区西北旺东路10号院东区3号楼为明大厦C座 </w:t>
            </w:r>
          </w:p>
        </w:tc>
      </w:tr>
      <w:tr w14:paraId="56685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9E288">
            <w:pPr>
              <w:pStyle w:val="8"/>
            </w:pPr>
            <w:r>
              <w:rPr>
                <w:rFonts w:hint="eastAsia"/>
              </w:rPr>
              <w:t xml:space="preserve">法定代表人： </w:t>
            </w:r>
          </w:p>
        </w:tc>
        <w:tc>
          <w:tcPr>
            <w:tcW w:w="7440" w:type="dxa"/>
            <w:shd w:val="clear" w:color="auto" w:fill="auto"/>
          </w:tcPr>
          <w:p w14:paraId="280C924C">
            <w:pPr>
              <w:pStyle w:val="8"/>
            </w:pPr>
            <w:r>
              <w:rPr>
                <w:rFonts w:hint="eastAsia"/>
              </w:rPr>
              <w:t xml:space="preserve">赵芯蕊 </w:t>
            </w:r>
          </w:p>
        </w:tc>
      </w:tr>
      <w:tr w14:paraId="04DF0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CD97A">
            <w:pPr>
              <w:pStyle w:val="8"/>
            </w:pPr>
            <w:r>
              <w:rPr>
                <w:rFonts w:hint="eastAsia"/>
              </w:rPr>
              <w:t xml:space="preserve">联系人： </w:t>
            </w:r>
          </w:p>
        </w:tc>
        <w:tc>
          <w:tcPr>
            <w:tcW w:w="7440" w:type="dxa"/>
            <w:shd w:val="clear" w:color="auto" w:fill="auto"/>
          </w:tcPr>
          <w:p w14:paraId="3178F7BE">
            <w:pPr>
              <w:pStyle w:val="8"/>
            </w:pPr>
            <w:r>
              <w:rPr>
                <w:rFonts w:hint="eastAsia"/>
              </w:rPr>
              <w:t xml:space="preserve">赵芯蕊 </w:t>
            </w:r>
          </w:p>
        </w:tc>
      </w:tr>
      <w:tr w14:paraId="7F031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FA4D9">
            <w:pPr>
              <w:pStyle w:val="8"/>
            </w:pPr>
            <w:r>
              <w:rPr>
                <w:rFonts w:hint="eastAsia"/>
              </w:rPr>
              <w:t xml:space="preserve">电话： </w:t>
            </w:r>
          </w:p>
        </w:tc>
        <w:tc>
          <w:tcPr>
            <w:tcW w:w="7440" w:type="dxa"/>
            <w:shd w:val="clear" w:color="auto" w:fill="auto"/>
          </w:tcPr>
          <w:p w14:paraId="0AF1BDD1">
            <w:pPr>
              <w:pStyle w:val="8"/>
            </w:pPr>
            <w:r>
              <w:rPr>
                <w:rFonts w:hint="eastAsia"/>
              </w:rPr>
              <w:t xml:space="preserve">010-62675768 </w:t>
            </w:r>
          </w:p>
        </w:tc>
      </w:tr>
      <w:tr w14:paraId="47D0F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CB878A">
            <w:pPr>
              <w:pStyle w:val="8"/>
            </w:pPr>
            <w:r>
              <w:rPr>
                <w:rFonts w:hint="eastAsia"/>
              </w:rPr>
              <w:t xml:space="preserve">传真： </w:t>
            </w:r>
          </w:p>
        </w:tc>
        <w:tc>
          <w:tcPr>
            <w:tcW w:w="7440" w:type="dxa"/>
            <w:shd w:val="clear" w:color="auto" w:fill="auto"/>
          </w:tcPr>
          <w:p w14:paraId="7F0E5412">
            <w:pPr>
              <w:pStyle w:val="8"/>
            </w:pPr>
            <w:r>
              <w:rPr>
                <w:rFonts w:hint="eastAsia"/>
              </w:rPr>
              <w:t xml:space="preserve">010-62676582 </w:t>
            </w:r>
          </w:p>
        </w:tc>
      </w:tr>
      <w:tr w14:paraId="42FB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DE277">
            <w:pPr>
              <w:pStyle w:val="8"/>
            </w:pPr>
            <w:r>
              <w:rPr>
                <w:rFonts w:hint="eastAsia"/>
              </w:rPr>
              <w:t xml:space="preserve">客户服务电话： </w:t>
            </w:r>
          </w:p>
        </w:tc>
        <w:tc>
          <w:tcPr>
            <w:tcW w:w="7440" w:type="dxa"/>
            <w:shd w:val="clear" w:color="auto" w:fill="auto"/>
          </w:tcPr>
          <w:p w14:paraId="49DEF888">
            <w:pPr>
              <w:pStyle w:val="8"/>
            </w:pPr>
            <w:r>
              <w:rPr>
                <w:rFonts w:hint="eastAsia"/>
              </w:rPr>
              <w:t xml:space="preserve">010-62675369 </w:t>
            </w:r>
          </w:p>
        </w:tc>
      </w:tr>
      <w:tr w14:paraId="311D7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9068B">
            <w:pPr>
              <w:pStyle w:val="8"/>
            </w:pPr>
            <w:r>
              <w:rPr>
                <w:rFonts w:hint="eastAsia"/>
              </w:rPr>
              <w:t xml:space="preserve">网址： </w:t>
            </w:r>
          </w:p>
        </w:tc>
        <w:tc>
          <w:tcPr>
            <w:tcW w:w="7440" w:type="dxa"/>
            <w:shd w:val="clear" w:color="auto" w:fill="auto"/>
          </w:tcPr>
          <w:p w14:paraId="6074C611">
            <w:pPr>
              <w:pStyle w:val="8"/>
            </w:pPr>
            <w:r>
              <w:rPr>
                <w:rFonts w:hint="eastAsia"/>
              </w:rPr>
              <w:t xml:space="preserve">www.xincai.com </w:t>
            </w:r>
          </w:p>
        </w:tc>
      </w:tr>
    </w:tbl>
    <w:p w14:paraId="4DC1A946">
      <w:pPr>
        <w:pStyle w:val="8"/>
        <w:spacing w:before="0" w:beforeAutospacing="0" w:after="0" w:afterAutospacing="0" w:line="360" w:lineRule="auto"/>
        <w:ind w:firstLine="420"/>
        <w:rPr>
          <w:sz w:val="21"/>
          <w:szCs w:val="21"/>
        </w:rPr>
      </w:pPr>
      <w:r>
        <w:rPr>
          <w:rFonts w:hint="eastAsia"/>
          <w:b/>
          <w:bCs/>
          <w:sz w:val="21"/>
          <w:szCs w:val="21"/>
        </w:rPr>
        <w:t>(19)上海万得基金销售有限公司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0B2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6555E">
            <w:pPr>
              <w:pStyle w:val="8"/>
            </w:pPr>
            <w:r>
              <w:rPr>
                <w:rFonts w:hint="eastAsia"/>
              </w:rPr>
              <w:t xml:space="preserve">注册地址： </w:t>
            </w:r>
          </w:p>
        </w:tc>
        <w:tc>
          <w:tcPr>
            <w:tcW w:w="7440" w:type="dxa"/>
            <w:shd w:val="clear" w:color="auto" w:fill="auto"/>
          </w:tcPr>
          <w:p w14:paraId="416D0BD8">
            <w:pPr>
              <w:pStyle w:val="8"/>
            </w:pPr>
            <w:r>
              <w:rPr>
                <w:rFonts w:hint="eastAsia"/>
              </w:rPr>
              <w:t xml:space="preserve">中国（上海）自由贸易试验区福山路33号11楼B座 </w:t>
            </w:r>
          </w:p>
        </w:tc>
      </w:tr>
      <w:tr w14:paraId="7B9A6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BCE7C">
            <w:pPr>
              <w:pStyle w:val="8"/>
            </w:pPr>
            <w:r>
              <w:rPr>
                <w:rFonts w:hint="eastAsia"/>
              </w:rPr>
              <w:t xml:space="preserve">办公地址： </w:t>
            </w:r>
          </w:p>
        </w:tc>
        <w:tc>
          <w:tcPr>
            <w:tcW w:w="7440" w:type="dxa"/>
            <w:shd w:val="clear" w:color="auto" w:fill="auto"/>
          </w:tcPr>
          <w:p w14:paraId="4246FF70">
            <w:pPr>
              <w:pStyle w:val="8"/>
            </w:pPr>
            <w:r>
              <w:rPr>
                <w:rFonts w:hint="eastAsia"/>
              </w:rPr>
              <w:t xml:space="preserve">上海市浦东新区浦明路1500号万得大厦11楼 </w:t>
            </w:r>
          </w:p>
        </w:tc>
      </w:tr>
      <w:tr w14:paraId="0703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DD117">
            <w:pPr>
              <w:pStyle w:val="8"/>
            </w:pPr>
            <w:r>
              <w:rPr>
                <w:rFonts w:hint="eastAsia"/>
              </w:rPr>
              <w:t xml:space="preserve">法定代表人： </w:t>
            </w:r>
          </w:p>
        </w:tc>
        <w:tc>
          <w:tcPr>
            <w:tcW w:w="7440" w:type="dxa"/>
            <w:shd w:val="clear" w:color="auto" w:fill="auto"/>
          </w:tcPr>
          <w:p w14:paraId="74B40329">
            <w:pPr>
              <w:pStyle w:val="8"/>
            </w:pPr>
            <w:r>
              <w:rPr>
                <w:rFonts w:hint="eastAsia"/>
              </w:rPr>
              <w:t xml:space="preserve">王廷富 </w:t>
            </w:r>
          </w:p>
        </w:tc>
      </w:tr>
      <w:tr w14:paraId="29129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CB256">
            <w:pPr>
              <w:pStyle w:val="8"/>
            </w:pPr>
            <w:r>
              <w:rPr>
                <w:rFonts w:hint="eastAsia"/>
              </w:rPr>
              <w:t xml:space="preserve">联系人： </w:t>
            </w:r>
          </w:p>
        </w:tc>
        <w:tc>
          <w:tcPr>
            <w:tcW w:w="7440" w:type="dxa"/>
            <w:shd w:val="clear" w:color="auto" w:fill="auto"/>
          </w:tcPr>
          <w:p w14:paraId="710DAB40">
            <w:pPr>
              <w:pStyle w:val="8"/>
            </w:pPr>
            <w:r>
              <w:rPr>
                <w:rFonts w:hint="eastAsia"/>
              </w:rPr>
              <w:t xml:space="preserve">姜吉灵 </w:t>
            </w:r>
          </w:p>
        </w:tc>
      </w:tr>
      <w:tr w14:paraId="36F1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A31B2">
            <w:pPr>
              <w:pStyle w:val="8"/>
            </w:pPr>
            <w:r>
              <w:rPr>
                <w:rFonts w:hint="eastAsia"/>
              </w:rPr>
              <w:t xml:space="preserve">电话： </w:t>
            </w:r>
          </w:p>
        </w:tc>
        <w:tc>
          <w:tcPr>
            <w:tcW w:w="7440" w:type="dxa"/>
            <w:shd w:val="clear" w:color="auto" w:fill="auto"/>
          </w:tcPr>
          <w:p w14:paraId="03C1EE9F">
            <w:pPr>
              <w:pStyle w:val="8"/>
            </w:pPr>
            <w:r>
              <w:rPr>
                <w:rFonts w:hint="eastAsia"/>
              </w:rPr>
              <w:t xml:space="preserve">021-5132 7185 </w:t>
            </w:r>
          </w:p>
        </w:tc>
      </w:tr>
      <w:tr w14:paraId="2724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EAF1E">
            <w:pPr>
              <w:pStyle w:val="8"/>
            </w:pPr>
            <w:r>
              <w:rPr>
                <w:rFonts w:hint="eastAsia"/>
              </w:rPr>
              <w:t xml:space="preserve">传真： </w:t>
            </w:r>
          </w:p>
        </w:tc>
        <w:tc>
          <w:tcPr>
            <w:tcW w:w="7440" w:type="dxa"/>
            <w:shd w:val="clear" w:color="auto" w:fill="auto"/>
          </w:tcPr>
          <w:p w14:paraId="0B78B307">
            <w:pPr>
              <w:pStyle w:val="8"/>
            </w:pPr>
            <w:r>
              <w:rPr>
                <w:rFonts w:hint="eastAsia"/>
              </w:rPr>
              <w:t xml:space="preserve">021-6888 2281 </w:t>
            </w:r>
          </w:p>
        </w:tc>
      </w:tr>
      <w:tr w14:paraId="202BC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0CEC9">
            <w:pPr>
              <w:pStyle w:val="8"/>
            </w:pPr>
            <w:r>
              <w:rPr>
                <w:rFonts w:hint="eastAsia"/>
              </w:rPr>
              <w:t xml:space="preserve">客户服务电话： </w:t>
            </w:r>
          </w:p>
        </w:tc>
        <w:tc>
          <w:tcPr>
            <w:tcW w:w="7440" w:type="dxa"/>
            <w:shd w:val="clear" w:color="auto" w:fill="auto"/>
          </w:tcPr>
          <w:p w14:paraId="3485443C">
            <w:pPr>
              <w:pStyle w:val="8"/>
            </w:pPr>
            <w:r>
              <w:rPr>
                <w:rFonts w:hint="eastAsia"/>
              </w:rPr>
              <w:t xml:space="preserve">400-821-0203 </w:t>
            </w:r>
          </w:p>
        </w:tc>
      </w:tr>
      <w:tr w14:paraId="4D2E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30060">
            <w:pPr>
              <w:pStyle w:val="8"/>
            </w:pPr>
            <w:r>
              <w:rPr>
                <w:rFonts w:hint="eastAsia"/>
              </w:rPr>
              <w:t xml:space="preserve">网址： </w:t>
            </w:r>
          </w:p>
        </w:tc>
        <w:tc>
          <w:tcPr>
            <w:tcW w:w="7440" w:type="dxa"/>
            <w:shd w:val="clear" w:color="auto" w:fill="auto"/>
          </w:tcPr>
          <w:p w14:paraId="6E635AD3">
            <w:pPr>
              <w:pStyle w:val="8"/>
            </w:pPr>
            <w:r>
              <w:rPr>
                <w:rFonts w:hint="eastAsia"/>
              </w:rPr>
              <w:t xml:space="preserve">www.520fund.com.cn </w:t>
            </w:r>
          </w:p>
        </w:tc>
      </w:tr>
    </w:tbl>
    <w:p w14:paraId="3813B6C5">
      <w:pPr>
        <w:pStyle w:val="8"/>
        <w:spacing w:before="0" w:beforeAutospacing="0" w:after="0" w:afterAutospacing="0" w:line="360" w:lineRule="auto"/>
        <w:ind w:firstLine="420"/>
        <w:rPr>
          <w:sz w:val="21"/>
          <w:szCs w:val="21"/>
        </w:rPr>
      </w:pPr>
      <w:r>
        <w:rPr>
          <w:rFonts w:hint="eastAsia"/>
          <w:b/>
          <w:bCs/>
          <w:sz w:val="21"/>
          <w:szCs w:val="21"/>
        </w:rPr>
        <w:t>(20)上海联泰基金销售有限公司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7F1C5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27A29">
            <w:pPr>
              <w:pStyle w:val="8"/>
            </w:pPr>
            <w:r>
              <w:rPr>
                <w:rFonts w:hint="eastAsia"/>
              </w:rPr>
              <w:t xml:space="preserve">注册地址： </w:t>
            </w:r>
          </w:p>
        </w:tc>
        <w:tc>
          <w:tcPr>
            <w:tcW w:w="7440" w:type="dxa"/>
            <w:shd w:val="clear" w:color="auto" w:fill="auto"/>
          </w:tcPr>
          <w:p w14:paraId="75A3B7EB">
            <w:pPr>
              <w:pStyle w:val="8"/>
            </w:pPr>
            <w:r>
              <w:rPr>
                <w:rFonts w:hint="eastAsia"/>
              </w:rPr>
              <w:t xml:space="preserve">上海市普陀区兰溪路900弄15号526室 </w:t>
            </w:r>
          </w:p>
        </w:tc>
      </w:tr>
      <w:tr w14:paraId="3DA2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07DCF1">
            <w:pPr>
              <w:pStyle w:val="8"/>
            </w:pPr>
            <w:r>
              <w:rPr>
                <w:rFonts w:hint="eastAsia"/>
              </w:rPr>
              <w:t xml:space="preserve">办公地址： </w:t>
            </w:r>
          </w:p>
        </w:tc>
        <w:tc>
          <w:tcPr>
            <w:tcW w:w="7440" w:type="dxa"/>
            <w:shd w:val="clear" w:color="auto" w:fill="auto"/>
          </w:tcPr>
          <w:p w14:paraId="001CC849">
            <w:pPr>
              <w:pStyle w:val="8"/>
            </w:pPr>
            <w:r>
              <w:rPr>
                <w:rFonts w:hint="eastAsia"/>
              </w:rPr>
              <w:t xml:space="preserve">上海市虹口区溧阳路735号2幢3层 </w:t>
            </w:r>
          </w:p>
        </w:tc>
      </w:tr>
      <w:tr w14:paraId="4BF8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09055">
            <w:pPr>
              <w:pStyle w:val="8"/>
            </w:pPr>
            <w:r>
              <w:rPr>
                <w:rFonts w:hint="eastAsia"/>
              </w:rPr>
              <w:t xml:space="preserve">法定代表人： </w:t>
            </w:r>
          </w:p>
        </w:tc>
        <w:tc>
          <w:tcPr>
            <w:tcW w:w="7440" w:type="dxa"/>
            <w:shd w:val="clear" w:color="auto" w:fill="auto"/>
          </w:tcPr>
          <w:p w14:paraId="0A5EB220">
            <w:pPr>
              <w:pStyle w:val="8"/>
            </w:pPr>
            <w:r>
              <w:rPr>
                <w:rFonts w:hint="eastAsia"/>
              </w:rPr>
              <w:t xml:space="preserve">尹彬彬 </w:t>
            </w:r>
          </w:p>
        </w:tc>
      </w:tr>
      <w:tr w14:paraId="5310D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D9BDF">
            <w:pPr>
              <w:pStyle w:val="8"/>
            </w:pPr>
            <w:r>
              <w:rPr>
                <w:rFonts w:hint="eastAsia"/>
              </w:rPr>
              <w:t xml:space="preserve">联系人： </w:t>
            </w:r>
          </w:p>
        </w:tc>
        <w:tc>
          <w:tcPr>
            <w:tcW w:w="7440" w:type="dxa"/>
            <w:shd w:val="clear" w:color="auto" w:fill="auto"/>
          </w:tcPr>
          <w:p w14:paraId="75BD0DDE">
            <w:pPr>
              <w:pStyle w:val="8"/>
            </w:pPr>
            <w:r>
              <w:rPr>
                <w:rFonts w:hint="eastAsia"/>
              </w:rPr>
              <w:t xml:space="preserve">兰敏 </w:t>
            </w:r>
          </w:p>
        </w:tc>
      </w:tr>
      <w:tr w14:paraId="416E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2CAFA">
            <w:pPr>
              <w:pStyle w:val="8"/>
            </w:pPr>
            <w:r>
              <w:rPr>
                <w:rFonts w:hint="eastAsia"/>
              </w:rPr>
              <w:t xml:space="preserve">电话： </w:t>
            </w:r>
          </w:p>
        </w:tc>
        <w:tc>
          <w:tcPr>
            <w:tcW w:w="7440" w:type="dxa"/>
            <w:shd w:val="clear" w:color="auto" w:fill="auto"/>
          </w:tcPr>
          <w:p w14:paraId="1435682B">
            <w:pPr>
              <w:pStyle w:val="8"/>
            </w:pPr>
            <w:r>
              <w:rPr>
                <w:rFonts w:hint="eastAsia"/>
              </w:rPr>
              <w:t xml:space="preserve">021-62680166 </w:t>
            </w:r>
          </w:p>
        </w:tc>
      </w:tr>
      <w:tr w14:paraId="22DBC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3713E">
            <w:pPr>
              <w:pStyle w:val="8"/>
            </w:pPr>
            <w:r>
              <w:rPr>
                <w:rFonts w:hint="eastAsia"/>
              </w:rPr>
              <w:t xml:space="preserve">传真： </w:t>
            </w:r>
          </w:p>
        </w:tc>
        <w:tc>
          <w:tcPr>
            <w:tcW w:w="7440" w:type="dxa"/>
            <w:shd w:val="clear" w:color="auto" w:fill="auto"/>
          </w:tcPr>
          <w:p w14:paraId="0921F449">
            <w:pPr>
              <w:pStyle w:val="8"/>
            </w:pPr>
            <w:r>
              <w:rPr>
                <w:rFonts w:hint="eastAsia"/>
              </w:rPr>
              <w:t xml:space="preserve">021-52975270 </w:t>
            </w:r>
          </w:p>
        </w:tc>
      </w:tr>
      <w:tr w14:paraId="006CC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39924">
            <w:pPr>
              <w:pStyle w:val="8"/>
            </w:pPr>
            <w:r>
              <w:rPr>
                <w:rFonts w:hint="eastAsia"/>
              </w:rPr>
              <w:t xml:space="preserve">客户服务电话： </w:t>
            </w:r>
          </w:p>
        </w:tc>
        <w:tc>
          <w:tcPr>
            <w:tcW w:w="7440" w:type="dxa"/>
            <w:shd w:val="clear" w:color="auto" w:fill="auto"/>
          </w:tcPr>
          <w:p w14:paraId="18A21924">
            <w:pPr>
              <w:pStyle w:val="8"/>
            </w:pPr>
            <w:r>
              <w:rPr>
                <w:rFonts w:hint="eastAsia"/>
              </w:rPr>
              <w:t xml:space="preserve">400-118-1188 </w:t>
            </w:r>
          </w:p>
        </w:tc>
      </w:tr>
      <w:tr w14:paraId="7F8D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104CB">
            <w:pPr>
              <w:pStyle w:val="8"/>
            </w:pPr>
            <w:r>
              <w:rPr>
                <w:rFonts w:hint="eastAsia"/>
              </w:rPr>
              <w:t xml:space="preserve">网址： </w:t>
            </w:r>
          </w:p>
        </w:tc>
        <w:tc>
          <w:tcPr>
            <w:tcW w:w="7440" w:type="dxa"/>
            <w:shd w:val="clear" w:color="auto" w:fill="auto"/>
          </w:tcPr>
          <w:p w14:paraId="45F21F2A">
            <w:pPr>
              <w:pStyle w:val="8"/>
            </w:pPr>
            <w:r>
              <w:rPr>
                <w:rFonts w:hint="eastAsia"/>
              </w:rPr>
              <w:t xml:space="preserve">www.66liantai.com </w:t>
            </w:r>
          </w:p>
        </w:tc>
      </w:tr>
    </w:tbl>
    <w:p w14:paraId="753B89D9">
      <w:pPr>
        <w:pStyle w:val="8"/>
        <w:spacing w:before="0" w:beforeAutospacing="0" w:after="0" w:afterAutospacing="0" w:line="360" w:lineRule="auto"/>
        <w:ind w:firstLine="420"/>
        <w:rPr>
          <w:sz w:val="21"/>
          <w:szCs w:val="21"/>
        </w:rPr>
      </w:pPr>
      <w:r>
        <w:rPr>
          <w:rFonts w:hint="eastAsia"/>
          <w:b/>
          <w:bCs/>
          <w:sz w:val="21"/>
          <w:szCs w:val="21"/>
        </w:rPr>
        <w:t>(21)上海基煜基金销售有限公司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8475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FEB77">
            <w:pPr>
              <w:pStyle w:val="8"/>
            </w:pPr>
            <w:r>
              <w:rPr>
                <w:rFonts w:hint="eastAsia"/>
              </w:rPr>
              <w:t xml:space="preserve">注册地址： </w:t>
            </w:r>
          </w:p>
        </w:tc>
        <w:tc>
          <w:tcPr>
            <w:tcW w:w="7440" w:type="dxa"/>
            <w:shd w:val="clear" w:color="auto" w:fill="auto"/>
          </w:tcPr>
          <w:p w14:paraId="432CFF73">
            <w:pPr>
              <w:pStyle w:val="8"/>
            </w:pPr>
            <w:r>
              <w:rPr>
                <w:rFonts w:hint="eastAsia"/>
              </w:rPr>
              <w:t xml:space="preserve">上海市黄浦区广东路500号30层3001单元 </w:t>
            </w:r>
          </w:p>
        </w:tc>
      </w:tr>
      <w:tr w14:paraId="0745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9DA73">
            <w:pPr>
              <w:pStyle w:val="8"/>
            </w:pPr>
            <w:r>
              <w:rPr>
                <w:rFonts w:hint="eastAsia"/>
              </w:rPr>
              <w:t xml:space="preserve">办公地址： </w:t>
            </w:r>
          </w:p>
        </w:tc>
        <w:tc>
          <w:tcPr>
            <w:tcW w:w="7440" w:type="dxa"/>
            <w:shd w:val="clear" w:color="auto" w:fill="auto"/>
          </w:tcPr>
          <w:p w14:paraId="05FD3349">
            <w:pPr>
              <w:pStyle w:val="8"/>
            </w:pPr>
            <w:r>
              <w:rPr>
                <w:rFonts w:hint="eastAsia"/>
              </w:rPr>
              <w:t xml:space="preserve">上海市浦东新区银城中路488号太平金融大厦1503室 </w:t>
            </w:r>
          </w:p>
        </w:tc>
      </w:tr>
      <w:tr w14:paraId="1948A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BEEFD">
            <w:pPr>
              <w:pStyle w:val="8"/>
            </w:pPr>
            <w:r>
              <w:rPr>
                <w:rFonts w:hint="eastAsia"/>
              </w:rPr>
              <w:t xml:space="preserve">法定代表人： </w:t>
            </w:r>
          </w:p>
        </w:tc>
        <w:tc>
          <w:tcPr>
            <w:tcW w:w="7440" w:type="dxa"/>
            <w:shd w:val="clear" w:color="auto" w:fill="auto"/>
          </w:tcPr>
          <w:p w14:paraId="74405ACE">
            <w:pPr>
              <w:pStyle w:val="8"/>
            </w:pPr>
            <w:r>
              <w:rPr>
                <w:rFonts w:hint="eastAsia"/>
              </w:rPr>
              <w:t xml:space="preserve">王翔  </w:t>
            </w:r>
          </w:p>
        </w:tc>
      </w:tr>
      <w:tr w14:paraId="4F8F0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80E89">
            <w:pPr>
              <w:pStyle w:val="8"/>
            </w:pPr>
            <w:r>
              <w:rPr>
                <w:rFonts w:hint="eastAsia"/>
              </w:rPr>
              <w:t xml:space="preserve">联系人： </w:t>
            </w:r>
          </w:p>
        </w:tc>
        <w:tc>
          <w:tcPr>
            <w:tcW w:w="7440" w:type="dxa"/>
            <w:shd w:val="clear" w:color="auto" w:fill="auto"/>
          </w:tcPr>
          <w:p w14:paraId="6AE14DF4">
            <w:pPr>
              <w:pStyle w:val="8"/>
            </w:pPr>
            <w:r>
              <w:rPr>
                <w:rFonts w:hint="eastAsia"/>
              </w:rPr>
              <w:t xml:space="preserve">蓝杰 </w:t>
            </w:r>
          </w:p>
        </w:tc>
      </w:tr>
      <w:tr w14:paraId="59B8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D6A42">
            <w:pPr>
              <w:pStyle w:val="8"/>
            </w:pPr>
            <w:r>
              <w:rPr>
                <w:rFonts w:hint="eastAsia"/>
              </w:rPr>
              <w:t xml:space="preserve">电话： </w:t>
            </w:r>
          </w:p>
        </w:tc>
        <w:tc>
          <w:tcPr>
            <w:tcW w:w="7440" w:type="dxa"/>
            <w:shd w:val="clear" w:color="auto" w:fill="auto"/>
          </w:tcPr>
          <w:p w14:paraId="0FB3652F">
            <w:pPr>
              <w:pStyle w:val="8"/>
            </w:pPr>
            <w:r>
              <w:rPr>
                <w:rFonts w:hint="eastAsia"/>
              </w:rPr>
              <w:t xml:space="preserve">021-65370077 </w:t>
            </w:r>
          </w:p>
        </w:tc>
      </w:tr>
      <w:tr w14:paraId="34FB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A95D9">
            <w:pPr>
              <w:pStyle w:val="8"/>
            </w:pPr>
            <w:r>
              <w:rPr>
                <w:rFonts w:hint="eastAsia"/>
              </w:rPr>
              <w:t xml:space="preserve">传真： </w:t>
            </w:r>
          </w:p>
        </w:tc>
        <w:tc>
          <w:tcPr>
            <w:tcW w:w="7440" w:type="dxa"/>
            <w:shd w:val="clear" w:color="auto" w:fill="auto"/>
          </w:tcPr>
          <w:p w14:paraId="25914F0A">
            <w:pPr>
              <w:pStyle w:val="8"/>
            </w:pPr>
            <w:r>
              <w:rPr>
                <w:rFonts w:hint="eastAsia"/>
              </w:rPr>
              <w:t xml:space="preserve">021-55085991 </w:t>
            </w:r>
          </w:p>
        </w:tc>
      </w:tr>
      <w:tr w14:paraId="7FA1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3C407">
            <w:pPr>
              <w:pStyle w:val="8"/>
            </w:pPr>
            <w:r>
              <w:rPr>
                <w:rFonts w:hint="eastAsia"/>
              </w:rPr>
              <w:t xml:space="preserve">客户服务电话： </w:t>
            </w:r>
          </w:p>
        </w:tc>
        <w:tc>
          <w:tcPr>
            <w:tcW w:w="7440" w:type="dxa"/>
            <w:shd w:val="clear" w:color="auto" w:fill="auto"/>
          </w:tcPr>
          <w:p w14:paraId="3DCF646B">
            <w:pPr>
              <w:pStyle w:val="8"/>
            </w:pPr>
            <w:r>
              <w:rPr>
                <w:rFonts w:hint="eastAsia"/>
              </w:rPr>
              <w:t xml:space="preserve">400-820-5369 </w:t>
            </w:r>
          </w:p>
        </w:tc>
      </w:tr>
      <w:tr w14:paraId="758E7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98B6E">
            <w:pPr>
              <w:pStyle w:val="8"/>
            </w:pPr>
            <w:r>
              <w:rPr>
                <w:rFonts w:hint="eastAsia"/>
              </w:rPr>
              <w:t xml:space="preserve">网址： </w:t>
            </w:r>
          </w:p>
        </w:tc>
        <w:tc>
          <w:tcPr>
            <w:tcW w:w="7440" w:type="dxa"/>
            <w:shd w:val="clear" w:color="auto" w:fill="auto"/>
          </w:tcPr>
          <w:p w14:paraId="67BF237A">
            <w:pPr>
              <w:pStyle w:val="8"/>
            </w:pPr>
            <w:r>
              <w:rPr>
                <w:rFonts w:hint="eastAsia"/>
              </w:rPr>
              <w:t xml:space="preserve">www.jiyufund.com.cn </w:t>
            </w:r>
          </w:p>
        </w:tc>
      </w:tr>
    </w:tbl>
    <w:p w14:paraId="7DD65297">
      <w:pPr>
        <w:pStyle w:val="8"/>
        <w:spacing w:before="0" w:beforeAutospacing="0" w:after="0" w:afterAutospacing="0" w:line="360" w:lineRule="auto"/>
        <w:ind w:firstLine="420"/>
        <w:rPr>
          <w:sz w:val="21"/>
          <w:szCs w:val="21"/>
        </w:rPr>
      </w:pPr>
      <w:r>
        <w:rPr>
          <w:rFonts w:hint="eastAsia"/>
          <w:b/>
          <w:bCs/>
          <w:sz w:val="21"/>
          <w:szCs w:val="21"/>
        </w:rPr>
        <w:t>(22)上海陆金所基金销售有限公司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F3D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01389">
            <w:pPr>
              <w:pStyle w:val="8"/>
            </w:pPr>
            <w:r>
              <w:rPr>
                <w:rFonts w:hint="eastAsia"/>
              </w:rPr>
              <w:t xml:space="preserve">注册地址： </w:t>
            </w:r>
          </w:p>
        </w:tc>
        <w:tc>
          <w:tcPr>
            <w:tcW w:w="7440" w:type="dxa"/>
            <w:shd w:val="clear" w:color="auto" w:fill="auto"/>
          </w:tcPr>
          <w:p w14:paraId="332A63DB">
            <w:pPr>
              <w:pStyle w:val="8"/>
            </w:pPr>
            <w:r>
              <w:rPr>
                <w:rFonts w:hint="eastAsia"/>
              </w:rPr>
              <w:t xml:space="preserve">上海市浦东新区陆家嘴环路1333号14楼09单元 </w:t>
            </w:r>
          </w:p>
        </w:tc>
      </w:tr>
      <w:tr w14:paraId="2DD9B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CFE3A">
            <w:pPr>
              <w:pStyle w:val="8"/>
            </w:pPr>
            <w:r>
              <w:rPr>
                <w:rFonts w:hint="eastAsia"/>
              </w:rPr>
              <w:t xml:space="preserve">办公地址： </w:t>
            </w:r>
          </w:p>
        </w:tc>
        <w:tc>
          <w:tcPr>
            <w:tcW w:w="7440" w:type="dxa"/>
            <w:shd w:val="clear" w:color="auto" w:fill="auto"/>
          </w:tcPr>
          <w:p w14:paraId="0C8D6723">
            <w:pPr>
              <w:pStyle w:val="8"/>
            </w:pPr>
            <w:r>
              <w:rPr>
                <w:rFonts w:hint="eastAsia"/>
              </w:rPr>
              <w:t xml:space="preserve">上海市浦东新区陆家嘴环路1333号14楼 </w:t>
            </w:r>
          </w:p>
        </w:tc>
      </w:tr>
      <w:tr w14:paraId="4B075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95C2B">
            <w:pPr>
              <w:pStyle w:val="8"/>
            </w:pPr>
            <w:r>
              <w:rPr>
                <w:rFonts w:hint="eastAsia"/>
              </w:rPr>
              <w:t xml:space="preserve">法定代表人： </w:t>
            </w:r>
          </w:p>
        </w:tc>
        <w:tc>
          <w:tcPr>
            <w:tcW w:w="7440" w:type="dxa"/>
            <w:shd w:val="clear" w:color="auto" w:fill="auto"/>
          </w:tcPr>
          <w:p w14:paraId="74FEBFA6">
            <w:pPr>
              <w:pStyle w:val="8"/>
            </w:pPr>
            <w:r>
              <w:rPr>
                <w:rFonts w:hint="eastAsia"/>
              </w:rPr>
              <w:t xml:space="preserve">郭坚 </w:t>
            </w:r>
          </w:p>
        </w:tc>
      </w:tr>
      <w:tr w14:paraId="4F70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4DB43">
            <w:pPr>
              <w:pStyle w:val="8"/>
            </w:pPr>
            <w:r>
              <w:rPr>
                <w:rFonts w:hint="eastAsia"/>
              </w:rPr>
              <w:t xml:space="preserve">联系人： </w:t>
            </w:r>
          </w:p>
        </w:tc>
        <w:tc>
          <w:tcPr>
            <w:tcW w:w="7440" w:type="dxa"/>
            <w:shd w:val="clear" w:color="auto" w:fill="auto"/>
          </w:tcPr>
          <w:p w14:paraId="5583523D">
            <w:pPr>
              <w:pStyle w:val="8"/>
            </w:pPr>
            <w:r>
              <w:rPr>
                <w:rFonts w:hint="eastAsia"/>
              </w:rPr>
              <w:t xml:space="preserve">宁博宇 </w:t>
            </w:r>
          </w:p>
        </w:tc>
      </w:tr>
      <w:tr w14:paraId="0B378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9F554">
            <w:pPr>
              <w:pStyle w:val="8"/>
            </w:pPr>
            <w:r>
              <w:rPr>
                <w:rFonts w:hint="eastAsia"/>
              </w:rPr>
              <w:t xml:space="preserve">电话： </w:t>
            </w:r>
          </w:p>
        </w:tc>
        <w:tc>
          <w:tcPr>
            <w:tcW w:w="7440" w:type="dxa"/>
            <w:shd w:val="clear" w:color="auto" w:fill="auto"/>
          </w:tcPr>
          <w:p w14:paraId="4A3B4D0D">
            <w:pPr>
              <w:pStyle w:val="8"/>
            </w:pPr>
            <w:r>
              <w:rPr>
                <w:rFonts w:hint="eastAsia"/>
              </w:rPr>
              <w:t xml:space="preserve">021-20665952 </w:t>
            </w:r>
          </w:p>
        </w:tc>
      </w:tr>
      <w:tr w14:paraId="6AF3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D294C">
            <w:pPr>
              <w:pStyle w:val="8"/>
            </w:pPr>
            <w:r>
              <w:rPr>
                <w:rFonts w:hint="eastAsia"/>
              </w:rPr>
              <w:t xml:space="preserve">传真： </w:t>
            </w:r>
          </w:p>
        </w:tc>
        <w:tc>
          <w:tcPr>
            <w:tcW w:w="7440" w:type="dxa"/>
            <w:shd w:val="clear" w:color="auto" w:fill="auto"/>
          </w:tcPr>
          <w:p w14:paraId="3F3ABD6B">
            <w:pPr>
              <w:pStyle w:val="8"/>
            </w:pPr>
            <w:r>
              <w:rPr>
                <w:rFonts w:hint="eastAsia"/>
              </w:rPr>
              <w:t xml:space="preserve">021-22066653 </w:t>
            </w:r>
          </w:p>
        </w:tc>
      </w:tr>
      <w:tr w14:paraId="590C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2B6190">
            <w:pPr>
              <w:pStyle w:val="8"/>
            </w:pPr>
            <w:r>
              <w:rPr>
                <w:rFonts w:hint="eastAsia"/>
              </w:rPr>
              <w:t xml:space="preserve">客户服务电话： </w:t>
            </w:r>
          </w:p>
        </w:tc>
        <w:tc>
          <w:tcPr>
            <w:tcW w:w="7440" w:type="dxa"/>
            <w:shd w:val="clear" w:color="auto" w:fill="auto"/>
          </w:tcPr>
          <w:p w14:paraId="3A353853">
            <w:pPr>
              <w:pStyle w:val="8"/>
            </w:pPr>
            <w:r>
              <w:rPr>
                <w:rFonts w:hint="eastAsia"/>
              </w:rPr>
              <w:t xml:space="preserve">400-821-9031 </w:t>
            </w:r>
          </w:p>
        </w:tc>
      </w:tr>
      <w:tr w14:paraId="414BD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DBA37">
            <w:pPr>
              <w:pStyle w:val="8"/>
            </w:pPr>
            <w:r>
              <w:rPr>
                <w:rFonts w:hint="eastAsia"/>
              </w:rPr>
              <w:t xml:space="preserve">网址： </w:t>
            </w:r>
          </w:p>
        </w:tc>
        <w:tc>
          <w:tcPr>
            <w:tcW w:w="7440" w:type="dxa"/>
            <w:shd w:val="clear" w:color="auto" w:fill="auto"/>
          </w:tcPr>
          <w:p w14:paraId="712C2B1C">
            <w:pPr>
              <w:pStyle w:val="8"/>
            </w:pPr>
            <w:r>
              <w:rPr>
                <w:rFonts w:hint="eastAsia"/>
              </w:rPr>
              <w:t xml:space="preserve">www.lufunds.com </w:t>
            </w:r>
          </w:p>
        </w:tc>
      </w:tr>
    </w:tbl>
    <w:p w14:paraId="24996B33">
      <w:pPr>
        <w:pStyle w:val="8"/>
        <w:spacing w:before="0" w:beforeAutospacing="0" w:after="0" w:afterAutospacing="0" w:line="360" w:lineRule="auto"/>
        <w:ind w:firstLine="420"/>
        <w:rPr>
          <w:sz w:val="21"/>
          <w:szCs w:val="21"/>
        </w:rPr>
      </w:pPr>
      <w:r>
        <w:rPr>
          <w:rFonts w:hint="eastAsia"/>
          <w:b/>
          <w:bCs/>
          <w:sz w:val="21"/>
          <w:szCs w:val="21"/>
        </w:rPr>
        <w:t>(23)珠海盈米基金销售有限公司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10AB3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65C09">
            <w:pPr>
              <w:pStyle w:val="8"/>
            </w:pPr>
            <w:r>
              <w:rPr>
                <w:rFonts w:hint="eastAsia"/>
              </w:rPr>
              <w:t xml:space="preserve">注册地址： </w:t>
            </w:r>
          </w:p>
        </w:tc>
        <w:tc>
          <w:tcPr>
            <w:tcW w:w="7440" w:type="dxa"/>
            <w:shd w:val="clear" w:color="auto" w:fill="auto"/>
          </w:tcPr>
          <w:p w14:paraId="09B42701">
            <w:pPr>
              <w:pStyle w:val="8"/>
            </w:pPr>
            <w:r>
              <w:rPr>
                <w:rFonts w:hint="eastAsia"/>
              </w:rPr>
              <w:t xml:space="preserve">珠海市横琴新区宝华路6号105室-3491 </w:t>
            </w:r>
          </w:p>
        </w:tc>
      </w:tr>
      <w:tr w14:paraId="030F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1156A">
            <w:pPr>
              <w:pStyle w:val="8"/>
            </w:pPr>
            <w:r>
              <w:rPr>
                <w:rFonts w:hint="eastAsia"/>
              </w:rPr>
              <w:t xml:space="preserve">办公地址： </w:t>
            </w:r>
          </w:p>
        </w:tc>
        <w:tc>
          <w:tcPr>
            <w:tcW w:w="7440" w:type="dxa"/>
            <w:shd w:val="clear" w:color="auto" w:fill="auto"/>
          </w:tcPr>
          <w:p w14:paraId="57BA3B09">
            <w:pPr>
              <w:pStyle w:val="8"/>
            </w:pPr>
            <w:r>
              <w:rPr>
                <w:rFonts w:hint="eastAsia"/>
              </w:rPr>
              <w:t xml:space="preserve">广州市海珠区琶洲大道东1号保利国际广场南塔12楼B1201-1203 </w:t>
            </w:r>
          </w:p>
        </w:tc>
      </w:tr>
      <w:tr w14:paraId="738A4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CD570D">
            <w:pPr>
              <w:pStyle w:val="8"/>
            </w:pPr>
            <w:r>
              <w:rPr>
                <w:rFonts w:hint="eastAsia"/>
              </w:rPr>
              <w:t xml:space="preserve">法定代表人： </w:t>
            </w:r>
          </w:p>
        </w:tc>
        <w:tc>
          <w:tcPr>
            <w:tcW w:w="7440" w:type="dxa"/>
            <w:shd w:val="clear" w:color="auto" w:fill="auto"/>
          </w:tcPr>
          <w:p w14:paraId="63079154">
            <w:pPr>
              <w:pStyle w:val="8"/>
            </w:pPr>
            <w:r>
              <w:rPr>
                <w:rFonts w:hint="eastAsia"/>
              </w:rPr>
              <w:t xml:space="preserve">肖雯 </w:t>
            </w:r>
          </w:p>
        </w:tc>
      </w:tr>
      <w:tr w14:paraId="4D559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A2910">
            <w:pPr>
              <w:pStyle w:val="8"/>
            </w:pPr>
            <w:r>
              <w:rPr>
                <w:rFonts w:hint="eastAsia"/>
              </w:rPr>
              <w:t xml:space="preserve">联系人： </w:t>
            </w:r>
          </w:p>
        </w:tc>
        <w:tc>
          <w:tcPr>
            <w:tcW w:w="7440" w:type="dxa"/>
            <w:shd w:val="clear" w:color="auto" w:fill="auto"/>
          </w:tcPr>
          <w:p w14:paraId="65A6D490">
            <w:pPr>
              <w:pStyle w:val="8"/>
            </w:pPr>
            <w:r>
              <w:rPr>
                <w:rFonts w:hint="eastAsia"/>
              </w:rPr>
              <w:t xml:space="preserve">吴煜浩 </w:t>
            </w:r>
          </w:p>
        </w:tc>
      </w:tr>
      <w:tr w14:paraId="39142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BFFE1">
            <w:pPr>
              <w:pStyle w:val="8"/>
            </w:pPr>
            <w:r>
              <w:rPr>
                <w:rFonts w:hint="eastAsia"/>
              </w:rPr>
              <w:t xml:space="preserve">电话： </w:t>
            </w:r>
          </w:p>
        </w:tc>
        <w:tc>
          <w:tcPr>
            <w:tcW w:w="7440" w:type="dxa"/>
            <w:shd w:val="clear" w:color="auto" w:fill="auto"/>
          </w:tcPr>
          <w:p w14:paraId="28E9DA9D">
            <w:pPr>
              <w:pStyle w:val="8"/>
            </w:pPr>
            <w:r>
              <w:rPr>
                <w:rFonts w:hint="eastAsia"/>
              </w:rPr>
              <w:t xml:space="preserve">020-89629099 </w:t>
            </w:r>
          </w:p>
        </w:tc>
      </w:tr>
      <w:tr w14:paraId="2431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8193F">
            <w:pPr>
              <w:pStyle w:val="8"/>
            </w:pPr>
            <w:r>
              <w:rPr>
                <w:rFonts w:hint="eastAsia"/>
              </w:rPr>
              <w:t xml:space="preserve">传真： </w:t>
            </w:r>
          </w:p>
        </w:tc>
        <w:tc>
          <w:tcPr>
            <w:tcW w:w="7440" w:type="dxa"/>
            <w:shd w:val="clear" w:color="auto" w:fill="auto"/>
          </w:tcPr>
          <w:p w14:paraId="5DC09CD1">
            <w:pPr>
              <w:pStyle w:val="8"/>
            </w:pPr>
            <w:r>
              <w:rPr>
                <w:rFonts w:hint="eastAsia"/>
              </w:rPr>
              <w:t xml:space="preserve">020-89629011 </w:t>
            </w:r>
          </w:p>
        </w:tc>
      </w:tr>
      <w:tr w14:paraId="06F3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EA5EF">
            <w:pPr>
              <w:pStyle w:val="8"/>
            </w:pPr>
            <w:r>
              <w:rPr>
                <w:rFonts w:hint="eastAsia"/>
              </w:rPr>
              <w:t xml:space="preserve">客户服务电话： </w:t>
            </w:r>
          </w:p>
        </w:tc>
        <w:tc>
          <w:tcPr>
            <w:tcW w:w="7440" w:type="dxa"/>
            <w:shd w:val="clear" w:color="auto" w:fill="auto"/>
          </w:tcPr>
          <w:p w14:paraId="03018BC2">
            <w:pPr>
              <w:pStyle w:val="8"/>
            </w:pPr>
            <w:r>
              <w:rPr>
                <w:rFonts w:hint="eastAsia"/>
              </w:rPr>
              <w:t xml:space="preserve">020-89629066 </w:t>
            </w:r>
          </w:p>
        </w:tc>
      </w:tr>
      <w:tr w14:paraId="23C07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56806">
            <w:pPr>
              <w:pStyle w:val="8"/>
            </w:pPr>
            <w:r>
              <w:rPr>
                <w:rFonts w:hint="eastAsia"/>
              </w:rPr>
              <w:t xml:space="preserve">网址： </w:t>
            </w:r>
          </w:p>
        </w:tc>
        <w:tc>
          <w:tcPr>
            <w:tcW w:w="7440" w:type="dxa"/>
            <w:shd w:val="clear" w:color="auto" w:fill="auto"/>
          </w:tcPr>
          <w:p w14:paraId="11A4F1F0">
            <w:pPr>
              <w:pStyle w:val="8"/>
            </w:pPr>
            <w:r>
              <w:rPr>
                <w:rFonts w:hint="eastAsia"/>
              </w:rPr>
              <w:t xml:space="preserve">www.yingmi.cn </w:t>
            </w:r>
          </w:p>
        </w:tc>
      </w:tr>
    </w:tbl>
    <w:p w14:paraId="72C867C4">
      <w:pPr>
        <w:pStyle w:val="8"/>
        <w:spacing w:before="0" w:beforeAutospacing="0" w:after="0" w:afterAutospacing="0" w:line="360" w:lineRule="auto"/>
        <w:ind w:firstLine="420"/>
        <w:rPr>
          <w:sz w:val="21"/>
          <w:szCs w:val="21"/>
        </w:rPr>
      </w:pPr>
      <w:r>
        <w:rPr>
          <w:rFonts w:hint="eastAsia"/>
          <w:b/>
          <w:bCs/>
          <w:sz w:val="21"/>
          <w:szCs w:val="21"/>
        </w:rPr>
        <w:t>(24)奕丰基金销售有限公司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284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56AC10">
            <w:pPr>
              <w:pStyle w:val="8"/>
            </w:pPr>
            <w:r>
              <w:rPr>
                <w:rFonts w:hint="eastAsia"/>
              </w:rPr>
              <w:t xml:space="preserve">注册地址： </w:t>
            </w:r>
          </w:p>
        </w:tc>
        <w:tc>
          <w:tcPr>
            <w:tcW w:w="7440" w:type="dxa"/>
            <w:shd w:val="clear" w:color="auto" w:fill="auto"/>
          </w:tcPr>
          <w:p w14:paraId="1CE52E53">
            <w:pPr>
              <w:pStyle w:val="8"/>
            </w:pPr>
            <w:r>
              <w:rPr>
                <w:rFonts w:hint="eastAsia"/>
              </w:rPr>
              <w:t xml:space="preserve">深圳市前海深港合作区前湾一路1号A 栋 201 室（入驻深圳市前海商务秘书有限公司） </w:t>
            </w:r>
          </w:p>
        </w:tc>
      </w:tr>
      <w:tr w14:paraId="25E8D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F0840">
            <w:pPr>
              <w:pStyle w:val="8"/>
            </w:pPr>
            <w:r>
              <w:rPr>
                <w:rFonts w:hint="eastAsia"/>
              </w:rPr>
              <w:t xml:space="preserve">办公地址： </w:t>
            </w:r>
          </w:p>
        </w:tc>
        <w:tc>
          <w:tcPr>
            <w:tcW w:w="7440" w:type="dxa"/>
            <w:shd w:val="clear" w:color="auto" w:fill="auto"/>
          </w:tcPr>
          <w:p w14:paraId="1407A1A5">
            <w:pPr>
              <w:pStyle w:val="8"/>
            </w:pPr>
            <w:r>
              <w:rPr>
                <w:rFonts w:hint="eastAsia"/>
              </w:rPr>
              <w:t xml:space="preserve">深圳市南山区海德三道航天科技广场A座17楼1703-04室 </w:t>
            </w:r>
          </w:p>
        </w:tc>
      </w:tr>
      <w:tr w14:paraId="18AD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FEB22">
            <w:pPr>
              <w:pStyle w:val="8"/>
            </w:pPr>
            <w:r>
              <w:rPr>
                <w:rFonts w:hint="eastAsia"/>
              </w:rPr>
              <w:t xml:space="preserve">法定代表人： </w:t>
            </w:r>
          </w:p>
        </w:tc>
        <w:tc>
          <w:tcPr>
            <w:tcW w:w="7440" w:type="dxa"/>
            <w:shd w:val="clear" w:color="auto" w:fill="auto"/>
          </w:tcPr>
          <w:p w14:paraId="1792AD9D">
            <w:pPr>
              <w:pStyle w:val="8"/>
            </w:pPr>
            <w:r>
              <w:rPr>
                <w:rFonts w:hint="eastAsia"/>
              </w:rPr>
              <w:t xml:space="preserve">TEO WEE HOWE </w:t>
            </w:r>
          </w:p>
        </w:tc>
      </w:tr>
      <w:tr w14:paraId="357D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A0CAC">
            <w:pPr>
              <w:pStyle w:val="8"/>
            </w:pPr>
            <w:r>
              <w:rPr>
                <w:rFonts w:hint="eastAsia"/>
              </w:rPr>
              <w:t xml:space="preserve">联系人： </w:t>
            </w:r>
          </w:p>
        </w:tc>
        <w:tc>
          <w:tcPr>
            <w:tcW w:w="7440" w:type="dxa"/>
            <w:shd w:val="clear" w:color="auto" w:fill="auto"/>
          </w:tcPr>
          <w:p w14:paraId="17DD6E10">
            <w:pPr>
              <w:pStyle w:val="8"/>
            </w:pPr>
            <w:r>
              <w:rPr>
                <w:rFonts w:hint="eastAsia"/>
              </w:rPr>
              <w:t xml:space="preserve">叶健、左琴 </w:t>
            </w:r>
          </w:p>
        </w:tc>
      </w:tr>
      <w:tr w14:paraId="19DD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AA9DF">
            <w:pPr>
              <w:pStyle w:val="8"/>
            </w:pPr>
            <w:r>
              <w:rPr>
                <w:rFonts w:hint="eastAsia"/>
              </w:rPr>
              <w:t xml:space="preserve">电话： </w:t>
            </w:r>
          </w:p>
        </w:tc>
        <w:tc>
          <w:tcPr>
            <w:tcW w:w="7440" w:type="dxa"/>
            <w:shd w:val="clear" w:color="auto" w:fill="auto"/>
          </w:tcPr>
          <w:p w14:paraId="4E06FC50">
            <w:pPr>
              <w:pStyle w:val="8"/>
            </w:pPr>
            <w:r>
              <w:rPr>
                <w:rFonts w:hint="eastAsia"/>
              </w:rPr>
              <w:t xml:space="preserve">0755-89460507 </w:t>
            </w:r>
          </w:p>
        </w:tc>
      </w:tr>
      <w:tr w14:paraId="23B68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4FD33">
            <w:pPr>
              <w:pStyle w:val="8"/>
            </w:pPr>
            <w:r>
              <w:rPr>
                <w:rFonts w:hint="eastAsia"/>
              </w:rPr>
              <w:t xml:space="preserve">传真： </w:t>
            </w:r>
          </w:p>
        </w:tc>
        <w:tc>
          <w:tcPr>
            <w:tcW w:w="7440" w:type="dxa"/>
            <w:shd w:val="clear" w:color="auto" w:fill="auto"/>
          </w:tcPr>
          <w:p w14:paraId="614DA576">
            <w:pPr>
              <w:pStyle w:val="8"/>
            </w:pPr>
            <w:r>
              <w:rPr>
                <w:rFonts w:hint="eastAsia"/>
              </w:rPr>
              <w:t xml:space="preserve">0755-21674453 </w:t>
            </w:r>
          </w:p>
        </w:tc>
      </w:tr>
      <w:tr w14:paraId="78800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7AD67">
            <w:pPr>
              <w:pStyle w:val="8"/>
            </w:pPr>
            <w:r>
              <w:rPr>
                <w:rFonts w:hint="eastAsia"/>
              </w:rPr>
              <w:t xml:space="preserve">客户服务电话： </w:t>
            </w:r>
          </w:p>
        </w:tc>
        <w:tc>
          <w:tcPr>
            <w:tcW w:w="7440" w:type="dxa"/>
            <w:shd w:val="clear" w:color="auto" w:fill="auto"/>
          </w:tcPr>
          <w:p w14:paraId="1272CE01">
            <w:pPr>
              <w:pStyle w:val="8"/>
            </w:pPr>
            <w:r>
              <w:rPr>
                <w:rFonts w:hint="eastAsia"/>
              </w:rPr>
              <w:t xml:space="preserve">400-684-0500 </w:t>
            </w:r>
          </w:p>
        </w:tc>
      </w:tr>
      <w:tr w14:paraId="71E0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F14A9">
            <w:pPr>
              <w:pStyle w:val="8"/>
            </w:pPr>
            <w:r>
              <w:rPr>
                <w:rFonts w:hint="eastAsia"/>
              </w:rPr>
              <w:t xml:space="preserve">网址： </w:t>
            </w:r>
          </w:p>
        </w:tc>
        <w:tc>
          <w:tcPr>
            <w:tcW w:w="7440" w:type="dxa"/>
            <w:shd w:val="clear" w:color="auto" w:fill="auto"/>
          </w:tcPr>
          <w:p w14:paraId="0C4BD309">
            <w:pPr>
              <w:pStyle w:val="8"/>
            </w:pPr>
            <w:r>
              <w:rPr>
                <w:rFonts w:hint="eastAsia"/>
              </w:rPr>
              <w:t xml:space="preserve">www.ifastps.com.cn </w:t>
            </w:r>
          </w:p>
        </w:tc>
      </w:tr>
    </w:tbl>
    <w:p w14:paraId="6B34E10D">
      <w:pPr>
        <w:pStyle w:val="8"/>
        <w:spacing w:before="0" w:beforeAutospacing="0" w:after="0" w:afterAutospacing="0" w:line="360" w:lineRule="auto"/>
        <w:ind w:firstLine="420"/>
        <w:rPr>
          <w:sz w:val="21"/>
          <w:szCs w:val="21"/>
        </w:rPr>
      </w:pPr>
      <w:r>
        <w:rPr>
          <w:rFonts w:hint="eastAsia"/>
          <w:b/>
          <w:bCs/>
          <w:sz w:val="21"/>
          <w:szCs w:val="21"/>
        </w:rPr>
        <w:t>(25)中证金牛（北京）基金销售有限公司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6981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DC01F">
            <w:pPr>
              <w:pStyle w:val="8"/>
            </w:pPr>
            <w:r>
              <w:rPr>
                <w:rFonts w:hint="eastAsia"/>
              </w:rPr>
              <w:t xml:space="preserve">注册地址： </w:t>
            </w:r>
          </w:p>
        </w:tc>
        <w:tc>
          <w:tcPr>
            <w:tcW w:w="7440" w:type="dxa"/>
            <w:shd w:val="clear" w:color="auto" w:fill="auto"/>
          </w:tcPr>
          <w:p w14:paraId="1DC1A2BE">
            <w:pPr>
              <w:pStyle w:val="8"/>
            </w:pPr>
            <w:r>
              <w:rPr>
                <w:rFonts w:hint="eastAsia"/>
              </w:rPr>
              <w:t xml:space="preserve">北京市丰台区东管头1号2号楼2-45室 </w:t>
            </w:r>
          </w:p>
        </w:tc>
      </w:tr>
      <w:tr w14:paraId="783CB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705A6C">
            <w:pPr>
              <w:pStyle w:val="8"/>
            </w:pPr>
            <w:r>
              <w:rPr>
                <w:rFonts w:hint="eastAsia"/>
              </w:rPr>
              <w:t xml:space="preserve">办公地址： </w:t>
            </w:r>
          </w:p>
        </w:tc>
        <w:tc>
          <w:tcPr>
            <w:tcW w:w="7440" w:type="dxa"/>
            <w:shd w:val="clear" w:color="auto" w:fill="auto"/>
          </w:tcPr>
          <w:p w14:paraId="1629FA3D">
            <w:pPr>
              <w:pStyle w:val="8"/>
            </w:pPr>
            <w:r>
              <w:rPr>
                <w:rFonts w:hint="eastAsia"/>
              </w:rPr>
              <w:t xml:space="preserve">北京市西城区宣武门外大街甲1号环球财讯中心A座4层、5层  （邮寄填写4层） </w:t>
            </w:r>
          </w:p>
        </w:tc>
      </w:tr>
      <w:tr w14:paraId="750B5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877D1">
            <w:pPr>
              <w:pStyle w:val="8"/>
            </w:pPr>
            <w:r>
              <w:rPr>
                <w:rFonts w:hint="eastAsia"/>
              </w:rPr>
              <w:t xml:space="preserve">法定代表人： </w:t>
            </w:r>
          </w:p>
        </w:tc>
        <w:tc>
          <w:tcPr>
            <w:tcW w:w="7440" w:type="dxa"/>
            <w:shd w:val="clear" w:color="auto" w:fill="auto"/>
          </w:tcPr>
          <w:p w14:paraId="210130C1">
            <w:pPr>
              <w:pStyle w:val="8"/>
            </w:pPr>
            <w:r>
              <w:rPr>
                <w:rFonts w:hint="eastAsia"/>
              </w:rPr>
              <w:t xml:space="preserve">吴志坚 </w:t>
            </w:r>
          </w:p>
        </w:tc>
      </w:tr>
      <w:tr w14:paraId="5EB0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8056D">
            <w:pPr>
              <w:pStyle w:val="8"/>
            </w:pPr>
            <w:r>
              <w:rPr>
                <w:rFonts w:hint="eastAsia"/>
              </w:rPr>
              <w:t xml:space="preserve">联系人： </w:t>
            </w:r>
          </w:p>
        </w:tc>
        <w:tc>
          <w:tcPr>
            <w:tcW w:w="7440" w:type="dxa"/>
            <w:shd w:val="clear" w:color="auto" w:fill="auto"/>
          </w:tcPr>
          <w:p w14:paraId="22272786">
            <w:pPr>
              <w:pStyle w:val="8"/>
            </w:pPr>
            <w:r>
              <w:rPr>
                <w:rFonts w:hint="eastAsia"/>
              </w:rPr>
              <w:t xml:space="preserve">焦金岩 </w:t>
            </w:r>
          </w:p>
        </w:tc>
      </w:tr>
      <w:tr w14:paraId="01B1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A32D8">
            <w:pPr>
              <w:pStyle w:val="8"/>
            </w:pPr>
            <w:r>
              <w:rPr>
                <w:rFonts w:hint="eastAsia"/>
              </w:rPr>
              <w:t xml:space="preserve">电话： </w:t>
            </w:r>
          </w:p>
        </w:tc>
        <w:tc>
          <w:tcPr>
            <w:tcW w:w="7440" w:type="dxa"/>
            <w:shd w:val="clear" w:color="auto" w:fill="auto"/>
          </w:tcPr>
          <w:p w14:paraId="7AD6F0AD">
            <w:pPr>
              <w:pStyle w:val="8"/>
            </w:pPr>
            <w:r>
              <w:rPr>
                <w:rFonts w:hint="eastAsia"/>
              </w:rPr>
              <w:t xml:space="preserve">010-63156530 </w:t>
            </w:r>
          </w:p>
        </w:tc>
      </w:tr>
      <w:tr w14:paraId="10832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37DCE">
            <w:pPr>
              <w:pStyle w:val="8"/>
            </w:pPr>
            <w:r>
              <w:rPr>
                <w:rFonts w:hint="eastAsia"/>
              </w:rPr>
              <w:t xml:space="preserve">传真： </w:t>
            </w:r>
          </w:p>
        </w:tc>
        <w:tc>
          <w:tcPr>
            <w:tcW w:w="7440" w:type="dxa"/>
            <w:shd w:val="clear" w:color="auto" w:fill="auto"/>
          </w:tcPr>
          <w:p w14:paraId="5159F2A5">
            <w:pPr>
              <w:pStyle w:val="8"/>
            </w:pPr>
            <w:r>
              <w:rPr>
                <w:rFonts w:hint="eastAsia"/>
              </w:rPr>
              <w:t xml:space="preserve">010-63156532 </w:t>
            </w:r>
          </w:p>
        </w:tc>
      </w:tr>
      <w:tr w14:paraId="1257A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3C4B6">
            <w:pPr>
              <w:pStyle w:val="8"/>
            </w:pPr>
            <w:r>
              <w:rPr>
                <w:rFonts w:hint="eastAsia"/>
              </w:rPr>
              <w:t xml:space="preserve">客户服务电话： </w:t>
            </w:r>
          </w:p>
        </w:tc>
        <w:tc>
          <w:tcPr>
            <w:tcW w:w="7440" w:type="dxa"/>
            <w:shd w:val="clear" w:color="auto" w:fill="auto"/>
          </w:tcPr>
          <w:p w14:paraId="2704B862">
            <w:pPr>
              <w:pStyle w:val="8"/>
            </w:pPr>
            <w:r>
              <w:rPr>
                <w:rFonts w:hint="eastAsia"/>
              </w:rPr>
              <w:t xml:space="preserve">400-890-9998 </w:t>
            </w:r>
          </w:p>
        </w:tc>
      </w:tr>
      <w:tr w14:paraId="106B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F44F0">
            <w:pPr>
              <w:pStyle w:val="8"/>
            </w:pPr>
            <w:r>
              <w:rPr>
                <w:rFonts w:hint="eastAsia"/>
              </w:rPr>
              <w:t xml:space="preserve">网址： </w:t>
            </w:r>
          </w:p>
        </w:tc>
        <w:tc>
          <w:tcPr>
            <w:tcW w:w="7440" w:type="dxa"/>
            <w:shd w:val="clear" w:color="auto" w:fill="auto"/>
          </w:tcPr>
          <w:p w14:paraId="7355FC8C">
            <w:pPr>
              <w:pStyle w:val="8"/>
            </w:pPr>
            <w:r>
              <w:rPr>
                <w:rFonts w:hint="eastAsia"/>
              </w:rPr>
              <w:t xml:space="preserve">www.jnlc.com </w:t>
            </w:r>
          </w:p>
        </w:tc>
      </w:tr>
    </w:tbl>
    <w:p w14:paraId="73958A03">
      <w:pPr>
        <w:pStyle w:val="8"/>
        <w:spacing w:before="0" w:beforeAutospacing="0" w:after="0" w:afterAutospacing="0" w:line="360" w:lineRule="auto"/>
        <w:ind w:firstLine="420"/>
        <w:rPr>
          <w:sz w:val="21"/>
          <w:szCs w:val="21"/>
        </w:rPr>
      </w:pPr>
      <w:r>
        <w:rPr>
          <w:rFonts w:hint="eastAsia"/>
          <w:b/>
          <w:bCs/>
          <w:sz w:val="21"/>
          <w:szCs w:val="21"/>
        </w:rPr>
        <w:t>(26)京东肯特瑞基金销售有限公司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12711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AA72E">
            <w:pPr>
              <w:pStyle w:val="8"/>
            </w:pPr>
            <w:r>
              <w:rPr>
                <w:rFonts w:hint="eastAsia"/>
              </w:rPr>
              <w:t xml:space="preserve">注册地址： </w:t>
            </w:r>
          </w:p>
        </w:tc>
        <w:tc>
          <w:tcPr>
            <w:tcW w:w="7440" w:type="dxa"/>
            <w:shd w:val="clear" w:color="auto" w:fill="auto"/>
          </w:tcPr>
          <w:p w14:paraId="3F7EFF14">
            <w:pPr>
              <w:pStyle w:val="8"/>
            </w:pPr>
            <w:r>
              <w:rPr>
                <w:rFonts w:hint="eastAsia"/>
              </w:rPr>
              <w:t xml:space="preserve">北京市海淀区海淀东三街2号4层401-15 </w:t>
            </w:r>
          </w:p>
        </w:tc>
      </w:tr>
      <w:tr w14:paraId="51D2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F1F500">
            <w:pPr>
              <w:pStyle w:val="8"/>
            </w:pPr>
            <w:r>
              <w:rPr>
                <w:rFonts w:hint="eastAsia"/>
              </w:rPr>
              <w:t xml:space="preserve">办公地址： </w:t>
            </w:r>
          </w:p>
        </w:tc>
        <w:tc>
          <w:tcPr>
            <w:tcW w:w="7440" w:type="dxa"/>
            <w:shd w:val="clear" w:color="auto" w:fill="auto"/>
          </w:tcPr>
          <w:p w14:paraId="3E785A39">
            <w:pPr>
              <w:pStyle w:val="8"/>
            </w:pPr>
            <w:r>
              <w:rPr>
                <w:rFonts w:hint="eastAsia"/>
              </w:rPr>
              <w:t xml:space="preserve">北京市经济开发区科创十一街18号院京东总部A座4层A428室 </w:t>
            </w:r>
          </w:p>
        </w:tc>
      </w:tr>
      <w:tr w14:paraId="3BBEB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D4A22">
            <w:pPr>
              <w:pStyle w:val="8"/>
            </w:pPr>
            <w:r>
              <w:rPr>
                <w:rFonts w:hint="eastAsia"/>
              </w:rPr>
              <w:t xml:space="preserve">法定代表人： </w:t>
            </w:r>
          </w:p>
        </w:tc>
        <w:tc>
          <w:tcPr>
            <w:tcW w:w="7440" w:type="dxa"/>
            <w:shd w:val="clear" w:color="auto" w:fill="auto"/>
          </w:tcPr>
          <w:p w14:paraId="3B7C1A35">
            <w:pPr>
              <w:pStyle w:val="8"/>
            </w:pPr>
            <w:r>
              <w:rPr>
                <w:rFonts w:hint="eastAsia"/>
              </w:rPr>
              <w:t xml:space="preserve">江卉 </w:t>
            </w:r>
          </w:p>
        </w:tc>
      </w:tr>
      <w:tr w14:paraId="3010B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ACC45">
            <w:pPr>
              <w:pStyle w:val="8"/>
            </w:pPr>
            <w:r>
              <w:rPr>
                <w:rFonts w:hint="eastAsia"/>
              </w:rPr>
              <w:t xml:space="preserve">联系人： </w:t>
            </w:r>
          </w:p>
        </w:tc>
        <w:tc>
          <w:tcPr>
            <w:tcW w:w="7440" w:type="dxa"/>
            <w:shd w:val="clear" w:color="auto" w:fill="auto"/>
          </w:tcPr>
          <w:p w14:paraId="365E73B9">
            <w:pPr>
              <w:pStyle w:val="8"/>
            </w:pPr>
            <w:r>
              <w:rPr>
                <w:rFonts w:hint="eastAsia"/>
              </w:rPr>
              <w:t xml:space="preserve">徐伯宇 </w:t>
            </w:r>
          </w:p>
        </w:tc>
      </w:tr>
      <w:tr w14:paraId="3B9C4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58AFF">
            <w:pPr>
              <w:pStyle w:val="8"/>
            </w:pPr>
            <w:r>
              <w:rPr>
                <w:rFonts w:hint="eastAsia"/>
              </w:rPr>
              <w:t xml:space="preserve">电话： </w:t>
            </w:r>
          </w:p>
        </w:tc>
        <w:tc>
          <w:tcPr>
            <w:tcW w:w="7440" w:type="dxa"/>
            <w:shd w:val="clear" w:color="auto" w:fill="auto"/>
          </w:tcPr>
          <w:p w14:paraId="49B19479">
            <w:pPr>
              <w:pStyle w:val="8"/>
            </w:pPr>
            <w:r>
              <w:rPr>
                <w:rFonts w:hint="eastAsia"/>
              </w:rPr>
              <w:t xml:space="preserve">400-098-8511 </w:t>
            </w:r>
          </w:p>
        </w:tc>
      </w:tr>
      <w:tr w14:paraId="356C2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B8A7C">
            <w:pPr>
              <w:pStyle w:val="8"/>
            </w:pPr>
            <w:r>
              <w:rPr>
                <w:rFonts w:hint="eastAsia"/>
              </w:rPr>
              <w:t xml:space="preserve">传真： </w:t>
            </w:r>
          </w:p>
        </w:tc>
        <w:tc>
          <w:tcPr>
            <w:tcW w:w="7440" w:type="dxa"/>
            <w:shd w:val="clear" w:color="auto" w:fill="auto"/>
          </w:tcPr>
          <w:p w14:paraId="3E766641">
            <w:pPr>
              <w:pStyle w:val="8"/>
            </w:pPr>
            <w:r>
              <w:rPr>
                <w:rFonts w:hint="eastAsia"/>
              </w:rPr>
              <w:t xml:space="preserve">010-89188000 </w:t>
            </w:r>
          </w:p>
        </w:tc>
      </w:tr>
      <w:tr w14:paraId="14BD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C0A52">
            <w:pPr>
              <w:pStyle w:val="8"/>
            </w:pPr>
            <w:r>
              <w:rPr>
                <w:rFonts w:hint="eastAsia"/>
              </w:rPr>
              <w:t xml:space="preserve">客户服务电话： </w:t>
            </w:r>
          </w:p>
        </w:tc>
        <w:tc>
          <w:tcPr>
            <w:tcW w:w="7440" w:type="dxa"/>
            <w:shd w:val="clear" w:color="auto" w:fill="auto"/>
          </w:tcPr>
          <w:p w14:paraId="0495C0DF">
            <w:pPr>
              <w:pStyle w:val="8"/>
            </w:pPr>
            <w:r>
              <w:rPr>
                <w:rFonts w:hint="eastAsia"/>
              </w:rPr>
              <w:t xml:space="preserve">400-088-8816 </w:t>
            </w:r>
          </w:p>
        </w:tc>
      </w:tr>
      <w:tr w14:paraId="7B59D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AF8CE2">
            <w:pPr>
              <w:pStyle w:val="8"/>
            </w:pPr>
            <w:r>
              <w:rPr>
                <w:rFonts w:hint="eastAsia"/>
              </w:rPr>
              <w:t xml:space="preserve">网址： </w:t>
            </w:r>
          </w:p>
        </w:tc>
        <w:tc>
          <w:tcPr>
            <w:tcW w:w="7440" w:type="dxa"/>
            <w:shd w:val="clear" w:color="auto" w:fill="auto"/>
          </w:tcPr>
          <w:p w14:paraId="5600F96D">
            <w:pPr>
              <w:pStyle w:val="8"/>
            </w:pPr>
            <w:r>
              <w:rPr>
                <w:rFonts w:hint="eastAsia"/>
              </w:rPr>
              <w:t xml:space="preserve">http://jr.jd.com/ </w:t>
            </w:r>
          </w:p>
        </w:tc>
      </w:tr>
    </w:tbl>
    <w:p w14:paraId="4E7540EF">
      <w:pPr>
        <w:pStyle w:val="8"/>
        <w:spacing w:before="0" w:beforeAutospacing="0" w:after="0" w:afterAutospacing="0" w:line="360" w:lineRule="auto"/>
        <w:ind w:firstLine="420"/>
        <w:rPr>
          <w:sz w:val="21"/>
          <w:szCs w:val="21"/>
        </w:rPr>
      </w:pPr>
      <w:r>
        <w:rPr>
          <w:rFonts w:hint="eastAsia"/>
          <w:b/>
          <w:bCs/>
          <w:sz w:val="21"/>
          <w:szCs w:val="21"/>
        </w:rPr>
        <w:t>(27)深圳市金斧子基金销售有限公司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E8F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B6592">
            <w:pPr>
              <w:pStyle w:val="8"/>
            </w:pPr>
            <w:r>
              <w:rPr>
                <w:rFonts w:hint="eastAsia"/>
              </w:rPr>
              <w:t xml:space="preserve">注册地址： </w:t>
            </w:r>
          </w:p>
        </w:tc>
        <w:tc>
          <w:tcPr>
            <w:tcW w:w="7440" w:type="dxa"/>
            <w:shd w:val="clear" w:color="auto" w:fill="auto"/>
          </w:tcPr>
          <w:p w14:paraId="59C859CC">
            <w:pPr>
              <w:pStyle w:val="8"/>
            </w:pPr>
            <w:r>
              <w:rPr>
                <w:rFonts w:hint="eastAsia"/>
              </w:rPr>
              <w:t xml:space="preserve">深圳市南山区粤海街道科技园中区科苑路15号科兴科学园B栋3单元11层1108   </w:t>
            </w:r>
          </w:p>
        </w:tc>
      </w:tr>
      <w:tr w14:paraId="07C4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28ECF">
            <w:pPr>
              <w:pStyle w:val="8"/>
            </w:pPr>
            <w:r>
              <w:rPr>
                <w:rFonts w:hint="eastAsia"/>
              </w:rPr>
              <w:t xml:space="preserve">办公地址： </w:t>
            </w:r>
          </w:p>
        </w:tc>
        <w:tc>
          <w:tcPr>
            <w:tcW w:w="7440" w:type="dxa"/>
            <w:shd w:val="clear" w:color="auto" w:fill="auto"/>
          </w:tcPr>
          <w:p w14:paraId="550C919E">
            <w:pPr>
              <w:pStyle w:val="8"/>
            </w:pPr>
            <w:r>
              <w:rPr>
                <w:rFonts w:hint="eastAsia"/>
              </w:rPr>
              <w:t xml:space="preserve">深圳市南山区粤海街道科技园中区科苑路15号科兴科学园B栋3单元11层1108   </w:t>
            </w:r>
          </w:p>
        </w:tc>
      </w:tr>
      <w:tr w14:paraId="3B498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58EA3">
            <w:pPr>
              <w:pStyle w:val="8"/>
            </w:pPr>
            <w:r>
              <w:rPr>
                <w:rFonts w:hint="eastAsia"/>
              </w:rPr>
              <w:t xml:space="preserve">法定代表人： </w:t>
            </w:r>
          </w:p>
        </w:tc>
        <w:tc>
          <w:tcPr>
            <w:tcW w:w="7440" w:type="dxa"/>
            <w:shd w:val="clear" w:color="auto" w:fill="auto"/>
          </w:tcPr>
          <w:p w14:paraId="35190512">
            <w:pPr>
              <w:pStyle w:val="8"/>
            </w:pPr>
            <w:r>
              <w:rPr>
                <w:rFonts w:hint="eastAsia"/>
              </w:rPr>
              <w:t xml:space="preserve">赖任军 </w:t>
            </w:r>
          </w:p>
        </w:tc>
      </w:tr>
      <w:tr w14:paraId="6C67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5D5B4">
            <w:pPr>
              <w:pStyle w:val="8"/>
            </w:pPr>
            <w:r>
              <w:rPr>
                <w:rFonts w:hint="eastAsia"/>
              </w:rPr>
              <w:t xml:space="preserve">联系人： </w:t>
            </w:r>
          </w:p>
        </w:tc>
        <w:tc>
          <w:tcPr>
            <w:tcW w:w="7440" w:type="dxa"/>
            <w:shd w:val="clear" w:color="auto" w:fill="auto"/>
          </w:tcPr>
          <w:p w14:paraId="5D85EBBB">
            <w:pPr>
              <w:pStyle w:val="8"/>
            </w:pPr>
            <w:r>
              <w:rPr>
                <w:rFonts w:hint="eastAsia"/>
              </w:rPr>
              <w:t xml:space="preserve">刘昕霞 </w:t>
            </w:r>
          </w:p>
        </w:tc>
      </w:tr>
      <w:tr w14:paraId="71C1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B42D4">
            <w:pPr>
              <w:pStyle w:val="8"/>
            </w:pPr>
            <w:r>
              <w:rPr>
                <w:rFonts w:hint="eastAsia"/>
              </w:rPr>
              <w:t xml:space="preserve">电话： </w:t>
            </w:r>
          </w:p>
        </w:tc>
        <w:tc>
          <w:tcPr>
            <w:tcW w:w="7440" w:type="dxa"/>
            <w:shd w:val="clear" w:color="auto" w:fill="auto"/>
          </w:tcPr>
          <w:p w14:paraId="2B21B25A">
            <w:pPr>
              <w:pStyle w:val="8"/>
            </w:pPr>
            <w:r>
              <w:rPr>
                <w:rFonts w:hint="eastAsia"/>
              </w:rPr>
              <w:t xml:space="preserve">0755-29330513 </w:t>
            </w:r>
          </w:p>
        </w:tc>
      </w:tr>
      <w:tr w14:paraId="47CC9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F58AC">
            <w:pPr>
              <w:pStyle w:val="8"/>
            </w:pPr>
            <w:r>
              <w:rPr>
                <w:rFonts w:hint="eastAsia"/>
              </w:rPr>
              <w:t xml:space="preserve">传真： </w:t>
            </w:r>
          </w:p>
        </w:tc>
        <w:tc>
          <w:tcPr>
            <w:tcW w:w="7440" w:type="dxa"/>
            <w:shd w:val="clear" w:color="auto" w:fill="auto"/>
          </w:tcPr>
          <w:p w14:paraId="75B4BC5E">
            <w:pPr>
              <w:pStyle w:val="8"/>
            </w:pPr>
            <w:r>
              <w:rPr>
                <w:rFonts w:hint="eastAsia"/>
              </w:rPr>
              <w:t xml:space="preserve">0755-26920530 </w:t>
            </w:r>
          </w:p>
        </w:tc>
      </w:tr>
      <w:tr w14:paraId="44C0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AE4E3">
            <w:pPr>
              <w:pStyle w:val="8"/>
            </w:pPr>
            <w:r>
              <w:rPr>
                <w:rFonts w:hint="eastAsia"/>
              </w:rPr>
              <w:t xml:space="preserve">客户服务电话： </w:t>
            </w:r>
          </w:p>
        </w:tc>
        <w:tc>
          <w:tcPr>
            <w:tcW w:w="7440" w:type="dxa"/>
            <w:shd w:val="clear" w:color="auto" w:fill="auto"/>
          </w:tcPr>
          <w:p w14:paraId="470267BB">
            <w:pPr>
              <w:pStyle w:val="8"/>
            </w:pPr>
            <w:r>
              <w:rPr>
                <w:rFonts w:hint="eastAsia"/>
              </w:rPr>
              <w:t xml:space="preserve">400-822-4888 </w:t>
            </w:r>
          </w:p>
        </w:tc>
      </w:tr>
      <w:tr w14:paraId="1C5F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52A2D">
            <w:pPr>
              <w:pStyle w:val="8"/>
            </w:pPr>
            <w:r>
              <w:rPr>
                <w:rFonts w:hint="eastAsia"/>
              </w:rPr>
              <w:t xml:space="preserve">网址： </w:t>
            </w:r>
          </w:p>
        </w:tc>
        <w:tc>
          <w:tcPr>
            <w:tcW w:w="7440" w:type="dxa"/>
            <w:shd w:val="clear" w:color="auto" w:fill="auto"/>
          </w:tcPr>
          <w:p w14:paraId="7ED3DE1D">
            <w:pPr>
              <w:pStyle w:val="8"/>
            </w:pPr>
            <w:r>
              <w:rPr>
                <w:rFonts w:hint="eastAsia"/>
              </w:rPr>
              <w:t xml:space="preserve">www.jfzinv.com </w:t>
            </w:r>
          </w:p>
        </w:tc>
      </w:tr>
    </w:tbl>
    <w:p w14:paraId="0C275A5C">
      <w:pPr>
        <w:pStyle w:val="8"/>
        <w:spacing w:before="0" w:beforeAutospacing="0" w:after="0" w:afterAutospacing="0" w:line="360" w:lineRule="auto"/>
        <w:ind w:firstLine="420"/>
        <w:rPr>
          <w:sz w:val="21"/>
          <w:szCs w:val="21"/>
        </w:rPr>
      </w:pPr>
      <w:r>
        <w:rPr>
          <w:rFonts w:hint="eastAsia"/>
          <w:b/>
          <w:bCs/>
          <w:sz w:val="21"/>
          <w:szCs w:val="21"/>
        </w:rPr>
        <w:t>(28)北京雪球基金销售有限公司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E04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EDE8A">
            <w:pPr>
              <w:pStyle w:val="8"/>
            </w:pPr>
            <w:r>
              <w:rPr>
                <w:rFonts w:hint="eastAsia"/>
              </w:rPr>
              <w:t xml:space="preserve">注册地址： </w:t>
            </w:r>
          </w:p>
        </w:tc>
        <w:tc>
          <w:tcPr>
            <w:tcW w:w="7440" w:type="dxa"/>
            <w:shd w:val="clear" w:color="auto" w:fill="auto"/>
          </w:tcPr>
          <w:p w14:paraId="15239B27">
            <w:pPr>
              <w:pStyle w:val="8"/>
            </w:pPr>
            <w:r>
              <w:rPr>
                <w:rFonts w:hint="eastAsia"/>
              </w:rPr>
              <w:t xml:space="preserve">北京市朝阳区阜通东大街1号院6号楼2单元21层222507 </w:t>
            </w:r>
          </w:p>
        </w:tc>
      </w:tr>
      <w:tr w14:paraId="46CE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B4139">
            <w:pPr>
              <w:pStyle w:val="8"/>
            </w:pPr>
            <w:r>
              <w:rPr>
                <w:rFonts w:hint="eastAsia"/>
              </w:rPr>
              <w:t xml:space="preserve">办公地址： </w:t>
            </w:r>
          </w:p>
        </w:tc>
        <w:tc>
          <w:tcPr>
            <w:tcW w:w="7440" w:type="dxa"/>
            <w:shd w:val="clear" w:color="auto" w:fill="auto"/>
          </w:tcPr>
          <w:p w14:paraId="4DFAD51E">
            <w:pPr>
              <w:pStyle w:val="8"/>
            </w:pPr>
            <w:r>
              <w:rPr>
                <w:rFonts w:hint="eastAsia"/>
              </w:rPr>
              <w:t xml:space="preserve">北京市朝阳区阜通东大街1号院6号楼2单元21层222507 </w:t>
            </w:r>
          </w:p>
        </w:tc>
      </w:tr>
      <w:tr w14:paraId="41312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5A13C">
            <w:pPr>
              <w:pStyle w:val="8"/>
            </w:pPr>
            <w:r>
              <w:rPr>
                <w:rFonts w:hint="eastAsia"/>
              </w:rPr>
              <w:t xml:space="preserve">法定代表人： </w:t>
            </w:r>
          </w:p>
        </w:tc>
        <w:tc>
          <w:tcPr>
            <w:tcW w:w="7440" w:type="dxa"/>
            <w:shd w:val="clear" w:color="auto" w:fill="auto"/>
          </w:tcPr>
          <w:p w14:paraId="51417A17">
            <w:pPr>
              <w:pStyle w:val="8"/>
            </w:pPr>
            <w:r>
              <w:rPr>
                <w:rFonts w:hint="eastAsia"/>
              </w:rPr>
              <w:t xml:space="preserve">李楠 </w:t>
            </w:r>
          </w:p>
        </w:tc>
      </w:tr>
      <w:tr w14:paraId="6C5B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834CE">
            <w:pPr>
              <w:pStyle w:val="8"/>
            </w:pPr>
            <w:r>
              <w:rPr>
                <w:rFonts w:hint="eastAsia"/>
              </w:rPr>
              <w:t xml:space="preserve">联系人： </w:t>
            </w:r>
          </w:p>
        </w:tc>
        <w:tc>
          <w:tcPr>
            <w:tcW w:w="7440" w:type="dxa"/>
            <w:shd w:val="clear" w:color="auto" w:fill="auto"/>
          </w:tcPr>
          <w:p w14:paraId="00814F93">
            <w:pPr>
              <w:pStyle w:val="8"/>
            </w:pPr>
            <w:r>
              <w:rPr>
                <w:rFonts w:hint="eastAsia"/>
              </w:rPr>
              <w:t xml:space="preserve">戚晓强 </w:t>
            </w:r>
          </w:p>
        </w:tc>
      </w:tr>
      <w:tr w14:paraId="736F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6F114">
            <w:pPr>
              <w:pStyle w:val="8"/>
            </w:pPr>
            <w:r>
              <w:rPr>
                <w:rFonts w:hint="eastAsia"/>
              </w:rPr>
              <w:t xml:space="preserve">电话： </w:t>
            </w:r>
          </w:p>
        </w:tc>
        <w:tc>
          <w:tcPr>
            <w:tcW w:w="7440" w:type="dxa"/>
            <w:shd w:val="clear" w:color="auto" w:fill="auto"/>
          </w:tcPr>
          <w:p w14:paraId="07C5C013">
            <w:pPr>
              <w:pStyle w:val="8"/>
            </w:pPr>
            <w:r>
              <w:rPr>
                <w:rFonts w:hint="eastAsia"/>
              </w:rPr>
              <w:t xml:space="preserve">15810005516 </w:t>
            </w:r>
          </w:p>
        </w:tc>
      </w:tr>
      <w:tr w14:paraId="57D13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FBF38">
            <w:pPr>
              <w:pStyle w:val="8"/>
            </w:pPr>
            <w:r>
              <w:rPr>
                <w:rFonts w:hint="eastAsia"/>
              </w:rPr>
              <w:t xml:space="preserve">传真： </w:t>
            </w:r>
          </w:p>
        </w:tc>
        <w:tc>
          <w:tcPr>
            <w:tcW w:w="7440" w:type="dxa"/>
            <w:shd w:val="clear" w:color="auto" w:fill="auto"/>
          </w:tcPr>
          <w:p w14:paraId="7413F7C9">
            <w:pPr>
              <w:pStyle w:val="8"/>
            </w:pPr>
            <w:r>
              <w:rPr>
                <w:rFonts w:hint="eastAsia"/>
              </w:rPr>
              <w:t xml:space="preserve">010-85659484 </w:t>
            </w:r>
          </w:p>
        </w:tc>
      </w:tr>
      <w:tr w14:paraId="6B79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4C47C">
            <w:pPr>
              <w:pStyle w:val="8"/>
            </w:pPr>
            <w:r>
              <w:rPr>
                <w:rFonts w:hint="eastAsia"/>
              </w:rPr>
              <w:t xml:space="preserve">客户服务电话： </w:t>
            </w:r>
          </w:p>
        </w:tc>
        <w:tc>
          <w:tcPr>
            <w:tcW w:w="7440" w:type="dxa"/>
            <w:shd w:val="clear" w:color="auto" w:fill="auto"/>
          </w:tcPr>
          <w:p w14:paraId="77756780">
            <w:pPr>
              <w:pStyle w:val="8"/>
            </w:pPr>
            <w:r>
              <w:rPr>
                <w:rFonts w:hint="eastAsia"/>
              </w:rPr>
              <w:t xml:space="preserve">400-061-8518 </w:t>
            </w:r>
          </w:p>
        </w:tc>
      </w:tr>
      <w:tr w14:paraId="738A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7E6EB">
            <w:pPr>
              <w:pStyle w:val="8"/>
            </w:pPr>
            <w:r>
              <w:rPr>
                <w:rFonts w:hint="eastAsia"/>
              </w:rPr>
              <w:t xml:space="preserve">网址： </w:t>
            </w:r>
          </w:p>
        </w:tc>
        <w:tc>
          <w:tcPr>
            <w:tcW w:w="7440" w:type="dxa"/>
            <w:shd w:val="clear" w:color="auto" w:fill="auto"/>
          </w:tcPr>
          <w:p w14:paraId="44BC9936">
            <w:pPr>
              <w:pStyle w:val="8"/>
            </w:pPr>
            <w:r>
              <w:rPr>
                <w:rFonts w:hint="eastAsia"/>
              </w:rPr>
              <w:t xml:space="preserve">danjuanapp.com </w:t>
            </w:r>
          </w:p>
        </w:tc>
      </w:tr>
    </w:tbl>
    <w:p w14:paraId="72BB2794">
      <w:pPr>
        <w:pStyle w:val="8"/>
        <w:spacing w:before="0" w:beforeAutospacing="0" w:after="0" w:afterAutospacing="0" w:line="360" w:lineRule="auto"/>
        <w:ind w:firstLine="420"/>
        <w:rPr>
          <w:sz w:val="21"/>
          <w:szCs w:val="21"/>
        </w:rPr>
      </w:pPr>
      <w:r>
        <w:rPr>
          <w:rFonts w:hint="eastAsia"/>
          <w:b/>
          <w:bCs/>
          <w:sz w:val="21"/>
          <w:szCs w:val="21"/>
        </w:rPr>
        <w:t>(29)上海华夏财富投资管理有限公司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0E8C7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E9134">
            <w:pPr>
              <w:pStyle w:val="8"/>
            </w:pPr>
            <w:r>
              <w:rPr>
                <w:rFonts w:hint="eastAsia"/>
              </w:rPr>
              <w:t xml:space="preserve">注册地址： </w:t>
            </w:r>
          </w:p>
        </w:tc>
        <w:tc>
          <w:tcPr>
            <w:tcW w:w="7440" w:type="dxa"/>
            <w:shd w:val="clear" w:color="auto" w:fill="auto"/>
          </w:tcPr>
          <w:p w14:paraId="42D15148">
            <w:pPr>
              <w:pStyle w:val="8"/>
            </w:pPr>
            <w:r>
              <w:rPr>
                <w:rFonts w:hint="eastAsia"/>
              </w:rPr>
              <w:t xml:space="preserve">上海市虹口区东大名路687号1幢2楼268室 </w:t>
            </w:r>
          </w:p>
        </w:tc>
      </w:tr>
      <w:tr w14:paraId="6CB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CC23C">
            <w:pPr>
              <w:pStyle w:val="8"/>
            </w:pPr>
            <w:r>
              <w:rPr>
                <w:rFonts w:hint="eastAsia"/>
              </w:rPr>
              <w:t xml:space="preserve">办公地址： </w:t>
            </w:r>
          </w:p>
        </w:tc>
        <w:tc>
          <w:tcPr>
            <w:tcW w:w="7440" w:type="dxa"/>
            <w:shd w:val="clear" w:color="auto" w:fill="auto"/>
          </w:tcPr>
          <w:p w14:paraId="6031B9C2">
            <w:pPr>
              <w:pStyle w:val="8"/>
            </w:pPr>
            <w:r>
              <w:rPr>
                <w:rFonts w:hint="eastAsia"/>
              </w:rPr>
              <w:t xml:space="preserve">上海市虹口区东大名路687号1幢2楼268室 </w:t>
            </w:r>
          </w:p>
        </w:tc>
      </w:tr>
      <w:tr w14:paraId="0423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35E3D">
            <w:pPr>
              <w:pStyle w:val="8"/>
            </w:pPr>
            <w:r>
              <w:rPr>
                <w:rFonts w:hint="eastAsia"/>
              </w:rPr>
              <w:t xml:space="preserve">法定代表人： </w:t>
            </w:r>
          </w:p>
        </w:tc>
        <w:tc>
          <w:tcPr>
            <w:tcW w:w="7440" w:type="dxa"/>
            <w:shd w:val="clear" w:color="auto" w:fill="auto"/>
          </w:tcPr>
          <w:p w14:paraId="04A45C00">
            <w:pPr>
              <w:pStyle w:val="8"/>
            </w:pPr>
            <w:r>
              <w:rPr>
                <w:rFonts w:hint="eastAsia"/>
              </w:rPr>
              <w:t xml:space="preserve">毛淮平 </w:t>
            </w:r>
          </w:p>
        </w:tc>
      </w:tr>
      <w:tr w14:paraId="24B87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18E6D">
            <w:pPr>
              <w:pStyle w:val="8"/>
            </w:pPr>
            <w:r>
              <w:rPr>
                <w:rFonts w:hint="eastAsia"/>
              </w:rPr>
              <w:t xml:space="preserve">联系人： </w:t>
            </w:r>
          </w:p>
        </w:tc>
        <w:tc>
          <w:tcPr>
            <w:tcW w:w="7440" w:type="dxa"/>
            <w:shd w:val="clear" w:color="auto" w:fill="auto"/>
          </w:tcPr>
          <w:p w14:paraId="05B59FAB">
            <w:pPr>
              <w:pStyle w:val="8"/>
            </w:pPr>
            <w:r>
              <w:rPr>
                <w:rFonts w:hint="eastAsia"/>
              </w:rPr>
              <w:t xml:space="preserve">张静怡 </w:t>
            </w:r>
          </w:p>
        </w:tc>
      </w:tr>
      <w:tr w14:paraId="62947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910F76">
            <w:pPr>
              <w:pStyle w:val="8"/>
            </w:pPr>
            <w:r>
              <w:rPr>
                <w:rFonts w:hint="eastAsia"/>
              </w:rPr>
              <w:t xml:space="preserve">电话： </w:t>
            </w:r>
          </w:p>
        </w:tc>
        <w:tc>
          <w:tcPr>
            <w:tcW w:w="7440" w:type="dxa"/>
            <w:shd w:val="clear" w:color="auto" w:fill="auto"/>
          </w:tcPr>
          <w:p w14:paraId="4B938559">
            <w:pPr>
              <w:pStyle w:val="8"/>
            </w:pPr>
            <w:r>
              <w:rPr>
                <w:rFonts w:hint="eastAsia"/>
              </w:rPr>
              <w:t xml:space="preserve">010-88066326 </w:t>
            </w:r>
          </w:p>
        </w:tc>
      </w:tr>
      <w:tr w14:paraId="698A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BBD92">
            <w:pPr>
              <w:pStyle w:val="8"/>
            </w:pPr>
            <w:r>
              <w:rPr>
                <w:rFonts w:hint="eastAsia"/>
              </w:rPr>
              <w:t xml:space="preserve">客户服务电话： </w:t>
            </w:r>
          </w:p>
        </w:tc>
        <w:tc>
          <w:tcPr>
            <w:tcW w:w="7440" w:type="dxa"/>
            <w:shd w:val="clear" w:color="auto" w:fill="auto"/>
          </w:tcPr>
          <w:p w14:paraId="23C020A9">
            <w:pPr>
              <w:pStyle w:val="8"/>
            </w:pPr>
            <w:r>
              <w:rPr>
                <w:rFonts w:hint="eastAsia"/>
              </w:rPr>
              <w:t xml:space="preserve">400-817-5666 </w:t>
            </w:r>
          </w:p>
        </w:tc>
      </w:tr>
      <w:tr w14:paraId="28C7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17EDF">
            <w:pPr>
              <w:pStyle w:val="8"/>
            </w:pPr>
            <w:r>
              <w:rPr>
                <w:rFonts w:hint="eastAsia"/>
              </w:rPr>
              <w:t xml:space="preserve">网址： </w:t>
            </w:r>
          </w:p>
        </w:tc>
        <w:tc>
          <w:tcPr>
            <w:tcW w:w="7440" w:type="dxa"/>
            <w:shd w:val="clear" w:color="auto" w:fill="auto"/>
          </w:tcPr>
          <w:p w14:paraId="5DB465CA">
            <w:pPr>
              <w:pStyle w:val="8"/>
            </w:pPr>
            <w:r>
              <w:rPr>
                <w:rFonts w:hint="eastAsia"/>
              </w:rPr>
              <w:t xml:space="preserve">https://www.amcfortune.com/ </w:t>
            </w:r>
          </w:p>
        </w:tc>
      </w:tr>
    </w:tbl>
    <w:p w14:paraId="347CAF93">
      <w:pPr>
        <w:pStyle w:val="8"/>
        <w:spacing w:before="0" w:beforeAutospacing="0" w:after="0" w:afterAutospacing="0" w:line="360" w:lineRule="auto"/>
        <w:ind w:firstLine="420"/>
        <w:rPr>
          <w:sz w:val="21"/>
          <w:szCs w:val="21"/>
        </w:rPr>
      </w:pPr>
      <w:r>
        <w:rPr>
          <w:rFonts w:hint="eastAsia"/>
          <w:b/>
          <w:bCs/>
          <w:sz w:val="21"/>
          <w:szCs w:val="21"/>
        </w:rPr>
        <w:t>(30)中信期货有限公司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0CDB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9ED04">
            <w:pPr>
              <w:pStyle w:val="8"/>
            </w:pPr>
            <w:r>
              <w:rPr>
                <w:rFonts w:hint="eastAsia"/>
              </w:rPr>
              <w:t xml:space="preserve">注册地址： </w:t>
            </w:r>
          </w:p>
        </w:tc>
        <w:tc>
          <w:tcPr>
            <w:tcW w:w="7440" w:type="dxa"/>
            <w:shd w:val="clear" w:color="auto" w:fill="auto"/>
          </w:tcPr>
          <w:p w14:paraId="5AF4F67D">
            <w:pPr>
              <w:pStyle w:val="8"/>
            </w:pPr>
            <w:r>
              <w:rPr>
                <w:rFonts w:hint="eastAsia"/>
              </w:rPr>
              <w:t xml:space="preserve">深圳市福田区中心三路8号卓越时代广场（二期）北座13层1301-1305室、14层 </w:t>
            </w:r>
          </w:p>
        </w:tc>
      </w:tr>
      <w:tr w14:paraId="6ADAA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F7757">
            <w:pPr>
              <w:pStyle w:val="8"/>
            </w:pPr>
            <w:r>
              <w:rPr>
                <w:rFonts w:hint="eastAsia"/>
              </w:rPr>
              <w:t xml:space="preserve">办公地址： </w:t>
            </w:r>
          </w:p>
        </w:tc>
        <w:tc>
          <w:tcPr>
            <w:tcW w:w="7440" w:type="dxa"/>
            <w:shd w:val="clear" w:color="auto" w:fill="auto"/>
          </w:tcPr>
          <w:p w14:paraId="4BEAA836">
            <w:pPr>
              <w:pStyle w:val="8"/>
            </w:pPr>
            <w:r>
              <w:rPr>
                <w:rFonts w:hint="eastAsia"/>
              </w:rPr>
              <w:t xml:space="preserve">深圳市福田区中心三路8号卓越时代广场（二期）北座13层1301-1305室、14层 </w:t>
            </w:r>
          </w:p>
        </w:tc>
      </w:tr>
      <w:tr w14:paraId="6F0A2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70A48">
            <w:pPr>
              <w:pStyle w:val="8"/>
            </w:pPr>
            <w:r>
              <w:rPr>
                <w:rFonts w:hint="eastAsia"/>
              </w:rPr>
              <w:t xml:space="preserve">法定代表人： </w:t>
            </w:r>
          </w:p>
        </w:tc>
        <w:tc>
          <w:tcPr>
            <w:tcW w:w="7440" w:type="dxa"/>
            <w:shd w:val="clear" w:color="auto" w:fill="auto"/>
          </w:tcPr>
          <w:p w14:paraId="1BF8769A">
            <w:pPr>
              <w:pStyle w:val="8"/>
            </w:pPr>
            <w:r>
              <w:rPr>
                <w:rFonts w:hint="eastAsia"/>
              </w:rPr>
              <w:t xml:space="preserve">张皓 </w:t>
            </w:r>
          </w:p>
        </w:tc>
      </w:tr>
      <w:tr w14:paraId="7C6B9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40453">
            <w:pPr>
              <w:pStyle w:val="8"/>
            </w:pPr>
            <w:r>
              <w:rPr>
                <w:rFonts w:hint="eastAsia"/>
              </w:rPr>
              <w:t xml:space="preserve">联系人： </w:t>
            </w:r>
          </w:p>
        </w:tc>
        <w:tc>
          <w:tcPr>
            <w:tcW w:w="7440" w:type="dxa"/>
            <w:shd w:val="clear" w:color="auto" w:fill="auto"/>
          </w:tcPr>
          <w:p w14:paraId="03CCAC12">
            <w:pPr>
              <w:pStyle w:val="8"/>
            </w:pPr>
            <w:r>
              <w:rPr>
                <w:rFonts w:hint="eastAsia"/>
              </w:rPr>
              <w:t xml:space="preserve">梁美娜 </w:t>
            </w:r>
          </w:p>
        </w:tc>
      </w:tr>
      <w:tr w14:paraId="5CAB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24197">
            <w:pPr>
              <w:pStyle w:val="8"/>
            </w:pPr>
            <w:r>
              <w:rPr>
                <w:rFonts w:hint="eastAsia"/>
              </w:rPr>
              <w:t xml:space="preserve">电话： </w:t>
            </w:r>
          </w:p>
        </w:tc>
        <w:tc>
          <w:tcPr>
            <w:tcW w:w="7440" w:type="dxa"/>
            <w:shd w:val="clear" w:color="auto" w:fill="auto"/>
          </w:tcPr>
          <w:p w14:paraId="7DF38DBB">
            <w:pPr>
              <w:pStyle w:val="8"/>
            </w:pPr>
            <w:r>
              <w:rPr>
                <w:rFonts w:hint="eastAsia"/>
              </w:rPr>
              <w:t xml:space="preserve">021-80365243 </w:t>
            </w:r>
          </w:p>
        </w:tc>
      </w:tr>
      <w:tr w14:paraId="59A72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4358E">
            <w:pPr>
              <w:pStyle w:val="8"/>
            </w:pPr>
            <w:r>
              <w:rPr>
                <w:rFonts w:hint="eastAsia"/>
              </w:rPr>
              <w:t xml:space="preserve">传真： </w:t>
            </w:r>
          </w:p>
        </w:tc>
        <w:tc>
          <w:tcPr>
            <w:tcW w:w="7440" w:type="dxa"/>
            <w:shd w:val="clear" w:color="auto" w:fill="auto"/>
          </w:tcPr>
          <w:p w14:paraId="1864A13F">
            <w:pPr>
              <w:pStyle w:val="8"/>
            </w:pPr>
            <w:r>
              <w:rPr>
                <w:rFonts w:hint="eastAsia"/>
              </w:rPr>
              <w:t xml:space="preserve">021-60819988 </w:t>
            </w:r>
          </w:p>
        </w:tc>
      </w:tr>
      <w:tr w14:paraId="3D37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9615E">
            <w:pPr>
              <w:pStyle w:val="8"/>
            </w:pPr>
            <w:r>
              <w:rPr>
                <w:rFonts w:hint="eastAsia"/>
              </w:rPr>
              <w:t xml:space="preserve">客户服务电话： </w:t>
            </w:r>
          </w:p>
        </w:tc>
        <w:tc>
          <w:tcPr>
            <w:tcW w:w="7440" w:type="dxa"/>
            <w:shd w:val="clear" w:color="auto" w:fill="auto"/>
          </w:tcPr>
          <w:p w14:paraId="7F9E361A">
            <w:pPr>
              <w:pStyle w:val="8"/>
            </w:pPr>
            <w:r>
              <w:rPr>
                <w:rFonts w:hint="eastAsia"/>
              </w:rPr>
              <w:t xml:space="preserve">400-990-8826 </w:t>
            </w:r>
          </w:p>
        </w:tc>
      </w:tr>
      <w:tr w14:paraId="1D63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A048F">
            <w:pPr>
              <w:pStyle w:val="8"/>
            </w:pPr>
            <w:r>
              <w:rPr>
                <w:rFonts w:hint="eastAsia"/>
              </w:rPr>
              <w:t xml:space="preserve">网址： </w:t>
            </w:r>
          </w:p>
        </w:tc>
        <w:tc>
          <w:tcPr>
            <w:tcW w:w="7440" w:type="dxa"/>
            <w:shd w:val="clear" w:color="auto" w:fill="auto"/>
          </w:tcPr>
          <w:p w14:paraId="45262111">
            <w:pPr>
              <w:pStyle w:val="8"/>
            </w:pPr>
            <w:r>
              <w:rPr>
                <w:rFonts w:hint="eastAsia"/>
              </w:rPr>
              <w:t xml:space="preserve">www.citicsf.com </w:t>
            </w:r>
          </w:p>
        </w:tc>
      </w:tr>
    </w:tbl>
    <w:p w14:paraId="7CE60A90">
      <w:pPr>
        <w:pStyle w:val="8"/>
        <w:spacing w:before="0" w:beforeAutospacing="0" w:after="0" w:afterAutospacing="0" w:line="360" w:lineRule="auto"/>
        <w:ind w:firstLine="420"/>
        <w:rPr>
          <w:sz w:val="21"/>
          <w:szCs w:val="21"/>
        </w:rPr>
      </w:pPr>
      <w:r>
        <w:rPr>
          <w:rFonts w:hint="eastAsia"/>
          <w:b/>
          <w:bCs/>
          <w:sz w:val="21"/>
          <w:szCs w:val="21"/>
        </w:rPr>
        <w:t>(31)国泰海通证券股份有限公司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62EC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74728">
            <w:pPr>
              <w:pStyle w:val="8"/>
            </w:pPr>
            <w:r>
              <w:rPr>
                <w:rFonts w:hint="eastAsia"/>
              </w:rPr>
              <w:t xml:space="preserve">注册地址： </w:t>
            </w:r>
          </w:p>
        </w:tc>
        <w:tc>
          <w:tcPr>
            <w:tcW w:w="7440" w:type="dxa"/>
            <w:shd w:val="clear" w:color="auto" w:fill="auto"/>
          </w:tcPr>
          <w:p w14:paraId="67BC134A">
            <w:pPr>
              <w:pStyle w:val="8"/>
            </w:pPr>
            <w:r>
              <w:rPr>
                <w:rFonts w:hint="eastAsia"/>
              </w:rPr>
              <w:t xml:space="preserve">中国（上海）自由贸易试验区商城路618号  </w:t>
            </w:r>
          </w:p>
        </w:tc>
      </w:tr>
      <w:tr w14:paraId="4FBED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0A3A8">
            <w:pPr>
              <w:pStyle w:val="8"/>
            </w:pPr>
            <w:r>
              <w:rPr>
                <w:rFonts w:hint="eastAsia"/>
              </w:rPr>
              <w:t xml:space="preserve">办公地址： </w:t>
            </w:r>
          </w:p>
        </w:tc>
        <w:tc>
          <w:tcPr>
            <w:tcW w:w="7440" w:type="dxa"/>
            <w:shd w:val="clear" w:color="auto" w:fill="auto"/>
          </w:tcPr>
          <w:p w14:paraId="1A0C6400">
            <w:pPr>
              <w:pStyle w:val="8"/>
            </w:pPr>
            <w:r>
              <w:rPr>
                <w:rFonts w:hint="eastAsia"/>
              </w:rPr>
              <w:t xml:space="preserve">上海市静安区南京西路768号国泰君安大厦 </w:t>
            </w:r>
          </w:p>
        </w:tc>
      </w:tr>
      <w:tr w14:paraId="3304C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4B469">
            <w:pPr>
              <w:pStyle w:val="8"/>
            </w:pPr>
            <w:r>
              <w:rPr>
                <w:rFonts w:hint="eastAsia"/>
              </w:rPr>
              <w:t xml:space="preserve">法定代表人： </w:t>
            </w:r>
          </w:p>
        </w:tc>
        <w:tc>
          <w:tcPr>
            <w:tcW w:w="7440" w:type="dxa"/>
            <w:shd w:val="clear" w:color="auto" w:fill="auto"/>
          </w:tcPr>
          <w:p w14:paraId="0083062F">
            <w:pPr>
              <w:pStyle w:val="8"/>
            </w:pPr>
            <w:r>
              <w:rPr>
                <w:rFonts w:hint="eastAsia"/>
              </w:rPr>
              <w:t xml:space="preserve">朱健 </w:t>
            </w:r>
          </w:p>
        </w:tc>
      </w:tr>
      <w:tr w14:paraId="79641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B487D">
            <w:pPr>
              <w:pStyle w:val="8"/>
            </w:pPr>
            <w:r>
              <w:rPr>
                <w:rFonts w:hint="eastAsia"/>
              </w:rPr>
              <w:t xml:space="preserve">联系人： </w:t>
            </w:r>
          </w:p>
        </w:tc>
        <w:tc>
          <w:tcPr>
            <w:tcW w:w="7440" w:type="dxa"/>
            <w:shd w:val="clear" w:color="auto" w:fill="auto"/>
          </w:tcPr>
          <w:p w14:paraId="38B8A73C">
            <w:pPr>
              <w:pStyle w:val="8"/>
            </w:pPr>
            <w:r>
              <w:rPr>
                <w:rFonts w:hint="eastAsia"/>
              </w:rPr>
              <w:t xml:space="preserve">钟伟镇  </w:t>
            </w:r>
          </w:p>
        </w:tc>
      </w:tr>
      <w:tr w14:paraId="106DE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3B8CF">
            <w:pPr>
              <w:pStyle w:val="8"/>
            </w:pPr>
            <w:r>
              <w:rPr>
                <w:rFonts w:hint="eastAsia"/>
              </w:rPr>
              <w:t xml:space="preserve">电话： </w:t>
            </w:r>
          </w:p>
        </w:tc>
        <w:tc>
          <w:tcPr>
            <w:tcW w:w="7440" w:type="dxa"/>
            <w:shd w:val="clear" w:color="auto" w:fill="auto"/>
          </w:tcPr>
          <w:p w14:paraId="6C0CB799">
            <w:pPr>
              <w:pStyle w:val="8"/>
            </w:pPr>
            <w:r>
              <w:rPr>
                <w:rFonts w:hint="eastAsia"/>
              </w:rPr>
              <w:t xml:space="preserve">021-38676666  </w:t>
            </w:r>
          </w:p>
        </w:tc>
      </w:tr>
      <w:tr w14:paraId="03D1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C6EF7">
            <w:pPr>
              <w:pStyle w:val="8"/>
            </w:pPr>
            <w:r>
              <w:rPr>
                <w:rFonts w:hint="eastAsia"/>
              </w:rPr>
              <w:t xml:space="preserve">传真： </w:t>
            </w:r>
          </w:p>
        </w:tc>
        <w:tc>
          <w:tcPr>
            <w:tcW w:w="7440" w:type="dxa"/>
            <w:shd w:val="clear" w:color="auto" w:fill="auto"/>
          </w:tcPr>
          <w:p w14:paraId="27A0525F">
            <w:pPr>
              <w:pStyle w:val="8"/>
            </w:pPr>
            <w:r>
              <w:rPr>
                <w:rFonts w:hint="eastAsia"/>
              </w:rPr>
              <w:t xml:space="preserve">021-38670666  </w:t>
            </w:r>
          </w:p>
        </w:tc>
      </w:tr>
      <w:tr w14:paraId="39FE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83CBF">
            <w:pPr>
              <w:pStyle w:val="8"/>
            </w:pPr>
            <w:r>
              <w:rPr>
                <w:rFonts w:hint="eastAsia"/>
              </w:rPr>
              <w:t xml:space="preserve">客户服务电话： </w:t>
            </w:r>
          </w:p>
        </w:tc>
        <w:tc>
          <w:tcPr>
            <w:tcW w:w="7440" w:type="dxa"/>
            <w:shd w:val="clear" w:color="auto" w:fill="auto"/>
          </w:tcPr>
          <w:p w14:paraId="48346DB0">
            <w:pPr>
              <w:pStyle w:val="8"/>
            </w:pPr>
            <w:r>
              <w:rPr>
                <w:rFonts w:hint="eastAsia"/>
              </w:rPr>
              <w:t xml:space="preserve">95521/4008888666  </w:t>
            </w:r>
          </w:p>
        </w:tc>
      </w:tr>
      <w:tr w14:paraId="58C4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F4442">
            <w:pPr>
              <w:pStyle w:val="8"/>
            </w:pPr>
            <w:r>
              <w:rPr>
                <w:rFonts w:hint="eastAsia"/>
              </w:rPr>
              <w:t xml:space="preserve">网址： </w:t>
            </w:r>
          </w:p>
        </w:tc>
        <w:tc>
          <w:tcPr>
            <w:tcW w:w="7440" w:type="dxa"/>
            <w:shd w:val="clear" w:color="auto" w:fill="auto"/>
          </w:tcPr>
          <w:p w14:paraId="43211DC6">
            <w:pPr>
              <w:pStyle w:val="8"/>
            </w:pPr>
            <w:r>
              <w:rPr>
                <w:rFonts w:hint="eastAsia"/>
              </w:rPr>
              <w:t xml:space="preserve">https://www.gtht.com </w:t>
            </w:r>
          </w:p>
        </w:tc>
      </w:tr>
    </w:tbl>
    <w:p w14:paraId="36E13FB0">
      <w:pPr>
        <w:pStyle w:val="8"/>
        <w:spacing w:before="0" w:beforeAutospacing="0" w:after="0" w:afterAutospacing="0" w:line="360" w:lineRule="auto"/>
        <w:ind w:firstLine="420"/>
        <w:rPr>
          <w:sz w:val="21"/>
          <w:szCs w:val="21"/>
        </w:rPr>
      </w:pPr>
      <w:r>
        <w:rPr>
          <w:rFonts w:hint="eastAsia"/>
          <w:b/>
          <w:bCs/>
          <w:sz w:val="21"/>
          <w:szCs w:val="21"/>
        </w:rPr>
        <w:t>(32)招商证券股份有限公司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E61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140EA">
            <w:pPr>
              <w:pStyle w:val="8"/>
            </w:pPr>
            <w:r>
              <w:rPr>
                <w:rFonts w:hint="eastAsia"/>
              </w:rPr>
              <w:t xml:space="preserve">注册地址： </w:t>
            </w:r>
          </w:p>
        </w:tc>
        <w:tc>
          <w:tcPr>
            <w:tcW w:w="7440" w:type="dxa"/>
            <w:shd w:val="clear" w:color="auto" w:fill="auto"/>
          </w:tcPr>
          <w:p w14:paraId="6A8BDC37">
            <w:pPr>
              <w:pStyle w:val="8"/>
            </w:pPr>
            <w:r>
              <w:rPr>
                <w:rFonts w:hint="eastAsia"/>
              </w:rPr>
              <w:t xml:space="preserve">深圳市福田区福田街道福华一路111号 </w:t>
            </w:r>
          </w:p>
        </w:tc>
      </w:tr>
      <w:tr w14:paraId="09D48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0411D">
            <w:pPr>
              <w:pStyle w:val="8"/>
            </w:pPr>
            <w:r>
              <w:rPr>
                <w:rFonts w:hint="eastAsia"/>
              </w:rPr>
              <w:t xml:space="preserve">办公地址： </w:t>
            </w:r>
          </w:p>
        </w:tc>
        <w:tc>
          <w:tcPr>
            <w:tcW w:w="7440" w:type="dxa"/>
            <w:shd w:val="clear" w:color="auto" w:fill="auto"/>
          </w:tcPr>
          <w:p w14:paraId="2594771F">
            <w:pPr>
              <w:pStyle w:val="8"/>
            </w:pPr>
            <w:r>
              <w:rPr>
                <w:rFonts w:hint="eastAsia"/>
              </w:rPr>
              <w:t xml:space="preserve">深圳市福田区福华一路111号招商证券大厦23楼  </w:t>
            </w:r>
          </w:p>
        </w:tc>
      </w:tr>
      <w:tr w14:paraId="7F984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819FD">
            <w:pPr>
              <w:pStyle w:val="8"/>
            </w:pPr>
            <w:r>
              <w:rPr>
                <w:rFonts w:hint="eastAsia"/>
              </w:rPr>
              <w:t xml:space="preserve">法定代表人： </w:t>
            </w:r>
          </w:p>
        </w:tc>
        <w:tc>
          <w:tcPr>
            <w:tcW w:w="7440" w:type="dxa"/>
            <w:shd w:val="clear" w:color="auto" w:fill="auto"/>
          </w:tcPr>
          <w:p w14:paraId="21854335">
            <w:pPr>
              <w:pStyle w:val="8"/>
            </w:pPr>
            <w:r>
              <w:rPr>
                <w:rFonts w:hint="eastAsia"/>
              </w:rPr>
              <w:t xml:space="preserve">霍达 </w:t>
            </w:r>
          </w:p>
        </w:tc>
      </w:tr>
      <w:tr w14:paraId="6D079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37B48">
            <w:pPr>
              <w:pStyle w:val="8"/>
            </w:pPr>
            <w:r>
              <w:rPr>
                <w:rFonts w:hint="eastAsia"/>
              </w:rPr>
              <w:t xml:space="preserve">联系人： </w:t>
            </w:r>
          </w:p>
        </w:tc>
        <w:tc>
          <w:tcPr>
            <w:tcW w:w="7440" w:type="dxa"/>
            <w:shd w:val="clear" w:color="auto" w:fill="auto"/>
          </w:tcPr>
          <w:p w14:paraId="45859BBE">
            <w:pPr>
              <w:pStyle w:val="8"/>
            </w:pPr>
            <w:r>
              <w:rPr>
                <w:rFonts w:hint="eastAsia"/>
              </w:rPr>
              <w:t xml:space="preserve">业清扬 </w:t>
            </w:r>
          </w:p>
        </w:tc>
      </w:tr>
      <w:tr w14:paraId="138BE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5138E">
            <w:pPr>
              <w:pStyle w:val="8"/>
            </w:pPr>
            <w:r>
              <w:rPr>
                <w:rFonts w:hint="eastAsia"/>
              </w:rPr>
              <w:t xml:space="preserve">电话： </w:t>
            </w:r>
          </w:p>
        </w:tc>
        <w:tc>
          <w:tcPr>
            <w:tcW w:w="7440" w:type="dxa"/>
            <w:shd w:val="clear" w:color="auto" w:fill="auto"/>
          </w:tcPr>
          <w:p w14:paraId="577AC936">
            <w:pPr>
              <w:pStyle w:val="8"/>
            </w:pPr>
            <w:r>
              <w:rPr>
                <w:rFonts w:hint="eastAsia"/>
              </w:rPr>
              <w:t xml:space="preserve">0755-83081954 </w:t>
            </w:r>
          </w:p>
        </w:tc>
      </w:tr>
      <w:tr w14:paraId="042F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F0F8B">
            <w:pPr>
              <w:pStyle w:val="8"/>
            </w:pPr>
            <w:r>
              <w:rPr>
                <w:rFonts w:hint="eastAsia"/>
              </w:rPr>
              <w:t xml:space="preserve">传真： </w:t>
            </w:r>
          </w:p>
        </w:tc>
        <w:tc>
          <w:tcPr>
            <w:tcW w:w="7440" w:type="dxa"/>
            <w:shd w:val="clear" w:color="auto" w:fill="auto"/>
          </w:tcPr>
          <w:p w14:paraId="63B55CBD">
            <w:pPr>
              <w:pStyle w:val="8"/>
            </w:pPr>
            <w:r>
              <w:rPr>
                <w:rFonts w:hint="eastAsia"/>
              </w:rPr>
              <w:t xml:space="preserve">0755-83734343 </w:t>
            </w:r>
          </w:p>
        </w:tc>
      </w:tr>
      <w:tr w14:paraId="15E60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23AF0">
            <w:pPr>
              <w:pStyle w:val="8"/>
            </w:pPr>
            <w:r>
              <w:rPr>
                <w:rFonts w:hint="eastAsia"/>
              </w:rPr>
              <w:t xml:space="preserve">客户服务电话： </w:t>
            </w:r>
          </w:p>
        </w:tc>
        <w:tc>
          <w:tcPr>
            <w:tcW w:w="7440" w:type="dxa"/>
            <w:shd w:val="clear" w:color="auto" w:fill="auto"/>
          </w:tcPr>
          <w:p w14:paraId="0EF0557F">
            <w:pPr>
              <w:pStyle w:val="8"/>
            </w:pPr>
            <w:r>
              <w:rPr>
                <w:rFonts w:hint="eastAsia"/>
              </w:rPr>
              <w:t xml:space="preserve">95565 </w:t>
            </w:r>
          </w:p>
        </w:tc>
      </w:tr>
      <w:tr w14:paraId="3410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85E29">
            <w:pPr>
              <w:pStyle w:val="8"/>
            </w:pPr>
            <w:r>
              <w:rPr>
                <w:rFonts w:hint="eastAsia"/>
              </w:rPr>
              <w:t xml:space="preserve">网址： </w:t>
            </w:r>
          </w:p>
        </w:tc>
        <w:tc>
          <w:tcPr>
            <w:tcW w:w="7440" w:type="dxa"/>
            <w:shd w:val="clear" w:color="auto" w:fill="auto"/>
          </w:tcPr>
          <w:p w14:paraId="412C6AD6">
            <w:pPr>
              <w:pStyle w:val="8"/>
            </w:pPr>
            <w:r>
              <w:rPr>
                <w:rFonts w:hint="eastAsia"/>
              </w:rPr>
              <w:t xml:space="preserve">http://www.cmschina.com/ </w:t>
            </w:r>
          </w:p>
        </w:tc>
      </w:tr>
    </w:tbl>
    <w:p w14:paraId="2DAFB713">
      <w:pPr>
        <w:pStyle w:val="8"/>
        <w:spacing w:before="0" w:beforeAutospacing="0" w:after="0" w:afterAutospacing="0" w:line="360" w:lineRule="auto"/>
        <w:ind w:firstLine="420"/>
        <w:rPr>
          <w:sz w:val="21"/>
          <w:szCs w:val="21"/>
        </w:rPr>
      </w:pPr>
      <w:r>
        <w:rPr>
          <w:rFonts w:hint="eastAsia"/>
          <w:b/>
          <w:bCs/>
          <w:sz w:val="21"/>
          <w:szCs w:val="21"/>
        </w:rPr>
        <w:t>(33)中信证券股份有限公司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3ED4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88366">
            <w:pPr>
              <w:pStyle w:val="8"/>
            </w:pPr>
            <w:r>
              <w:rPr>
                <w:rFonts w:hint="eastAsia"/>
              </w:rPr>
              <w:t xml:space="preserve">注册地址： </w:t>
            </w:r>
          </w:p>
        </w:tc>
        <w:tc>
          <w:tcPr>
            <w:tcW w:w="7440" w:type="dxa"/>
            <w:shd w:val="clear" w:color="auto" w:fill="auto"/>
          </w:tcPr>
          <w:p w14:paraId="0A405556">
            <w:pPr>
              <w:pStyle w:val="8"/>
            </w:pPr>
            <w:r>
              <w:rPr>
                <w:rFonts w:hint="eastAsia"/>
              </w:rPr>
              <w:t xml:space="preserve">广东省深圳市福田区中心三路8号卓越时代广场（二期）北座 </w:t>
            </w:r>
          </w:p>
        </w:tc>
      </w:tr>
      <w:tr w14:paraId="7D8E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FF770">
            <w:pPr>
              <w:pStyle w:val="8"/>
            </w:pPr>
            <w:r>
              <w:rPr>
                <w:rFonts w:hint="eastAsia"/>
              </w:rPr>
              <w:t xml:space="preserve">办公地址： </w:t>
            </w:r>
          </w:p>
        </w:tc>
        <w:tc>
          <w:tcPr>
            <w:tcW w:w="7440" w:type="dxa"/>
            <w:shd w:val="clear" w:color="auto" w:fill="auto"/>
          </w:tcPr>
          <w:p w14:paraId="26FF3E54">
            <w:pPr>
              <w:pStyle w:val="8"/>
            </w:pPr>
            <w:r>
              <w:rPr>
                <w:rFonts w:hint="eastAsia"/>
              </w:rPr>
              <w:t xml:space="preserve">北京朝阳区新源南路6号京城大厦 </w:t>
            </w:r>
          </w:p>
        </w:tc>
      </w:tr>
      <w:tr w14:paraId="03D3F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8C269">
            <w:pPr>
              <w:pStyle w:val="8"/>
            </w:pPr>
            <w:r>
              <w:rPr>
                <w:rFonts w:hint="eastAsia"/>
              </w:rPr>
              <w:t xml:space="preserve">法定代表人： </w:t>
            </w:r>
          </w:p>
        </w:tc>
        <w:tc>
          <w:tcPr>
            <w:tcW w:w="7440" w:type="dxa"/>
            <w:shd w:val="clear" w:color="auto" w:fill="auto"/>
          </w:tcPr>
          <w:p w14:paraId="1B5E17C1">
            <w:pPr>
              <w:pStyle w:val="8"/>
            </w:pPr>
            <w:r>
              <w:rPr>
                <w:rFonts w:hint="eastAsia"/>
              </w:rPr>
              <w:t xml:space="preserve">张佑君 </w:t>
            </w:r>
          </w:p>
        </w:tc>
      </w:tr>
      <w:tr w14:paraId="33793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4CAEA">
            <w:pPr>
              <w:pStyle w:val="8"/>
            </w:pPr>
            <w:r>
              <w:rPr>
                <w:rFonts w:hint="eastAsia"/>
              </w:rPr>
              <w:t xml:space="preserve">联系人： </w:t>
            </w:r>
          </w:p>
        </w:tc>
        <w:tc>
          <w:tcPr>
            <w:tcW w:w="7440" w:type="dxa"/>
            <w:shd w:val="clear" w:color="auto" w:fill="auto"/>
          </w:tcPr>
          <w:p w14:paraId="5CAF6215">
            <w:pPr>
              <w:pStyle w:val="8"/>
            </w:pPr>
            <w:r>
              <w:rPr>
                <w:rFonts w:hint="eastAsia"/>
              </w:rPr>
              <w:t xml:space="preserve">杜杰 </w:t>
            </w:r>
          </w:p>
        </w:tc>
      </w:tr>
      <w:tr w14:paraId="48060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47CC4">
            <w:pPr>
              <w:pStyle w:val="8"/>
            </w:pPr>
            <w:r>
              <w:rPr>
                <w:rFonts w:hint="eastAsia"/>
              </w:rPr>
              <w:t xml:space="preserve">电话： </w:t>
            </w:r>
          </w:p>
        </w:tc>
        <w:tc>
          <w:tcPr>
            <w:tcW w:w="7440" w:type="dxa"/>
            <w:shd w:val="clear" w:color="auto" w:fill="auto"/>
          </w:tcPr>
          <w:p w14:paraId="57D5559A">
            <w:pPr>
              <w:pStyle w:val="8"/>
            </w:pPr>
            <w:r>
              <w:rPr>
                <w:rFonts w:hint="eastAsia"/>
              </w:rPr>
              <w:t xml:space="preserve">010-60833889  </w:t>
            </w:r>
          </w:p>
        </w:tc>
      </w:tr>
      <w:tr w14:paraId="1764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5DDE7">
            <w:pPr>
              <w:pStyle w:val="8"/>
            </w:pPr>
            <w:r>
              <w:rPr>
                <w:rFonts w:hint="eastAsia"/>
              </w:rPr>
              <w:t xml:space="preserve">传真： </w:t>
            </w:r>
          </w:p>
        </w:tc>
        <w:tc>
          <w:tcPr>
            <w:tcW w:w="7440" w:type="dxa"/>
            <w:shd w:val="clear" w:color="auto" w:fill="auto"/>
          </w:tcPr>
          <w:p w14:paraId="18D9EF06">
            <w:pPr>
              <w:pStyle w:val="8"/>
            </w:pPr>
            <w:r>
              <w:rPr>
                <w:rFonts w:hint="eastAsia"/>
              </w:rPr>
              <w:t xml:space="preserve">010－84865560 </w:t>
            </w:r>
          </w:p>
        </w:tc>
      </w:tr>
      <w:tr w14:paraId="7C123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A7FCE">
            <w:pPr>
              <w:pStyle w:val="8"/>
            </w:pPr>
            <w:r>
              <w:rPr>
                <w:rFonts w:hint="eastAsia"/>
              </w:rPr>
              <w:t xml:space="preserve">客户服务电话： </w:t>
            </w:r>
          </w:p>
        </w:tc>
        <w:tc>
          <w:tcPr>
            <w:tcW w:w="7440" w:type="dxa"/>
            <w:shd w:val="clear" w:color="auto" w:fill="auto"/>
          </w:tcPr>
          <w:p w14:paraId="52E3EFD4">
            <w:pPr>
              <w:pStyle w:val="8"/>
            </w:pPr>
            <w:r>
              <w:rPr>
                <w:rFonts w:hint="eastAsia"/>
              </w:rPr>
              <w:t xml:space="preserve">95548 </w:t>
            </w:r>
          </w:p>
        </w:tc>
      </w:tr>
      <w:tr w14:paraId="5097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F528A">
            <w:pPr>
              <w:pStyle w:val="8"/>
            </w:pPr>
            <w:r>
              <w:rPr>
                <w:rFonts w:hint="eastAsia"/>
              </w:rPr>
              <w:t xml:space="preserve">网址： </w:t>
            </w:r>
          </w:p>
        </w:tc>
        <w:tc>
          <w:tcPr>
            <w:tcW w:w="7440" w:type="dxa"/>
            <w:shd w:val="clear" w:color="auto" w:fill="auto"/>
          </w:tcPr>
          <w:p w14:paraId="13A10194">
            <w:pPr>
              <w:pStyle w:val="8"/>
            </w:pPr>
            <w:r>
              <w:rPr>
                <w:rFonts w:hint="eastAsia"/>
              </w:rPr>
              <w:t xml:space="preserve">http://www.cs.ecitic.com/ </w:t>
            </w:r>
          </w:p>
        </w:tc>
      </w:tr>
    </w:tbl>
    <w:p w14:paraId="4471494E">
      <w:pPr>
        <w:pStyle w:val="8"/>
        <w:spacing w:before="0" w:beforeAutospacing="0" w:after="0" w:afterAutospacing="0" w:line="360" w:lineRule="auto"/>
        <w:ind w:firstLine="420"/>
        <w:rPr>
          <w:sz w:val="21"/>
          <w:szCs w:val="21"/>
        </w:rPr>
      </w:pPr>
      <w:r>
        <w:rPr>
          <w:rFonts w:hint="eastAsia"/>
          <w:b/>
          <w:bCs/>
          <w:sz w:val="21"/>
          <w:szCs w:val="21"/>
        </w:rPr>
        <w:t>(34)中国银河证券股份有限公司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11D4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6713E">
            <w:pPr>
              <w:pStyle w:val="8"/>
            </w:pPr>
            <w:r>
              <w:rPr>
                <w:rFonts w:hint="eastAsia"/>
              </w:rPr>
              <w:t xml:space="preserve">注册地址： </w:t>
            </w:r>
          </w:p>
        </w:tc>
        <w:tc>
          <w:tcPr>
            <w:tcW w:w="7440" w:type="dxa"/>
            <w:shd w:val="clear" w:color="auto" w:fill="auto"/>
          </w:tcPr>
          <w:p w14:paraId="3F369FE0">
            <w:pPr>
              <w:pStyle w:val="8"/>
            </w:pPr>
            <w:r>
              <w:rPr>
                <w:rFonts w:hint="eastAsia"/>
              </w:rPr>
              <w:t xml:space="preserve">北京市丰台区西营街8号院1号楼7至18层101 </w:t>
            </w:r>
          </w:p>
        </w:tc>
      </w:tr>
      <w:tr w14:paraId="4F21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59FEE">
            <w:pPr>
              <w:pStyle w:val="8"/>
            </w:pPr>
            <w:r>
              <w:rPr>
                <w:rFonts w:hint="eastAsia"/>
              </w:rPr>
              <w:t xml:space="preserve">办公地址： </w:t>
            </w:r>
          </w:p>
        </w:tc>
        <w:tc>
          <w:tcPr>
            <w:tcW w:w="7440" w:type="dxa"/>
            <w:shd w:val="clear" w:color="auto" w:fill="auto"/>
          </w:tcPr>
          <w:p w14:paraId="4DAC4DBA">
            <w:pPr>
              <w:pStyle w:val="8"/>
            </w:pPr>
            <w:r>
              <w:rPr>
                <w:rFonts w:hint="eastAsia"/>
              </w:rPr>
              <w:t xml:space="preserve">北京市丰台区西营街8号院1号楼青海金融大厦 </w:t>
            </w:r>
          </w:p>
        </w:tc>
      </w:tr>
      <w:tr w14:paraId="218C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7A8BE">
            <w:pPr>
              <w:pStyle w:val="8"/>
            </w:pPr>
            <w:r>
              <w:rPr>
                <w:rFonts w:hint="eastAsia"/>
              </w:rPr>
              <w:t xml:space="preserve">法定代表人： </w:t>
            </w:r>
          </w:p>
        </w:tc>
        <w:tc>
          <w:tcPr>
            <w:tcW w:w="7440" w:type="dxa"/>
            <w:shd w:val="clear" w:color="auto" w:fill="auto"/>
          </w:tcPr>
          <w:p w14:paraId="3C182C3B">
            <w:pPr>
              <w:pStyle w:val="8"/>
            </w:pPr>
            <w:r>
              <w:rPr>
                <w:rFonts w:hint="eastAsia"/>
              </w:rPr>
              <w:t xml:space="preserve">王晟 </w:t>
            </w:r>
          </w:p>
        </w:tc>
      </w:tr>
      <w:tr w14:paraId="4F6CB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70AC24">
            <w:pPr>
              <w:pStyle w:val="8"/>
            </w:pPr>
            <w:r>
              <w:rPr>
                <w:rFonts w:hint="eastAsia"/>
              </w:rPr>
              <w:t xml:space="preserve">电话： </w:t>
            </w:r>
          </w:p>
        </w:tc>
        <w:tc>
          <w:tcPr>
            <w:tcW w:w="7440" w:type="dxa"/>
            <w:shd w:val="clear" w:color="auto" w:fill="auto"/>
          </w:tcPr>
          <w:p w14:paraId="09E65394">
            <w:pPr>
              <w:pStyle w:val="8"/>
            </w:pPr>
            <w:r>
              <w:rPr>
                <w:rFonts w:hint="eastAsia"/>
              </w:rPr>
              <w:t xml:space="preserve">010-80928123 </w:t>
            </w:r>
          </w:p>
        </w:tc>
      </w:tr>
      <w:tr w14:paraId="4E57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22242">
            <w:pPr>
              <w:pStyle w:val="8"/>
            </w:pPr>
            <w:r>
              <w:rPr>
                <w:rFonts w:hint="eastAsia"/>
              </w:rPr>
              <w:t xml:space="preserve">客户服务电话： </w:t>
            </w:r>
          </w:p>
        </w:tc>
        <w:tc>
          <w:tcPr>
            <w:tcW w:w="7440" w:type="dxa"/>
            <w:shd w:val="clear" w:color="auto" w:fill="auto"/>
          </w:tcPr>
          <w:p w14:paraId="06A78F91">
            <w:pPr>
              <w:pStyle w:val="8"/>
            </w:pPr>
            <w:r>
              <w:rPr>
                <w:rFonts w:hint="eastAsia"/>
              </w:rPr>
              <w:t xml:space="preserve">4008-888-888或95551 </w:t>
            </w:r>
          </w:p>
        </w:tc>
      </w:tr>
      <w:tr w14:paraId="4A988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F7D82">
            <w:pPr>
              <w:pStyle w:val="8"/>
            </w:pPr>
            <w:r>
              <w:rPr>
                <w:rFonts w:hint="eastAsia"/>
              </w:rPr>
              <w:t xml:space="preserve">网址： </w:t>
            </w:r>
          </w:p>
        </w:tc>
        <w:tc>
          <w:tcPr>
            <w:tcW w:w="7440" w:type="dxa"/>
            <w:shd w:val="clear" w:color="auto" w:fill="auto"/>
          </w:tcPr>
          <w:p w14:paraId="67C4F3D4">
            <w:pPr>
              <w:pStyle w:val="8"/>
            </w:pPr>
            <w:r>
              <w:rPr>
                <w:rFonts w:hint="eastAsia"/>
              </w:rPr>
              <w:t xml:space="preserve">http:// www.chinastock.com.cn/ </w:t>
            </w:r>
          </w:p>
        </w:tc>
      </w:tr>
    </w:tbl>
    <w:p w14:paraId="6AB9CAA6">
      <w:pPr>
        <w:pStyle w:val="8"/>
        <w:spacing w:before="0" w:beforeAutospacing="0" w:after="0" w:afterAutospacing="0" w:line="360" w:lineRule="auto"/>
        <w:ind w:firstLine="420"/>
        <w:rPr>
          <w:sz w:val="21"/>
          <w:szCs w:val="21"/>
        </w:rPr>
      </w:pPr>
      <w:r>
        <w:rPr>
          <w:rFonts w:hint="eastAsia"/>
          <w:b/>
          <w:bCs/>
          <w:sz w:val="21"/>
          <w:szCs w:val="21"/>
        </w:rPr>
        <w:t>(35)海通证券股份有限公司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61DF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1AB7E">
            <w:pPr>
              <w:pStyle w:val="8"/>
            </w:pPr>
            <w:r>
              <w:rPr>
                <w:rFonts w:hint="eastAsia"/>
              </w:rPr>
              <w:t xml:space="preserve">注册地址： </w:t>
            </w:r>
          </w:p>
        </w:tc>
        <w:tc>
          <w:tcPr>
            <w:tcW w:w="7440" w:type="dxa"/>
            <w:shd w:val="clear" w:color="auto" w:fill="auto"/>
          </w:tcPr>
          <w:p w14:paraId="44F20C85">
            <w:pPr>
              <w:pStyle w:val="8"/>
            </w:pPr>
            <w:r>
              <w:rPr>
                <w:rFonts w:hint="eastAsia"/>
              </w:rPr>
              <w:t xml:space="preserve">上海市淮海中路98号 </w:t>
            </w:r>
          </w:p>
        </w:tc>
      </w:tr>
      <w:tr w14:paraId="5E64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32FF2">
            <w:pPr>
              <w:pStyle w:val="8"/>
            </w:pPr>
            <w:r>
              <w:rPr>
                <w:rFonts w:hint="eastAsia"/>
              </w:rPr>
              <w:t xml:space="preserve">办公地址： </w:t>
            </w:r>
          </w:p>
        </w:tc>
        <w:tc>
          <w:tcPr>
            <w:tcW w:w="7440" w:type="dxa"/>
            <w:shd w:val="clear" w:color="auto" w:fill="auto"/>
          </w:tcPr>
          <w:p w14:paraId="6D6111B6">
            <w:pPr>
              <w:pStyle w:val="8"/>
            </w:pPr>
            <w:r>
              <w:rPr>
                <w:rFonts w:hint="eastAsia"/>
              </w:rPr>
              <w:t xml:space="preserve">上海市广东路689号海通证券大厦 </w:t>
            </w:r>
          </w:p>
        </w:tc>
      </w:tr>
      <w:tr w14:paraId="0894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9B2A8">
            <w:pPr>
              <w:pStyle w:val="8"/>
            </w:pPr>
            <w:r>
              <w:rPr>
                <w:rFonts w:hint="eastAsia"/>
              </w:rPr>
              <w:t xml:space="preserve">法定代表人： </w:t>
            </w:r>
          </w:p>
        </w:tc>
        <w:tc>
          <w:tcPr>
            <w:tcW w:w="7440" w:type="dxa"/>
            <w:shd w:val="clear" w:color="auto" w:fill="auto"/>
          </w:tcPr>
          <w:p w14:paraId="60D68875">
            <w:pPr>
              <w:pStyle w:val="8"/>
            </w:pPr>
            <w:r>
              <w:rPr>
                <w:rFonts w:hint="eastAsia"/>
              </w:rPr>
              <w:t xml:space="preserve">周杰 </w:t>
            </w:r>
          </w:p>
        </w:tc>
      </w:tr>
      <w:tr w14:paraId="5B939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61AA0">
            <w:pPr>
              <w:pStyle w:val="8"/>
            </w:pPr>
            <w:r>
              <w:rPr>
                <w:rFonts w:hint="eastAsia"/>
              </w:rPr>
              <w:t xml:space="preserve">联系人： </w:t>
            </w:r>
          </w:p>
        </w:tc>
        <w:tc>
          <w:tcPr>
            <w:tcW w:w="7440" w:type="dxa"/>
            <w:shd w:val="clear" w:color="auto" w:fill="auto"/>
          </w:tcPr>
          <w:p w14:paraId="7136FD66">
            <w:pPr>
              <w:pStyle w:val="8"/>
            </w:pPr>
            <w:r>
              <w:rPr>
                <w:rFonts w:hint="eastAsia"/>
              </w:rPr>
              <w:t xml:space="preserve">李笑鸣 </w:t>
            </w:r>
          </w:p>
        </w:tc>
      </w:tr>
      <w:tr w14:paraId="21DCF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CFC37">
            <w:pPr>
              <w:pStyle w:val="8"/>
            </w:pPr>
            <w:r>
              <w:rPr>
                <w:rFonts w:hint="eastAsia"/>
              </w:rPr>
              <w:t xml:space="preserve">电话： </w:t>
            </w:r>
          </w:p>
        </w:tc>
        <w:tc>
          <w:tcPr>
            <w:tcW w:w="7440" w:type="dxa"/>
            <w:shd w:val="clear" w:color="auto" w:fill="auto"/>
          </w:tcPr>
          <w:p w14:paraId="3E48070F">
            <w:pPr>
              <w:pStyle w:val="8"/>
            </w:pPr>
            <w:r>
              <w:rPr>
                <w:rFonts w:hint="eastAsia"/>
              </w:rPr>
              <w:t xml:space="preserve">021-23219275 </w:t>
            </w:r>
          </w:p>
        </w:tc>
      </w:tr>
      <w:tr w14:paraId="4F32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FED74">
            <w:pPr>
              <w:pStyle w:val="8"/>
            </w:pPr>
            <w:r>
              <w:rPr>
                <w:rFonts w:hint="eastAsia"/>
              </w:rPr>
              <w:t xml:space="preserve">传真： </w:t>
            </w:r>
          </w:p>
        </w:tc>
        <w:tc>
          <w:tcPr>
            <w:tcW w:w="7440" w:type="dxa"/>
            <w:shd w:val="clear" w:color="auto" w:fill="auto"/>
          </w:tcPr>
          <w:p w14:paraId="045CBC3D">
            <w:pPr>
              <w:pStyle w:val="8"/>
            </w:pPr>
            <w:r>
              <w:rPr>
                <w:rFonts w:hint="eastAsia"/>
              </w:rPr>
              <w:t xml:space="preserve">021－63602722 </w:t>
            </w:r>
          </w:p>
        </w:tc>
      </w:tr>
      <w:tr w14:paraId="484B2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57741">
            <w:pPr>
              <w:pStyle w:val="8"/>
            </w:pPr>
            <w:r>
              <w:rPr>
                <w:rFonts w:hint="eastAsia"/>
              </w:rPr>
              <w:t xml:space="preserve">客户服务电话： </w:t>
            </w:r>
          </w:p>
        </w:tc>
        <w:tc>
          <w:tcPr>
            <w:tcW w:w="7440" w:type="dxa"/>
            <w:shd w:val="clear" w:color="auto" w:fill="auto"/>
          </w:tcPr>
          <w:p w14:paraId="6EADDB25">
            <w:pPr>
              <w:pStyle w:val="8"/>
            </w:pPr>
            <w:r>
              <w:rPr>
                <w:rFonts w:hint="eastAsia"/>
              </w:rPr>
              <w:t xml:space="preserve">95553 </w:t>
            </w:r>
          </w:p>
        </w:tc>
      </w:tr>
      <w:tr w14:paraId="7C93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B07C7">
            <w:pPr>
              <w:pStyle w:val="8"/>
            </w:pPr>
            <w:r>
              <w:rPr>
                <w:rFonts w:hint="eastAsia"/>
              </w:rPr>
              <w:t xml:space="preserve">网址： </w:t>
            </w:r>
          </w:p>
        </w:tc>
        <w:tc>
          <w:tcPr>
            <w:tcW w:w="7440" w:type="dxa"/>
            <w:shd w:val="clear" w:color="auto" w:fill="auto"/>
          </w:tcPr>
          <w:p w14:paraId="66E60F33">
            <w:pPr>
              <w:pStyle w:val="8"/>
            </w:pPr>
            <w:r>
              <w:rPr>
                <w:rFonts w:hint="eastAsia"/>
              </w:rPr>
              <w:t xml:space="preserve">http://www.htsec.com/ </w:t>
            </w:r>
          </w:p>
        </w:tc>
      </w:tr>
    </w:tbl>
    <w:p w14:paraId="3A0423CF">
      <w:pPr>
        <w:pStyle w:val="8"/>
        <w:spacing w:before="0" w:beforeAutospacing="0" w:after="0" w:afterAutospacing="0" w:line="360" w:lineRule="auto"/>
        <w:ind w:firstLine="420"/>
        <w:rPr>
          <w:sz w:val="21"/>
          <w:szCs w:val="21"/>
        </w:rPr>
      </w:pPr>
      <w:r>
        <w:rPr>
          <w:rFonts w:hint="eastAsia"/>
          <w:b/>
          <w:bCs/>
          <w:sz w:val="21"/>
          <w:szCs w:val="21"/>
        </w:rPr>
        <w:t>(36)西南证券股份有限公司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F84C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DCF6E">
            <w:pPr>
              <w:pStyle w:val="8"/>
            </w:pPr>
            <w:r>
              <w:rPr>
                <w:rFonts w:hint="eastAsia"/>
              </w:rPr>
              <w:t xml:space="preserve">注册地址： </w:t>
            </w:r>
          </w:p>
        </w:tc>
        <w:tc>
          <w:tcPr>
            <w:tcW w:w="7440" w:type="dxa"/>
            <w:shd w:val="clear" w:color="auto" w:fill="auto"/>
          </w:tcPr>
          <w:p w14:paraId="69769A2D">
            <w:pPr>
              <w:pStyle w:val="8"/>
            </w:pPr>
            <w:r>
              <w:rPr>
                <w:rFonts w:hint="eastAsia"/>
              </w:rPr>
              <w:t xml:space="preserve">重庆市江北区金沙门路32号 </w:t>
            </w:r>
          </w:p>
        </w:tc>
      </w:tr>
      <w:tr w14:paraId="2160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CE86AA">
            <w:pPr>
              <w:pStyle w:val="8"/>
            </w:pPr>
            <w:r>
              <w:rPr>
                <w:rFonts w:hint="eastAsia"/>
              </w:rPr>
              <w:t xml:space="preserve">办公地址： </w:t>
            </w:r>
          </w:p>
        </w:tc>
        <w:tc>
          <w:tcPr>
            <w:tcW w:w="7440" w:type="dxa"/>
            <w:shd w:val="clear" w:color="auto" w:fill="auto"/>
          </w:tcPr>
          <w:p w14:paraId="3F83C31F">
            <w:pPr>
              <w:pStyle w:val="8"/>
            </w:pPr>
            <w:r>
              <w:rPr>
                <w:rFonts w:hint="eastAsia"/>
              </w:rPr>
              <w:t xml:space="preserve">重庆市江北区金沙门路32号 </w:t>
            </w:r>
          </w:p>
        </w:tc>
      </w:tr>
      <w:tr w14:paraId="3D351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6083A">
            <w:pPr>
              <w:pStyle w:val="8"/>
            </w:pPr>
            <w:r>
              <w:rPr>
                <w:rFonts w:hint="eastAsia"/>
              </w:rPr>
              <w:t xml:space="preserve">法定代表人： </w:t>
            </w:r>
          </w:p>
        </w:tc>
        <w:tc>
          <w:tcPr>
            <w:tcW w:w="7440" w:type="dxa"/>
            <w:shd w:val="clear" w:color="auto" w:fill="auto"/>
          </w:tcPr>
          <w:p w14:paraId="12BFC63D">
            <w:pPr>
              <w:pStyle w:val="8"/>
            </w:pPr>
            <w:r>
              <w:rPr>
                <w:rFonts w:hint="eastAsia"/>
              </w:rPr>
              <w:t xml:space="preserve">杨雨松 </w:t>
            </w:r>
          </w:p>
        </w:tc>
      </w:tr>
      <w:tr w14:paraId="259F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5B18CA">
            <w:pPr>
              <w:pStyle w:val="8"/>
            </w:pPr>
            <w:r>
              <w:rPr>
                <w:rFonts w:hint="eastAsia"/>
              </w:rPr>
              <w:t xml:space="preserve">联系人： </w:t>
            </w:r>
          </w:p>
        </w:tc>
        <w:tc>
          <w:tcPr>
            <w:tcW w:w="7440" w:type="dxa"/>
            <w:shd w:val="clear" w:color="auto" w:fill="auto"/>
          </w:tcPr>
          <w:p w14:paraId="2AD19E8B">
            <w:pPr>
              <w:pStyle w:val="8"/>
            </w:pPr>
            <w:r>
              <w:rPr>
                <w:rFonts w:hint="eastAsia"/>
              </w:rPr>
              <w:t xml:space="preserve">宋涧乔 </w:t>
            </w:r>
          </w:p>
        </w:tc>
      </w:tr>
      <w:tr w14:paraId="34B0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A9D25F">
            <w:pPr>
              <w:pStyle w:val="8"/>
            </w:pPr>
            <w:r>
              <w:rPr>
                <w:rFonts w:hint="eastAsia"/>
              </w:rPr>
              <w:t xml:space="preserve">电话： </w:t>
            </w:r>
          </w:p>
        </w:tc>
        <w:tc>
          <w:tcPr>
            <w:tcW w:w="7440" w:type="dxa"/>
            <w:shd w:val="clear" w:color="auto" w:fill="auto"/>
          </w:tcPr>
          <w:p w14:paraId="50DF6B98">
            <w:pPr>
              <w:pStyle w:val="8"/>
            </w:pPr>
            <w:r>
              <w:rPr>
                <w:rFonts w:hint="eastAsia"/>
              </w:rPr>
              <w:t xml:space="preserve">023-67747414 </w:t>
            </w:r>
          </w:p>
        </w:tc>
      </w:tr>
      <w:tr w14:paraId="4B25A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3BB4B">
            <w:pPr>
              <w:pStyle w:val="8"/>
            </w:pPr>
            <w:r>
              <w:rPr>
                <w:rFonts w:hint="eastAsia"/>
              </w:rPr>
              <w:t xml:space="preserve">传真： </w:t>
            </w:r>
          </w:p>
        </w:tc>
        <w:tc>
          <w:tcPr>
            <w:tcW w:w="7440" w:type="dxa"/>
            <w:shd w:val="clear" w:color="auto" w:fill="auto"/>
          </w:tcPr>
          <w:p w14:paraId="157DB3D9">
            <w:pPr>
              <w:pStyle w:val="8"/>
            </w:pPr>
            <w:r>
              <w:rPr>
                <w:rFonts w:hint="eastAsia"/>
              </w:rPr>
              <w:t xml:space="preserve">023-63786212 </w:t>
            </w:r>
          </w:p>
        </w:tc>
      </w:tr>
      <w:tr w14:paraId="50448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7097E5">
            <w:pPr>
              <w:pStyle w:val="8"/>
            </w:pPr>
            <w:r>
              <w:rPr>
                <w:rFonts w:hint="eastAsia"/>
              </w:rPr>
              <w:t xml:space="preserve">客户服务电话： </w:t>
            </w:r>
          </w:p>
        </w:tc>
        <w:tc>
          <w:tcPr>
            <w:tcW w:w="7440" w:type="dxa"/>
            <w:shd w:val="clear" w:color="auto" w:fill="auto"/>
          </w:tcPr>
          <w:p w14:paraId="3805C2C4">
            <w:pPr>
              <w:pStyle w:val="8"/>
            </w:pPr>
            <w:r>
              <w:rPr>
                <w:rFonts w:hint="eastAsia"/>
              </w:rPr>
              <w:t xml:space="preserve">4008096096 </w:t>
            </w:r>
          </w:p>
        </w:tc>
      </w:tr>
      <w:tr w14:paraId="1143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3655D">
            <w:pPr>
              <w:pStyle w:val="8"/>
            </w:pPr>
            <w:r>
              <w:rPr>
                <w:rFonts w:hint="eastAsia"/>
              </w:rPr>
              <w:t xml:space="preserve">网址： </w:t>
            </w:r>
          </w:p>
        </w:tc>
        <w:tc>
          <w:tcPr>
            <w:tcW w:w="7440" w:type="dxa"/>
            <w:shd w:val="clear" w:color="auto" w:fill="auto"/>
          </w:tcPr>
          <w:p w14:paraId="23C4D6DB">
            <w:pPr>
              <w:pStyle w:val="8"/>
            </w:pPr>
            <w:r>
              <w:rPr>
                <w:rFonts w:hint="eastAsia"/>
              </w:rPr>
              <w:t xml:space="preserve">http://www.swsc.com.cn </w:t>
            </w:r>
          </w:p>
        </w:tc>
      </w:tr>
    </w:tbl>
    <w:p w14:paraId="695E6686">
      <w:pPr>
        <w:pStyle w:val="8"/>
        <w:spacing w:before="0" w:beforeAutospacing="0" w:after="0" w:afterAutospacing="0" w:line="360" w:lineRule="auto"/>
        <w:ind w:firstLine="420"/>
        <w:rPr>
          <w:sz w:val="21"/>
          <w:szCs w:val="21"/>
        </w:rPr>
      </w:pPr>
      <w:r>
        <w:rPr>
          <w:rFonts w:hint="eastAsia"/>
          <w:b/>
          <w:bCs/>
          <w:sz w:val="21"/>
          <w:szCs w:val="21"/>
        </w:rPr>
        <w:t>(37)万联证券股份有限公司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83D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EE765">
            <w:pPr>
              <w:pStyle w:val="8"/>
            </w:pPr>
            <w:r>
              <w:rPr>
                <w:rFonts w:hint="eastAsia"/>
              </w:rPr>
              <w:t xml:space="preserve">注册地址： </w:t>
            </w:r>
          </w:p>
        </w:tc>
        <w:tc>
          <w:tcPr>
            <w:tcW w:w="7440" w:type="dxa"/>
            <w:shd w:val="clear" w:color="auto" w:fill="auto"/>
          </w:tcPr>
          <w:p w14:paraId="3A985D94">
            <w:pPr>
              <w:pStyle w:val="8"/>
            </w:pPr>
            <w:r>
              <w:rPr>
                <w:rFonts w:hint="eastAsia"/>
              </w:rPr>
              <w:t xml:space="preserve">广州市天河区珠江东路11号18、19楼全层 </w:t>
            </w:r>
          </w:p>
        </w:tc>
      </w:tr>
      <w:tr w14:paraId="1192D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880B0">
            <w:pPr>
              <w:pStyle w:val="8"/>
            </w:pPr>
            <w:r>
              <w:rPr>
                <w:rFonts w:hint="eastAsia"/>
              </w:rPr>
              <w:t xml:space="preserve">办公地址： </w:t>
            </w:r>
          </w:p>
        </w:tc>
        <w:tc>
          <w:tcPr>
            <w:tcW w:w="7440" w:type="dxa"/>
            <w:shd w:val="clear" w:color="auto" w:fill="auto"/>
          </w:tcPr>
          <w:p w14:paraId="012E8420">
            <w:pPr>
              <w:pStyle w:val="8"/>
            </w:pPr>
            <w:r>
              <w:rPr>
                <w:rFonts w:hint="eastAsia"/>
              </w:rPr>
              <w:t xml:space="preserve">广东省广州市天河区珠江东路13号高德置地广场E座12层 </w:t>
            </w:r>
          </w:p>
        </w:tc>
      </w:tr>
      <w:tr w14:paraId="462D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59B45">
            <w:pPr>
              <w:pStyle w:val="8"/>
            </w:pPr>
            <w:r>
              <w:rPr>
                <w:rFonts w:hint="eastAsia"/>
              </w:rPr>
              <w:t xml:space="preserve">法定代表人： </w:t>
            </w:r>
          </w:p>
        </w:tc>
        <w:tc>
          <w:tcPr>
            <w:tcW w:w="7440" w:type="dxa"/>
            <w:shd w:val="clear" w:color="auto" w:fill="auto"/>
          </w:tcPr>
          <w:p w14:paraId="580F9343">
            <w:pPr>
              <w:pStyle w:val="8"/>
            </w:pPr>
            <w:r>
              <w:rPr>
                <w:rFonts w:hint="eastAsia"/>
              </w:rPr>
              <w:t xml:space="preserve">王达 </w:t>
            </w:r>
          </w:p>
        </w:tc>
      </w:tr>
      <w:tr w14:paraId="1496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6A6B6">
            <w:pPr>
              <w:pStyle w:val="8"/>
            </w:pPr>
            <w:r>
              <w:rPr>
                <w:rFonts w:hint="eastAsia"/>
              </w:rPr>
              <w:t xml:space="preserve">联系人： </w:t>
            </w:r>
          </w:p>
        </w:tc>
        <w:tc>
          <w:tcPr>
            <w:tcW w:w="7440" w:type="dxa"/>
            <w:shd w:val="clear" w:color="auto" w:fill="auto"/>
          </w:tcPr>
          <w:p w14:paraId="161F6B37">
            <w:pPr>
              <w:pStyle w:val="8"/>
            </w:pPr>
            <w:r>
              <w:rPr>
                <w:rFonts w:hint="eastAsia"/>
              </w:rPr>
              <w:t xml:space="preserve">丁思 </w:t>
            </w:r>
          </w:p>
        </w:tc>
      </w:tr>
      <w:tr w14:paraId="1D3C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09F7C">
            <w:pPr>
              <w:pStyle w:val="8"/>
            </w:pPr>
            <w:r>
              <w:rPr>
                <w:rFonts w:hint="eastAsia"/>
              </w:rPr>
              <w:t xml:space="preserve">电话： </w:t>
            </w:r>
          </w:p>
        </w:tc>
        <w:tc>
          <w:tcPr>
            <w:tcW w:w="7440" w:type="dxa"/>
            <w:shd w:val="clear" w:color="auto" w:fill="auto"/>
          </w:tcPr>
          <w:p w14:paraId="2D6C6145">
            <w:pPr>
              <w:pStyle w:val="8"/>
            </w:pPr>
            <w:r>
              <w:rPr>
                <w:rFonts w:hint="eastAsia"/>
              </w:rPr>
              <w:t xml:space="preserve">020-83988334  </w:t>
            </w:r>
          </w:p>
        </w:tc>
      </w:tr>
      <w:tr w14:paraId="2127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CBC5D">
            <w:pPr>
              <w:pStyle w:val="8"/>
            </w:pPr>
            <w:r>
              <w:rPr>
                <w:rFonts w:hint="eastAsia"/>
              </w:rPr>
              <w:t xml:space="preserve">客户服务电话： </w:t>
            </w:r>
          </w:p>
        </w:tc>
        <w:tc>
          <w:tcPr>
            <w:tcW w:w="7440" w:type="dxa"/>
            <w:shd w:val="clear" w:color="auto" w:fill="auto"/>
          </w:tcPr>
          <w:p w14:paraId="0F950E7F">
            <w:pPr>
              <w:pStyle w:val="8"/>
            </w:pPr>
            <w:r>
              <w:rPr>
                <w:rFonts w:hint="eastAsia"/>
              </w:rPr>
              <w:t xml:space="preserve">95322 </w:t>
            </w:r>
          </w:p>
        </w:tc>
      </w:tr>
      <w:tr w14:paraId="2533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AC7C0">
            <w:pPr>
              <w:pStyle w:val="8"/>
            </w:pPr>
            <w:r>
              <w:rPr>
                <w:rFonts w:hint="eastAsia"/>
              </w:rPr>
              <w:t xml:space="preserve">网址： </w:t>
            </w:r>
          </w:p>
        </w:tc>
        <w:tc>
          <w:tcPr>
            <w:tcW w:w="7440" w:type="dxa"/>
            <w:shd w:val="clear" w:color="auto" w:fill="auto"/>
          </w:tcPr>
          <w:p w14:paraId="3A1CDE35">
            <w:pPr>
              <w:pStyle w:val="8"/>
            </w:pPr>
            <w:r>
              <w:rPr>
                <w:rFonts w:hint="eastAsia"/>
              </w:rPr>
              <w:t xml:space="preserve">http://www.wlzq.cn </w:t>
            </w:r>
          </w:p>
        </w:tc>
      </w:tr>
    </w:tbl>
    <w:p w14:paraId="21882E1F">
      <w:pPr>
        <w:pStyle w:val="8"/>
        <w:spacing w:before="0" w:beforeAutospacing="0" w:after="0" w:afterAutospacing="0" w:line="360" w:lineRule="auto"/>
        <w:ind w:firstLine="420"/>
        <w:rPr>
          <w:sz w:val="21"/>
          <w:szCs w:val="21"/>
        </w:rPr>
      </w:pPr>
      <w:r>
        <w:rPr>
          <w:rFonts w:hint="eastAsia"/>
          <w:b/>
          <w:bCs/>
          <w:sz w:val="21"/>
          <w:szCs w:val="21"/>
        </w:rPr>
        <w:t>(38)中信证券（山东）有限责任公司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BBA9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852F3">
            <w:pPr>
              <w:pStyle w:val="8"/>
            </w:pPr>
            <w:r>
              <w:rPr>
                <w:rFonts w:hint="eastAsia"/>
              </w:rPr>
              <w:t xml:space="preserve">注册地址： </w:t>
            </w:r>
          </w:p>
        </w:tc>
        <w:tc>
          <w:tcPr>
            <w:tcW w:w="7440" w:type="dxa"/>
            <w:shd w:val="clear" w:color="auto" w:fill="auto"/>
          </w:tcPr>
          <w:p w14:paraId="7AE2E058">
            <w:pPr>
              <w:pStyle w:val="8"/>
            </w:pPr>
            <w:r>
              <w:rPr>
                <w:rFonts w:hint="eastAsia"/>
              </w:rPr>
              <w:t xml:space="preserve">青岛市崂山区深圳路222号1号楼2001 </w:t>
            </w:r>
          </w:p>
        </w:tc>
      </w:tr>
      <w:tr w14:paraId="4DFF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A5D3B">
            <w:pPr>
              <w:pStyle w:val="8"/>
            </w:pPr>
            <w:r>
              <w:rPr>
                <w:rFonts w:hint="eastAsia"/>
              </w:rPr>
              <w:t xml:space="preserve">办公地址： </w:t>
            </w:r>
          </w:p>
        </w:tc>
        <w:tc>
          <w:tcPr>
            <w:tcW w:w="7440" w:type="dxa"/>
            <w:shd w:val="clear" w:color="auto" w:fill="auto"/>
          </w:tcPr>
          <w:p w14:paraId="01E7BB21">
            <w:pPr>
              <w:pStyle w:val="8"/>
            </w:pPr>
            <w:r>
              <w:rPr>
                <w:rFonts w:hint="eastAsia"/>
              </w:rPr>
              <w:t xml:space="preserve">青岛市市南区东海西路28号龙翔广场东座5层 </w:t>
            </w:r>
          </w:p>
        </w:tc>
      </w:tr>
      <w:tr w14:paraId="584C8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C77BD">
            <w:pPr>
              <w:pStyle w:val="8"/>
            </w:pPr>
            <w:r>
              <w:rPr>
                <w:rFonts w:hint="eastAsia"/>
              </w:rPr>
              <w:t xml:space="preserve">法定代表人： </w:t>
            </w:r>
          </w:p>
        </w:tc>
        <w:tc>
          <w:tcPr>
            <w:tcW w:w="7440" w:type="dxa"/>
            <w:shd w:val="clear" w:color="auto" w:fill="auto"/>
          </w:tcPr>
          <w:p w14:paraId="10A588A2">
            <w:pPr>
              <w:pStyle w:val="8"/>
            </w:pPr>
            <w:r>
              <w:rPr>
                <w:rFonts w:hint="eastAsia"/>
              </w:rPr>
              <w:t xml:space="preserve">肖海峰 </w:t>
            </w:r>
          </w:p>
        </w:tc>
      </w:tr>
      <w:tr w14:paraId="423B8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8799A">
            <w:pPr>
              <w:pStyle w:val="8"/>
            </w:pPr>
            <w:r>
              <w:rPr>
                <w:rFonts w:hint="eastAsia"/>
              </w:rPr>
              <w:t xml:space="preserve">联系人： </w:t>
            </w:r>
          </w:p>
        </w:tc>
        <w:tc>
          <w:tcPr>
            <w:tcW w:w="7440" w:type="dxa"/>
            <w:shd w:val="clear" w:color="auto" w:fill="auto"/>
          </w:tcPr>
          <w:p w14:paraId="34CFBB19">
            <w:pPr>
              <w:pStyle w:val="8"/>
            </w:pPr>
            <w:r>
              <w:rPr>
                <w:rFonts w:hint="eastAsia"/>
              </w:rPr>
              <w:t xml:space="preserve">赵如意 </w:t>
            </w:r>
          </w:p>
        </w:tc>
      </w:tr>
      <w:tr w14:paraId="765D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48892">
            <w:pPr>
              <w:pStyle w:val="8"/>
            </w:pPr>
            <w:r>
              <w:rPr>
                <w:rFonts w:hint="eastAsia"/>
              </w:rPr>
              <w:t xml:space="preserve">电话： </w:t>
            </w:r>
          </w:p>
        </w:tc>
        <w:tc>
          <w:tcPr>
            <w:tcW w:w="7440" w:type="dxa"/>
            <w:shd w:val="clear" w:color="auto" w:fill="auto"/>
          </w:tcPr>
          <w:p w14:paraId="4E316F18">
            <w:pPr>
              <w:pStyle w:val="8"/>
            </w:pPr>
            <w:r>
              <w:rPr>
                <w:rFonts w:hint="eastAsia"/>
              </w:rPr>
              <w:t xml:space="preserve">0532-85725062 </w:t>
            </w:r>
          </w:p>
        </w:tc>
      </w:tr>
      <w:tr w14:paraId="1F6CC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1C5F4">
            <w:pPr>
              <w:pStyle w:val="8"/>
            </w:pPr>
            <w:r>
              <w:rPr>
                <w:rFonts w:hint="eastAsia"/>
              </w:rPr>
              <w:t xml:space="preserve">客户服务电话： </w:t>
            </w:r>
          </w:p>
        </w:tc>
        <w:tc>
          <w:tcPr>
            <w:tcW w:w="7440" w:type="dxa"/>
            <w:shd w:val="clear" w:color="auto" w:fill="auto"/>
          </w:tcPr>
          <w:p w14:paraId="163E71DC">
            <w:pPr>
              <w:pStyle w:val="8"/>
            </w:pPr>
            <w:r>
              <w:rPr>
                <w:rFonts w:hint="eastAsia"/>
              </w:rPr>
              <w:t xml:space="preserve">95548 </w:t>
            </w:r>
          </w:p>
        </w:tc>
      </w:tr>
      <w:tr w14:paraId="6353A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45EA2">
            <w:pPr>
              <w:pStyle w:val="8"/>
            </w:pPr>
            <w:r>
              <w:rPr>
                <w:rFonts w:hint="eastAsia"/>
              </w:rPr>
              <w:t xml:space="preserve">网址： </w:t>
            </w:r>
          </w:p>
        </w:tc>
        <w:tc>
          <w:tcPr>
            <w:tcW w:w="7440" w:type="dxa"/>
            <w:shd w:val="clear" w:color="auto" w:fill="auto"/>
          </w:tcPr>
          <w:p w14:paraId="3CEE28D9">
            <w:pPr>
              <w:pStyle w:val="8"/>
            </w:pPr>
            <w:r>
              <w:rPr>
                <w:rFonts w:hint="eastAsia"/>
              </w:rPr>
              <w:t xml:space="preserve">sd.citics.com </w:t>
            </w:r>
          </w:p>
        </w:tc>
      </w:tr>
    </w:tbl>
    <w:p w14:paraId="7E8064E0">
      <w:pPr>
        <w:pStyle w:val="8"/>
        <w:spacing w:before="0" w:beforeAutospacing="0" w:after="0" w:afterAutospacing="0" w:line="360" w:lineRule="auto"/>
        <w:ind w:firstLine="420"/>
        <w:rPr>
          <w:sz w:val="21"/>
          <w:szCs w:val="21"/>
        </w:rPr>
      </w:pPr>
      <w:r>
        <w:rPr>
          <w:rFonts w:hint="eastAsia"/>
          <w:b/>
          <w:bCs/>
          <w:sz w:val="21"/>
          <w:szCs w:val="21"/>
        </w:rPr>
        <w:t>(39)中信证券华南股份有限公司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EB3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74930">
            <w:pPr>
              <w:pStyle w:val="8"/>
            </w:pPr>
            <w:r>
              <w:rPr>
                <w:rFonts w:hint="eastAsia"/>
              </w:rPr>
              <w:t xml:space="preserve">注册地址： </w:t>
            </w:r>
          </w:p>
        </w:tc>
        <w:tc>
          <w:tcPr>
            <w:tcW w:w="7440" w:type="dxa"/>
            <w:shd w:val="clear" w:color="auto" w:fill="auto"/>
          </w:tcPr>
          <w:p w14:paraId="4EDD821C">
            <w:pPr>
              <w:pStyle w:val="8"/>
            </w:pPr>
            <w:r>
              <w:rPr>
                <w:rFonts w:hint="eastAsia"/>
              </w:rPr>
              <w:t xml:space="preserve">广州市天河区珠江西路5号广州国际金融中心主塔19层、20层 </w:t>
            </w:r>
          </w:p>
        </w:tc>
      </w:tr>
      <w:tr w14:paraId="7F3B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6F906">
            <w:pPr>
              <w:pStyle w:val="8"/>
            </w:pPr>
            <w:r>
              <w:rPr>
                <w:rFonts w:hint="eastAsia"/>
              </w:rPr>
              <w:t xml:space="preserve">办公地址： </w:t>
            </w:r>
          </w:p>
        </w:tc>
        <w:tc>
          <w:tcPr>
            <w:tcW w:w="7440" w:type="dxa"/>
            <w:shd w:val="clear" w:color="auto" w:fill="auto"/>
          </w:tcPr>
          <w:p w14:paraId="59D1CC34">
            <w:pPr>
              <w:pStyle w:val="8"/>
            </w:pPr>
            <w:r>
              <w:rPr>
                <w:rFonts w:hint="eastAsia"/>
              </w:rPr>
              <w:t xml:space="preserve">广州市天河区珠江西路5号广州国际金融中心主塔19层、20层 </w:t>
            </w:r>
          </w:p>
        </w:tc>
      </w:tr>
      <w:tr w14:paraId="25F3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7CEA6C">
            <w:pPr>
              <w:pStyle w:val="8"/>
            </w:pPr>
            <w:r>
              <w:rPr>
                <w:rFonts w:hint="eastAsia"/>
              </w:rPr>
              <w:t xml:space="preserve">法定代表人： </w:t>
            </w:r>
          </w:p>
        </w:tc>
        <w:tc>
          <w:tcPr>
            <w:tcW w:w="7440" w:type="dxa"/>
            <w:shd w:val="clear" w:color="auto" w:fill="auto"/>
          </w:tcPr>
          <w:p w14:paraId="00F5519B">
            <w:pPr>
              <w:pStyle w:val="8"/>
            </w:pPr>
            <w:r>
              <w:rPr>
                <w:rFonts w:hint="eastAsia"/>
              </w:rPr>
              <w:t xml:space="preserve">陈可可 </w:t>
            </w:r>
          </w:p>
        </w:tc>
      </w:tr>
      <w:tr w14:paraId="74DF0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556D4">
            <w:pPr>
              <w:pStyle w:val="8"/>
            </w:pPr>
            <w:r>
              <w:rPr>
                <w:rFonts w:hint="eastAsia"/>
              </w:rPr>
              <w:t xml:space="preserve">联系人： </w:t>
            </w:r>
          </w:p>
        </w:tc>
        <w:tc>
          <w:tcPr>
            <w:tcW w:w="7440" w:type="dxa"/>
            <w:shd w:val="clear" w:color="auto" w:fill="auto"/>
          </w:tcPr>
          <w:p w14:paraId="1F4738FB">
            <w:pPr>
              <w:pStyle w:val="8"/>
            </w:pPr>
            <w:r>
              <w:rPr>
                <w:rFonts w:hint="eastAsia"/>
              </w:rPr>
              <w:t xml:space="preserve">郭杏燕 </w:t>
            </w:r>
          </w:p>
        </w:tc>
      </w:tr>
      <w:tr w14:paraId="525F1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45B47">
            <w:pPr>
              <w:pStyle w:val="8"/>
            </w:pPr>
            <w:r>
              <w:rPr>
                <w:rFonts w:hint="eastAsia"/>
              </w:rPr>
              <w:t xml:space="preserve">电话： </w:t>
            </w:r>
          </w:p>
        </w:tc>
        <w:tc>
          <w:tcPr>
            <w:tcW w:w="7440" w:type="dxa"/>
            <w:shd w:val="clear" w:color="auto" w:fill="auto"/>
          </w:tcPr>
          <w:p w14:paraId="60AF3D81">
            <w:pPr>
              <w:pStyle w:val="8"/>
            </w:pPr>
            <w:r>
              <w:rPr>
                <w:rFonts w:hint="eastAsia"/>
              </w:rPr>
              <w:t xml:space="preserve">020-88836999 </w:t>
            </w:r>
          </w:p>
        </w:tc>
      </w:tr>
      <w:tr w14:paraId="1964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8B781">
            <w:pPr>
              <w:pStyle w:val="8"/>
            </w:pPr>
            <w:r>
              <w:rPr>
                <w:rFonts w:hint="eastAsia"/>
              </w:rPr>
              <w:t xml:space="preserve">传真： </w:t>
            </w:r>
          </w:p>
        </w:tc>
        <w:tc>
          <w:tcPr>
            <w:tcW w:w="7440" w:type="dxa"/>
            <w:shd w:val="clear" w:color="auto" w:fill="auto"/>
          </w:tcPr>
          <w:p w14:paraId="43B32612">
            <w:pPr>
              <w:pStyle w:val="8"/>
            </w:pPr>
            <w:r>
              <w:rPr>
                <w:rFonts w:hint="eastAsia"/>
              </w:rPr>
              <w:t xml:space="preserve">020-88836984 </w:t>
            </w:r>
          </w:p>
        </w:tc>
      </w:tr>
      <w:tr w14:paraId="77E78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5AD97">
            <w:pPr>
              <w:pStyle w:val="8"/>
            </w:pPr>
            <w:r>
              <w:rPr>
                <w:rFonts w:hint="eastAsia"/>
              </w:rPr>
              <w:t xml:space="preserve">客户服务电话： </w:t>
            </w:r>
          </w:p>
        </w:tc>
        <w:tc>
          <w:tcPr>
            <w:tcW w:w="7440" w:type="dxa"/>
            <w:shd w:val="clear" w:color="auto" w:fill="auto"/>
          </w:tcPr>
          <w:p w14:paraId="5E63D4E1">
            <w:pPr>
              <w:pStyle w:val="8"/>
            </w:pPr>
            <w:r>
              <w:rPr>
                <w:rFonts w:hint="eastAsia"/>
              </w:rPr>
              <w:t xml:space="preserve">95548 </w:t>
            </w:r>
          </w:p>
        </w:tc>
      </w:tr>
      <w:tr w14:paraId="156B5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F18C2">
            <w:pPr>
              <w:pStyle w:val="8"/>
            </w:pPr>
            <w:r>
              <w:rPr>
                <w:rFonts w:hint="eastAsia"/>
              </w:rPr>
              <w:t xml:space="preserve">网址： </w:t>
            </w:r>
          </w:p>
        </w:tc>
        <w:tc>
          <w:tcPr>
            <w:tcW w:w="7440" w:type="dxa"/>
            <w:shd w:val="clear" w:color="auto" w:fill="auto"/>
          </w:tcPr>
          <w:p w14:paraId="1DB1BE2B">
            <w:pPr>
              <w:pStyle w:val="8"/>
            </w:pPr>
            <w:r>
              <w:rPr>
                <w:rFonts w:hint="eastAsia"/>
              </w:rPr>
              <w:t xml:space="preserve">http://www.gzs.com.cn </w:t>
            </w:r>
          </w:p>
        </w:tc>
      </w:tr>
    </w:tbl>
    <w:p w14:paraId="68591C04">
      <w:pPr>
        <w:pStyle w:val="8"/>
        <w:spacing w:before="0" w:beforeAutospacing="0" w:after="0" w:afterAutospacing="0" w:line="360" w:lineRule="auto"/>
        <w:ind w:firstLine="420"/>
        <w:rPr>
          <w:sz w:val="21"/>
          <w:szCs w:val="21"/>
        </w:rPr>
      </w:pPr>
      <w:r>
        <w:rPr>
          <w:rFonts w:hint="eastAsia"/>
          <w:b/>
          <w:bCs/>
          <w:sz w:val="21"/>
          <w:szCs w:val="21"/>
        </w:rPr>
        <w:t>(40)平安证券股份有限公司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3EA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30B76">
            <w:pPr>
              <w:pStyle w:val="8"/>
            </w:pPr>
            <w:r>
              <w:rPr>
                <w:rFonts w:hint="eastAsia"/>
              </w:rPr>
              <w:t xml:space="preserve">注册地址： </w:t>
            </w:r>
          </w:p>
        </w:tc>
        <w:tc>
          <w:tcPr>
            <w:tcW w:w="7440" w:type="dxa"/>
            <w:shd w:val="clear" w:color="auto" w:fill="auto"/>
          </w:tcPr>
          <w:p w14:paraId="7201C913">
            <w:pPr>
              <w:pStyle w:val="8"/>
            </w:pPr>
            <w:r>
              <w:rPr>
                <w:rFonts w:hint="eastAsia"/>
              </w:rPr>
              <w:t xml:space="preserve">深圳市福田区福田街道益田路5023号平安金融中心B座第22-25层 </w:t>
            </w:r>
          </w:p>
        </w:tc>
      </w:tr>
      <w:tr w14:paraId="05E88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A6414">
            <w:pPr>
              <w:pStyle w:val="8"/>
            </w:pPr>
            <w:r>
              <w:rPr>
                <w:rFonts w:hint="eastAsia"/>
              </w:rPr>
              <w:t xml:space="preserve">办公地址： </w:t>
            </w:r>
          </w:p>
        </w:tc>
        <w:tc>
          <w:tcPr>
            <w:tcW w:w="7440" w:type="dxa"/>
            <w:shd w:val="clear" w:color="auto" w:fill="auto"/>
          </w:tcPr>
          <w:p w14:paraId="3317614B">
            <w:pPr>
              <w:pStyle w:val="8"/>
            </w:pPr>
            <w:r>
              <w:rPr>
                <w:rFonts w:hint="eastAsia"/>
              </w:rPr>
              <w:t xml:space="preserve">深圳市福田区福田街道益田路5023号平安金融中心B座第22-25层 </w:t>
            </w:r>
          </w:p>
        </w:tc>
      </w:tr>
      <w:tr w14:paraId="0917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983ED">
            <w:pPr>
              <w:pStyle w:val="8"/>
            </w:pPr>
            <w:r>
              <w:rPr>
                <w:rFonts w:hint="eastAsia"/>
              </w:rPr>
              <w:t xml:space="preserve">法定代表人： </w:t>
            </w:r>
          </w:p>
        </w:tc>
        <w:tc>
          <w:tcPr>
            <w:tcW w:w="7440" w:type="dxa"/>
            <w:shd w:val="clear" w:color="auto" w:fill="auto"/>
          </w:tcPr>
          <w:p w14:paraId="297B43CC">
            <w:pPr>
              <w:pStyle w:val="8"/>
            </w:pPr>
            <w:r>
              <w:rPr>
                <w:rFonts w:hint="eastAsia"/>
              </w:rPr>
              <w:t xml:space="preserve">何之江 </w:t>
            </w:r>
          </w:p>
        </w:tc>
      </w:tr>
      <w:tr w14:paraId="3D40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5E7B7">
            <w:pPr>
              <w:pStyle w:val="8"/>
            </w:pPr>
            <w:r>
              <w:rPr>
                <w:rFonts w:hint="eastAsia"/>
              </w:rPr>
              <w:t xml:space="preserve">联系人： </w:t>
            </w:r>
          </w:p>
        </w:tc>
        <w:tc>
          <w:tcPr>
            <w:tcW w:w="7440" w:type="dxa"/>
            <w:shd w:val="clear" w:color="auto" w:fill="auto"/>
          </w:tcPr>
          <w:p w14:paraId="6F049242">
            <w:pPr>
              <w:pStyle w:val="8"/>
            </w:pPr>
            <w:r>
              <w:rPr>
                <w:rFonts w:hint="eastAsia"/>
              </w:rPr>
              <w:t xml:space="preserve">王阳 </w:t>
            </w:r>
          </w:p>
        </w:tc>
      </w:tr>
      <w:tr w14:paraId="5E0F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354DC">
            <w:pPr>
              <w:pStyle w:val="8"/>
            </w:pPr>
            <w:r>
              <w:rPr>
                <w:rFonts w:hint="eastAsia"/>
              </w:rPr>
              <w:t xml:space="preserve">电话： </w:t>
            </w:r>
          </w:p>
        </w:tc>
        <w:tc>
          <w:tcPr>
            <w:tcW w:w="7440" w:type="dxa"/>
            <w:shd w:val="clear" w:color="auto" w:fill="auto"/>
          </w:tcPr>
          <w:p w14:paraId="05E6572B">
            <w:pPr>
              <w:pStyle w:val="8"/>
            </w:pPr>
            <w:r>
              <w:rPr>
                <w:rFonts w:hint="eastAsia"/>
              </w:rPr>
              <w:t xml:space="preserve">021-38632136 </w:t>
            </w:r>
          </w:p>
        </w:tc>
      </w:tr>
      <w:tr w14:paraId="5B72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48211">
            <w:pPr>
              <w:pStyle w:val="8"/>
            </w:pPr>
            <w:r>
              <w:rPr>
                <w:rFonts w:hint="eastAsia"/>
              </w:rPr>
              <w:t xml:space="preserve">传真： </w:t>
            </w:r>
          </w:p>
        </w:tc>
        <w:tc>
          <w:tcPr>
            <w:tcW w:w="7440" w:type="dxa"/>
            <w:shd w:val="clear" w:color="auto" w:fill="auto"/>
          </w:tcPr>
          <w:p w14:paraId="5AA4B1CC">
            <w:pPr>
              <w:pStyle w:val="8"/>
            </w:pPr>
            <w:r>
              <w:rPr>
                <w:rFonts w:hint="eastAsia"/>
              </w:rPr>
              <w:t xml:space="preserve">0755－82400862 </w:t>
            </w:r>
          </w:p>
        </w:tc>
      </w:tr>
      <w:tr w14:paraId="7BC4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010B6">
            <w:pPr>
              <w:pStyle w:val="8"/>
            </w:pPr>
            <w:r>
              <w:rPr>
                <w:rFonts w:hint="eastAsia"/>
              </w:rPr>
              <w:t xml:space="preserve">客户服务电话： </w:t>
            </w:r>
          </w:p>
        </w:tc>
        <w:tc>
          <w:tcPr>
            <w:tcW w:w="7440" w:type="dxa"/>
            <w:shd w:val="clear" w:color="auto" w:fill="auto"/>
          </w:tcPr>
          <w:p w14:paraId="284C6B70">
            <w:pPr>
              <w:pStyle w:val="8"/>
            </w:pPr>
            <w:r>
              <w:rPr>
                <w:rFonts w:hint="eastAsia"/>
              </w:rPr>
              <w:t xml:space="preserve">0755-22628888/95511-8 </w:t>
            </w:r>
          </w:p>
        </w:tc>
      </w:tr>
      <w:tr w14:paraId="09B6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6887D">
            <w:pPr>
              <w:pStyle w:val="8"/>
            </w:pPr>
            <w:r>
              <w:rPr>
                <w:rFonts w:hint="eastAsia"/>
              </w:rPr>
              <w:t xml:space="preserve">网址： </w:t>
            </w:r>
          </w:p>
        </w:tc>
        <w:tc>
          <w:tcPr>
            <w:tcW w:w="7440" w:type="dxa"/>
            <w:shd w:val="clear" w:color="auto" w:fill="auto"/>
          </w:tcPr>
          <w:p w14:paraId="47F097FF">
            <w:pPr>
              <w:pStyle w:val="8"/>
            </w:pPr>
            <w:r>
              <w:rPr>
                <w:rFonts w:hint="eastAsia"/>
              </w:rPr>
              <w:t xml:space="preserve">http:www.stock.pingan.com </w:t>
            </w:r>
          </w:p>
        </w:tc>
      </w:tr>
    </w:tbl>
    <w:p w14:paraId="7E073FBE">
      <w:pPr>
        <w:pStyle w:val="8"/>
        <w:spacing w:before="0" w:beforeAutospacing="0" w:after="0" w:afterAutospacing="0" w:line="360" w:lineRule="auto"/>
        <w:ind w:firstLine="420"/>
        <w:rPr>
          <w:sz w:val="21"/>
          <w:szCs w:val="21"/>
        </w:rPr>
      </w:pPr>
      <w:r>
        <w:rPr>
          <w:rFonts w:hint="eastAsia"/>
          <w:b/>
          <w:bCs/>
          <w:sz w:val="21"/>
          <w:szCs w:val="21"/>
        </w:rPr>
        <w:t>(41)华西证券股份有限公司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C91D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5B69D">
            <w:pPr>
              <w:pStyle w:val="8"/>
            </w:pPr>
            <w:r>
              <w:rPr>
                <w:rFonts w:hint="eastAsia"/>
              </w:rPr>
              <w:t xml:space="preserve">注册地址： </w:t>
            </w:r>
          </w:p>
        </w:tc>
        <w:tc>
          <w:tcPr>
            <w:tcW w:w="7440" w:type="dxa"/>
            <w:shd w:val="clear" w:color="auto" w:fill="auto"/>
          </w:tcPr>
          <w:p w14:paraId="034F0B8E">
            <w:pPr>
              <w:pStyle w:val="8"/>
            </w:pPr>
            <w:r>
              <w:rPr>
                <w:rFonts w:hint="eastAsia"/>
              </w:rPr>
              <w:t xml:space="preserve">四川省成都市高新区天府二街198号华西证券大厦 </w:t>
            </w:r>
          </w:p>
        </w:tc>
      </w:tr>
      <w:tr w14:paraId="40C40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5F038">
            <w:pPr>
              <w:pStyle w:val="8"/>
            </w:pPr>
            <w:r>
              <w:rPr>
                <w:rFonts w:hint="eastAsia"/>
              </w:rPr>
              <w:t xml:space="preserve">办公地址： </w:t>
            </w:r>
          </w:p>
        </w:tc>
        <w:tc>
          <w:tcPr>
            <w:tcW w:w="7440" w:type="dxa"/>
            <w:shd w:val="clear" w:color="auto" w:fill="auto"/>
          </w:tcPr>
          <w:p w14:paraId="746957E9">
            <w:pPr>
              <w:pStyle w:val="8"/>
            </w:pPr>
            <w:r>
              <w:rPr>
                <w:rFonts w:hint="eastAsia"/>
              </w:rPr>
              <w:t xml:space="preserve">四川省成都市高新区天府二街198号华西证券大厦 </w:t>
            </w:r>
          </w:p>
        </w:tc>
      </w:tr>
      <w:tr w14:paraId="28038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9606C">
            <w:pPr>
              <w:pStyle w:val="8"/>
            </w:pPr>
            <w:r>
              <w:rPr>
                <w:rFonts w:hint="eastAsia"/>
              </w:rPr>
              <w:t xml:space="preserve">法定代表人： </w:t>
            </w:r>
          </w:p>
        </w:tc>
        <w:tc>
          <w:tcPr>
            <w:tcW w:w="7440" w:type="dxa"/>
            <w:shd w:val="clear" w:color="auto" w:fill="auto"/>
          </w:tcPr>
          <w:p w14:paraId="6715BD59">
            <w:pPr>
              <w:pStyle w:val="8"/>
            </w:pPr>
            <w:r>
              <w:rPr>
                <w:rFonts w:hint="eastAsia"/>
              </w:rPr>
              <w:t xml:space="preserve">杨炯洋 </w:t>
            </w:r>
          </w:p>
        </w:tc>
      </w:tr>
      <w:tr w14:paraId="3B0D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CB680D">
            <w:pPr>
              <w:pStyle w:val="8"/>
            </w:pPr>
            <w:r>
              <w:rPr>
                <w:rFonts w:hint="eastAsia"/>
              </w:rPr>
              <w:t xml:space="preserve">联系人： </w:t>
            </w:r>
          </w:p>
        </w:tc>
        <w:tc>
          <w:tcPr>
            <w:tcW w:w="7440" w:type="dxa"/>
            <w:shd w:val="clear" w:color="auto" w:fill="auto"/>
          </w:tcPr>
          <w:p w14:paraId="6367A520">
            <w:pPr>
              <w:pStyle w:val="8"/>
            </w:pPr>
            <w:r>
              <w:rPr>
                <w:rFonts w:hint="eastAsia"/>
              </w:rPr>
              <w:t xml:space="preserve">赵静静 </w:t>
            </w:r>
          </w:p>
        </w:tc>
      </w:tr>
      <w:tr w14:paraId="59AA1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286BEF">
            <w:pPr>
              <w:pStyle w:val="8"/>
            </w:pPr>
            <w:r>
              <w:rPr>
                <w:rFonts w:hint="eastAsia"/>
              </w:rPr>
              <w:t xml:space="preserve">电话： </w:t>
            </w:r>
          </w:p>
        </w:tc>
        <w:tc>
          <w:tcPr>
            <w:tcW w:w="7440" w:type="dxa"/>
            <w:shd w:val="clear" w:color="auto" w:fill="auto"/>
          </w:tcPr>
          <w:p w14:paraId="74727ECE">
            <w:pPr>
              <w:pStyle w:val="8"/>
            </w:pPr>
            <w:r>
              <w:rPr>
                <w:rFonts w:hint="eastAsia"/>
              </w:rPr>
              <w:t xml:space="preserve">010-58124967 </w:t>
            </w:r>
          </w:p>
        </w:tc>
      </w:tr>
      <w:tr w14:paraId="43CCF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C2600">
            <w:pPr>
              <w:pStyle w:val="8"/>
            </w:pPr>
            <w:r>
              <w:rPr>
                <w:rFonts w:hint="eastAsia"/>
              </w:rPr>
              <w:t xml:space="preserve">传真： </w:t>
            </w:r>
          </w:p>
        </w:tc>
        <w:tc>
          <w:tcPr>
            <w:tcW w:w="7440" w:type="dxa"/>
            <w:shd w:val="clear" w:color="auto" w:fill="auto"/>
          </w:tcPr>
          <w:p w14:paraId="4AABD0A2">
            <w:pPr>
              <w:pStyle w:val="8"/>
            </w:pPr>
            <w:r>
              <w:rPr>
                <w:rFonts w:hint="eastAsia"/>
              </w:rPr>
              <w:t xml:space="preserve">028-86150040 </w:t>
            </w:r>
          </w:p>
        </w:tc>
      </w:tr>
      <w:tr w14:paraId="1373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DB8D3">
            <w:pPr>
              <w:pStyle w:val="8"/>
            </w:pPr>
            <w:r>
              <w:rPr>
                <w:rFonts w:hint="eastAsia"/>
              </w:rPr>
              <w:t xml:space="preserve">客户服务电话： </w:t>
            </w:r>
          </w:p>
        </w:tc>
        <w:tc>
          <w:tcPr>
            <w:tcW w:w="7440" w:type="dxa"/>
            <w:shd w:val="clear" w:color="auto" w:fill="auto"/>
          </w:tcPr>
          <w:p w14:paraId="4B4F2A3C">
            <w:pPr>
              <w:pStyle w:val="8"/>
            </w:pPr>
            <w:r>
              <w:rPr>
                <w:rFonts w:hint="eastAsia"/>
              </w:rPr>
              <w:t xml:space="preserve">95584 </w:t>
            </w:r>
          </w:p>
        </w:tc>
      </w:tr>
      <w:tr w14:paraId="01AB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2F6CE">
            <w:pPr>
              <w:pStyle w:val="8"/>
            </w:pPr>
            <w:r>
              <w:rPr>
                <w:rFonts w:hint="eastAsia"/>
              </w:rPr>
              <w:t xml:space="preserve">网址： </w:t>
            </w:r>
          </w:p>
        </w:tc>
        <w:tc>
          <w:tcPr>
            <w:tcW w:w="7440" w:type="dxa"/>
            <w:shd w:val="clear" w:color="auto" w:fill="auto"/>
          </w:tcPr>
          <w:p w14:paraId="491497B7">
            <w:pPr>
              <w:pStyle w:val="8"/>
            </w:pPr>
            <w:r>
              <w:rPr>
                <w:rFonts w:hint="eastAsia"/>
              </w:rPr>
              <w:t xml:space="preserve">https://www.hx168.com.cn/ </w:t>
            </w:r>
          </w:p>
        </w:tc>
      </w:tr>
    </w:tbl>
    <w:p w14:paraId="0EC402FF">
      <w:pPr>
        <w:pStyle w:val="8"/>
        <w:spacing w:before="0" w:beforeAutospacing="0" w:after="0" w:afterAutospacing="0" w:line="360" w:lineRule="auto"/>
        <w:ind w:firstLine="420"/>
        <w:rPr>
          <w:sz w:val="21"/>
          <w:szCs w:val="21"/>
        </w:rPr>
      </w:pPr>
      <w:r>
        <w:rPr>
          <w:rFonts w:hint="eastAsia"/>
          <w:b/>
          <w:bCs/>
          <w:sz w:val="21"/>
          <w:szCs w:val="21"/>
        </w:rPr>
        <w:t>(42)华福证券有限责任公司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09CA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DC364">
            <w:pPr>
              <w:pStyle w:val="8"/>
            </w:pPr>
            <w:r>
              <w:rPr>
                <w:rFonts w:hint="eastAsia"/>
              </w:rPr>
              <w:t xml:space="preserve">注册地址： </w:t>
            </w:r>
          </w:p>
        </w:tc>
        <w:tc>
          <w:tcPr>
            <w:tcW w:w="7440" w:type="dxa"/>
            <w:shd w:val="clear" w:color="auto" w:fill="auto"/>
          </w:tcPr>
          <w:p w14:paraId="611162C3">
            <w:pPr>
              <w:pStyle w:val="8"/>
            </w:pPr>
            <w:r>
              <w:rPr>
                <w:rFonts w:hint="eastAsia"/>
              </w:rPr>
              <w:t xml:space="preserve">福州市五四路157号新天地大厦7、8层 </w:t>
            </w:r>
          </w:p>
        </w:tc>
      </w:tr>
      <w:tr w14:paraId="31D1B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AC420">
            <w:pPr>
              <w:pStyle w:val="8"/>
            </w:pPr>
            <w:r>
              <w:rPr>
                <w:rFonts w:hint="eastAsia"/>
              </w:rPr>
              <w:t xml:space="preserve">办公地址： </w:t>
            </w:r>
          </w:p>
        </w:tc>
        <w:tc>
          <w:tcPr>
            <w:tcW w:w="7440" w:type="dxa"/>
            <w:shd w:val="clear" w:color="auto" w:fill="auto"/>
          </w:tcPr>
          <w:p w14:paraId="1A2C7060">
            <w:pPr>
              <w:pStyle w:val="8"/>
            </w:pPr>
            <w:r>
              <w:rPr>
                <w:rFonts w:hint="eastAsia"/>
              </w:rPr>
              <w:t xml:space="preserve">福州市五四路157号新天地大厦7至10层 </w:t>
            </w:r>
          </w:p>
        </w:tc>
      </w:tr>
      <w:tr w14:paraId="62D6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11124">
            <w:pPr>
              <w:pStyle w:val="8"/>
            </w:pPr>
            <w:r>
              <w:rPr>
                <w:rFonts w:hint="eastAsia"/>
              </w:rPr>
              <w:t xml:space="preserve">法定代表人： </w:t>
            </w:r>
          </w:p>
        </w:tc>
        <w:tc>
          <w:tcPr>
            <w:tcW w:w="7440" w:type="dxa"/>
            <w:shd w:val="clear" w:color="auto" w:fill="auto"/>
          </w:tcPr>
          <w:p w14:paraId="502B95C6">
            <w:pPr>
              <w:pStyle w:val="8"/>
            </w:pPr>
            <w:r>
              <w:rPr>
                <w:rFonts w:hint="eastAsia"/>
              </w:rPr>
              <w:t xml:space="preserve">黄金琳 </w:t>
            </w:r>
          </w:p>
        </w:tc>
      </w:tr>
      <w:tr w14:paraId="57066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B1E7C">
            <w:pPr>
              <w:pStyle w:val="8"/>
            </w:pPr>
            <w:r>
              <w:rPr>
                <w:rFonts w:hint="eastAsia"/>
              </w:rPr>
              <w:t xml:space="preserve">联系人： </w:t>
            </w:r>
          </w:p>
        </w:tc>
        <w:tc>
          <w:tcPr>
            <w:tcW w:w="7440" w:type="dxa"/>
            <w:shd w:val="clear" w:color="auto" w:fill="auto"/>
          </w:tcPr>
          <w:p w14:paraId="03723BCF">
            <w:pPr>
              <w:pStyle w:val="8"/>
            </w:pPr>
            <w:r>
              <w:rPr>
                <w:rFonts w:hint="eastAsia"/>
              </w:rPr>
              <w:t xml:space="preserve">王虹 </w:t>
            </w:r>
          </w:p>
        </w:tc>
      </w:tr>
      <w:tr w14:paraId="511AE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63AEB">
            <w:pPr>
              <w:pStyle w:val="8"/>
            </w:pPr>
            <w:r>
              <w:rPr>
                <w:rFonts w:hint="eastAsia"/>
              </w:rPr>
              <w:t xml:space="preserve">电话： </w:t>
            </w:r>
          </w:p>
        </w:tc>
        <w:tc>
          <w:tcPr>
            <w:tcW w:w="7440" w:type="dxa"/>
            <w:shd w:val="clear" w:color="auto" w:fill="auto"/>
          </w:tcPr>
          <w:p w14:paraId="34D5EF2B">
            <w:pPr>
              <w:pStyle w:val="8"/>
            </w:pPr>
            <w:r>
              <w:rPr>
                <w:rFonts w:hint="eastAsia"/>
              </w:rPr>
              <w:t xml:space="preserve">021-20655183 </w:t>
            </w:r>
          </w:p>
        </w:tc>
      </w:tr>
      <w:tr w14:paraId="27F0C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ECE8F">
            <w:pPr>
              <w:pStyle w:val="8"/>
            </w:pPr>
            <w:r>
              <w:rPr>
                <w:rFonts w:hint="eastAsia"/>
              </w:rPr>
              <w:t xml:space="preserve">传真： </w:t>
            </w:r>
          </w:p>
        </w:tc>
        <w:tc>
          <w:tcPr>
            <w:tcW w:w="7440" w:type="dxa"/>
            <w:shd w:val="clear" w:color="auto" w:fill="auto"/>
          </w:tcPr>
          <w:p w14:paraId="01708532">
            <w:pPr>
              <w:pStyle w:val="8"/>
            </w:pPr>
            <w:r>
              <w:rPr>
                <w:rFonts w:hint="eastAsia"/>
              </w:rPr>
              <w:t xml:space="preserve">0591－87383610 </w:t>
            </w:r>
          </w:p>
        </w:tc>
      </w:tr>
      <w:tr w14:paraId="4474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F3FE2">
            <w:pPr>
              <w:pStyle w:val="8"/>
            </w:pPr>
            <w:r>
              <w:rPr>
                <w:rFonts w:hint="eastAsia"/>
              </w:rPr>
              <w:t xml:space="preserve">客户服务电话： </w:t>
            </w:r>
          </w:p>
        </w:tc>
        <w:tc>
          <w:tcPr>
            <w:tcW w:w="7440" w:type="dxa"/>
            <w:shd w:val="clear" w:color="auto" w:fill="auto"/>
          </w:tcPr>
          <w:p w14:paraId="1B99353B">
            <w:pPr>
              <w:pStyle w:val="8"/>
            </w:pPr>
            <w:r>
              <w:rPr>
                <w:rFonts w:hint="eastAsia"/>
              </w:rPr>
              <w:t xml:space="preserve">95547 </w:t>
            </w:r>
          </w:p>
        </w:tc>
      </w:tr>
      <w:tr w14:paraId="7DF4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BB573">
            <w:pPr>
              <w:pStyle w:val="8"/>
            </w:pPr>
            <w:r>
              <w:rPr>
                <w:rFonts w:hint="eastAsia"/>
              </w:rPr>
              <w:t xml:space="preserve">网址： </w:t>
            </w:r>
          </w:p>
        </w:tc>
        <w:tc>
          <w:tcPr>
            <w:tcW w:w="7440" w:type="dxa"/>
            <w:shd w:val="clear" w:color="auto" w:fill="auto"/>
          </w:tcPr>
          <w:p w14:paraId="7371659B">
            <w:pPr>
              <w:pStyle w:val="8"/>
            </w:pPr>
            <w:r>
              <w:rPr>
                <w:rFonts w:hint="eastAsia"/>
              </w:rPr>
              <w:t xml:space="preserve">http://www.hfzq.com.cn </w:t>
            </w:r>
          </w:p>
        </w:tc>
      </w:tr>
    </w:tbl>
    <w:p w14:paraId="196C154D">
      <w:pPr>
        <w:pStyle w:val="8"/>
        <w:spacing w:before="0" w:beforeAutospacing="0" w:after="0" w:afterAutospacing="0" w:line="360" w:lineRule="auto"/>
        <w:ind w:firstLine="420"/>
        <w:rPr>
          <w:sz w:val="21"/>
          <w:szCs w:val="21"/>
        </w:rPr>
      </w:pPr>
      <w:r>
        <w:rPr>
          <w:rFonts w:hint="eastAsia"/>
          <w:b/>
          <w:bCs/>
          <w:sz w:val="21"/>
          <w:szCs w:val="21"/>
        </w:rPr>
        <w:t>(43)华龙证券股份有限公司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21C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4ECFA">
            <w:pPr>
              <w:pStyle w:val="8"/>
            </w:pPr>
            <w:r>
              <w:rPr>
                <w:rFonts w:hint="eastAsia"/>
              </w:rPr>
              <w:t xml:space="preserve">注册地址： </w:t>
            </w:r>
          </w:p>
        </w:tc>
        <w:tc>
          <w:tcPr>
            <w:tcW w:w="7440" w:type="dxa"/>
            <w:shd w:val="clear" w:color="auto" w:fill="auto"/>
          </w:tcPr>
          <w:p w14:paraId="726D6CC9">
            <w:pPr>
              <w:pStyle w:val="8"/>
            </w:pPr>
            <w:r>
              <w:rPr>
                <w:rFonts w:hint="eastAsia"/>
              </w:rPr>
              <w:t xml:space="preserve">兰州市城关区东岗西路638号兰州财富中心21楼 </w:t>
            </w:r>
          </w:p>
        </w:tc>
      </w:tr>
      <w:tr w14:paraId="4404F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08A62">
            <w:pPr>
              <w:pStyle w:val="8"/>
            </w:pPr>
            <w:r>
              <w:rPr>
                <w:rFonts w:hint="eastAsia"/>
              </w:rPr>
              <w:t xml:space="preserve">办公地址： </w:t>
            </w:r>
          </w:p>
        </w:tc>
        <w:tc>
          <w:tcPr>
            <w:tcW w:w="7440" w:type="dxa"/>
            <w:shd w:val="clear" w:color="auto" w:fill="auto"/>
          </w:tcPr>
          <w:p w14:paraId="76B4B200">
            <w:pPr>
              <w:pStyle w:val="8"/>
            </w:pPr>
            <w:r>
              <w:rPr>
                <w:rFonts w:hint="eastAsia"/>
              </w:rPr>
              <w:t xml:space="preserve">甘肃省兰州市城关区东岗西路638号财富大厦19楼  </w:t>
            </w:r>
          </w:p>
        </w:tc>
      </w:tr>
      <w:tr w14:paraId="24908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476DE">
            <w:pPr>
              <w:pStyle w:val="8"/>
            </w:pPr>
            <w:r>
              <w:rPr>
                <w:rFonts w:hint="eastAsia"/>
              </w:rPr>
              <w:t xml:space="preserve">法定代表人： </w:t>
            </w:r>
          </w:p>
        </w:tc>
        <w:tc>
          <w:tcPr>
            <w:tcW w:w="7440" w:type="dxa"/>
            <w:shd w:val="clear" w:color="auto" w:fill="auto"/>
          </w:tcPr>
          <w:p w14:paraId="79E02848">
            <w:pPr>
              <w:pStyle w:val="8"/>
            </w:pPr>
            <w:r>
              <w:rPr>
                <w:rFonts w:hint="eastAsia"/>
              </w:rPr>
              <w:t xml:space="preserve">祁建邦 </w:t>
            </w:r>
          </w:p>
        </w:tc>
      </w:tr>
      <w:tr w14:paraId="3C3C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C11E7">
            <w:pPr>
              <w:pStyle w:val="8"/>
            </w:pPr>
            <w:r>
              <w:rPr>
                <w:rFonts w:hint="eastAsia"/>
              </w:rPr>
              <w:t xml:space="preserve">电话： </w:t>
            </w:r>
          </w:p>
        </w:tc>
        <w:tc>
          <w:tcPr>
            <w:tcW w:w="7440" w:type="dxa"/>
            <w:shd w:val="clear" w:color="auto" w:fill="auto"/>
          </w:tcPr>
          <w:p w14:paraId="55594131">
            <w:pPr>
              <w:pStyle w:val="8"/>
            </w:pPr>
            <w:r>
              <w:rPr>
                <w:rFonts w:hint="eastAsia"/>
              </w:rPr>
              <w:t xml:space="preserve">0931-4890208 </w:t>
            </w:r>
          </w:p>
        </w:tc>
      </w:tr>
      <w:tr w14:paraId="0E742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A08A3">
            <w:pPr>
              <w:pStyle w:val="8"/>
            </w:pPr>
            <w:r>
              <w:rPr>
                <w:rFonts w:hint="eastAsia"/>
              </w:rPr>
              <w:t xml:space="preserve">传真： </w:t>
            </w:r>
          </w:p>
        </w:tc>
        <w:tc>
          <w:tcPr>
            <w:tcW w:w="7440" w:type="dxa"/>
            <w:shd w:val="clear" w:color="auto" w:fill="auto"/>
          </w:tcPr>
          <w:p w14:paraId="38CD1C56">
            <w:pPr>
              <w:pStyle w:val="8"/>
            </w:pPr>
            <w:r>
              <w:rPr>
                <w:rFonts w:hint="eastAsia"/>
              </w:rPr>
              <w:t xml:space="preserve">0931-4890628 </w:t>
            </w:r>
          </w:p>
        </w:tc>
      </w:tr>
      <w:tr w14:paraId="48E9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D8C6F">
            <w:pPr>
              <w:pStyle w:val="8"/>
            </w:pPr>
            <w:r>
              <w:rPr>
                <w:rFonts w:hint="eastAsia"/>
              </w:rPr>
              <w:t xml:space="preserve">客户服务电话： </w:t>
            </w:r>
          </w:p>
        </w:tc>
        <w:tc>
          <w:tcPr>
            <w:tcW w:w="7440" w:type="dxa"/>
            <w:shd w:val="clear" w:color="auto" w:fill="auto"/>
          </w:tcPr>
          <w:p w14:paraId="691216E4">
            <w:pPr>
              <w:pStyle w:val="8"/>
            </w:pPr>
            <w:r>
              <w:rPr>
                <w:rFonts w:hint="eastAsia"/>
              </w:rPr>
              <w:t xml:space="preserve">95368 </w:t>
            </w:r>
          </w:p>
        </w:tc>
      </w:tr>
      <w:tr w14:paraId="1666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AD82A">
            <w:pPr>
              <w:pStyle w:val="8"/>
            </w:pPr>
            <w:r>
              <w:rPr>
                <w:rFonts w:hint="eastAsia"/>
              </w:rPr>
              <w:t xml:space="preserve">网址： </w:t>
            </w:r>
          </w:p>
        </w:tc>
        <w:tc>
          <w:tcPr>
            <w:tcW w:w="7440" w:type="dxa"/>
            <w:shd w:val="clear" w:color="auto" w:fill="auto"/>
          </w:tcPr>
          <w:p w14:paraId="3426B7F5">
            <w:pPr>
              <w:pStyle w:val="8"/>
            </w:pPr>
            <w:r>
              <w:rPr>
                <w:rFonts w:hint="eastAsia"/>
              </w:rPr>
              <w:t xml:space="preserve">https://www.hlzq.com/ </w:t>
            </w:r>
          </w:p>
        </w:tc>
      </w:tr>
    </w:tbl>
    <w:p w14:paraId="6CA91A80">
      <w:pPr>
        <w:pStyle w:val="8"/>
        <w:spacing w:before="0" w:beforeAutospacing="0" w:after="0" w:afterAutospacing="0" w:line="360" w:lineRule="auto"/>
        <w:ind w:firstLine="420"/>
        <w:rPr>
          <w:sz w:val="21"/>
          <w:szCs w:val="21"/>
        </w:rPr>
      </w:pPr>
      <w:r>
        <w:rPr>
          <w:rFonts w:hint="eastAsia"/>
          <w:b/>
          <w:bCs/>
          <w:sz w:val="21"/>
          <w:szCs w:val="21"/>
        </w:rPr>
        <w:t>(44)东方财富证券股份有限公司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958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8AF1B">
            <w:pPr>
              <w:pStyle w:val="8"/>
            </w:pPr>
            <w:r>
              <w:rPr>
                <w:rFonts w:hint="eastAsia"/>
              </w:rPr>
              <w:t xml:space="preserve">注册地址： </w:t>
            </w:r>
          </w:p>
        </w:tc>
        <w:tc>
          <w:tcPr>
            <w:tcW w:w="7440" w:type="dxa"/>
            <w:shd w:val="clear" w:color="auto" w:fill="auto"/>
          </w:tcPr>
          <w:p w14:paraId="4373C5ED">
            <w:pPr>
              <w:pStyle w:val="8"/>
            </w:pPr>
            <w:r>
              <w:rPr>
                <w:rFonts w:hint="eastAsia"/>
              </w:rPr>
              <w:t xml:space="preserve">西藏自治区拉萨市柳梧新区国际总部城10栋楼 </w:t>
            </w:r>
          </w:p>
        </w:tc>
      </w:tr>
      <w:tr w14:paraId="0F022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CF003">
            <w:pPr>
              <w:pStyle w:val="8"/>
            </w:pPr>
            <w:r>
              <w:rPr>
                <w:rFonts w:hint="eastAsia"/>
              </w:rPr>
              <w:t xml:space="preserve">办公地址： </w:t>
            </w:r>
          </w:p>
        </w:tc>
        <w:tc>
          <w:tcPr>
            <w:tcW w:w="7440" w:type="dxa"/>
            <w:shd w:val="clear" w:color="auto" w:fill="auto"/>
          </w:tcPr>
          <w:p w14:paraId="002EF1B5">
            <w:pPr>
              <w:pStyle w:val="8"/>
            </w:pPr>
            <w:r>
              <w:rPr>
                <w:rFonts w:hint="eastAsia"/>
              </w:rPr>
              <w:t xml:space="preserve">上海市徐汇区宛平南路88号金座东方财富大厦 </w:t>
            </w:r>
          </w:p>
        </w:tc>
      </w:tr>
      <w:tr w14:paraId="5DB0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631FC">
            <w:pPr>
              <w:pStyle w:val="8"/>
            </w:pPr>
            <w:r>
              <w:rPr>
                <w:rFonts w:hint="eastAsia"/>
              </w:rPr>
              <w:t xml:space="preserve">法定代表人： </w:t>
            </w:r>
          </w:p>
        </w:tc>
        <w:tc>
          <w:tcPr>
            <w:tcW w:w="7440" w:type="dxa"/>
            <w:shd w:val="clear" w:color="auto" w:fill="auto"/>
          </w:tcPr>
          <w:p w14:paraId="69DB7C3B">
            <w:pPr>
              <w:pStyle w:val="8"/>
            </w:pPr>
            <w:r>
              <w:rPr>
                <w:rFonts w:hint="eastAsia"/>
              </w:rPr>
              <w:t xml:space="preserve">戴彦 </w:t>
            </w:r>
          </w:p>
        </w:tc>
      </w:tr>
      <w:tr w14:paraId="669FF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AFA2C">
            <w:pPr>
              <w:pStyle w:val="8"/>
            </w:pPr>
            <w:r>
              <w:rPr>
                <w:rFonts w:hint="eastAsia"/>
              </w:rPr>
              <w:t xml:space="preserve">联系人： </w:t>
            </w:r>
          </w:p>
        </w:tc>
        <w:tc>
          <w:tcPr>
            <w:tcW w:w="7440" w:type="dxa"/>
            <w:shd w:val="clear" w:color="auto" w:fill="auto"/>
          </w:tcPr>
          <w:p w14:paraId="5FE2669C">
            <w:pPr>
              <w:pStyle w:val="8"/>
            </w:pPr>
            <w:r>
              <w:rPr>
                <w:rFonts w:hint="eastAsia"/>
              </w:rPr>
              <w:t xml:space="preserve">付佳 </w:t>
            </w:r>
          </w:p>
        </w:tc>
      </w:tr>
      <w:tr w14:paraId="18A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7FF74">
            <w:pPr>
              <w:pStyle w:val="8"/>
            </w:pPr>
            <w:r>
              <w:rPr>
                <w:rFonts w:hint="eastAsia"/>
              </w:rPr>
              <w:t xml:space="preserve">电话： </w:t>
            </w:r>
          </w:p>
        </w:tc>
        <w:tc>
          <w:tcPr>
            <w:tcW w:w="7440" w:type="dxa"/>
            <w:shd w:val="clear" w:color="auto" w:fill="auto"/>
          </w:tcPr>
          <w:p w14:paraId="3568734F">
            <w:pPr>
              <w:pStyle w:val="8"/>
            </w:pPr>
            <w:r>
              <w:rPr>
                <w:rFonts w:hint="eastAsia"/>
              </w:rPr>
              <w:t xml:space="preserve">021-23586603 </w:t>
            </w:r>
          </w:p>
        </w:tc>
      </w:tr>
      <w:tr w14:paraId="1DDE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7A01F">
            <w:pPr>
              <w:pStyle w:val="8"/>
            </w:pPr>
            <w:r>
              <w:rPr>
                <w:rFonts w:hint="eastAsia"/>
              </w:rPr>
              <w:t xml:space="preserve">传真： </w:t>
            </w:r>
          </w:p>
        </w:tc>
        <w:tc>
          <w:tcPr>
            <w:tcW w:w="7440" w:type="dxa"/>
            <w:shd w:val="clear" w:color="auto" w:fill="auto"/>
          </w:tcPr>
          <w:p w14:paraId="4C93CE9E">
            <w:pPr>
              <w:pStyle w:val="8"/>
            </w:pPr>
            <w:r>
              <w:rPr>
                <w:rFonts w:hint="eastAsia"/>
              </w:rPr>
              <w:t xml:space="preserve">021-23586860 </w:t>
            </w:r>
          </w:p>
        </w:tc>
      </w:tr>
      <w:tr w14:paraId="27C7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EC839">
            <w:pPr>
              <w:pStyle w:val="8"/>
            </w:pPr>
            <w:r>
              <w:rPr>
                <w:rFonts w:hint="eastAsia"/>
              </w:rPr>
              <w:t xml:space="preserve">客户服务电话： </w:t>
            </w:r>
          </w:p>
        </w:tc>
        <w:tc>
          <w:tcPr>
            <w:tcW w:w="7440" w:type="dxa"/>
            <w:shd w:val="clear" w:color="auto" w:fill="auto"/>
          </w:tcPr>
          <w:p w14:paraId="65ADB7AA">
            <w:pPr>
              <w:pStyle w:val="8"/>
            </w:pPr>
            <w:r>
              <w:rPr>
                <w:rFonts w:hint="eastAsia"/>
              </w:rPr>
              <w:t xml:space="preserve">95357 </w:t>
            </w:r>
          </w:p>
        </w:tc>
      </w:tr>
      <w:tr w14:paraId="20BBF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C375B">
            <w:pPr>
              <w:pStyle w:val="8"/>
            </w:pPr>
            <w:r>
              <w:rPr>
                <w:rFonts w:hint="eastAsia"/>
              </w:rPr>
              <w:t xml:space="preserve">网址： </w:t>
            </w:r>
          </w:p>
        </w:tc>
        <w:tc>
          <w:tcPr>
            <w:tcW w:w="7440" w:type="dxa"/>
            <w:shd w:val="clear" w:color="auto" w:fill="auto"/>
          </w:tcPr>
          <w:p w14:paraId="7A0274AD">
            <w:pPr>
              <w:pStyle w:val="8"/>
            </w:pPr>
            <w:r>
              <w:rPr>
                <w:rFonts w:hint="eastAsia"/>
              </w:rPr>
              <w:t xml:space="preserve">http://www.18.cn </w:t>
            </w:r>
          </w:p>
        </w:tc>
      </w:tr>
    </w:tbl>
    <w:p w14:paraId="306D180E">
      <w:pPr>
        <w:pStyle w:val="8"/>
        <w:spacing w:before="0" w:beforeAutospacing="0" w:after="0" w:afterAutospacing="0" w:line="360" w:lineRule="auto"/>
        <w:ind w:firstLine="420"/>
        <w:rPr>
          <w:sz w:val="21"/>
          <w:szCs w:val="21"/>
        </w:rPr>
      </w:pPr>
      <w:r>
        <w:rPr>
          <w:rFonts w:hint="eastAsia"/>
          <w:b/>
          <w:bCs/>
          <w:sz w:val="21"/>
          <w:szCs w:val="21"/>
        </w:rPr>
        <w:t>(45)国金证券股份有限公司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459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112B6">
            <w:pPr>
              <w:pStyle w:val="8"/>
            </w:pPr>
            <w:r>
              <w:rPr>
                <w:rFonts w:hint="eastAsia"/>
              </w:rPr>
              <w:t xml:space="preserve">注册地址： </w:t>
            </w:r>
          </w:p>
        </w:tc>
        <w:tc>
          <w:tcPr>
            <w:tcW w:w="7440" w:type="dxa"/>
            <w:shd w:val="clear" w:color="auto" w:fill="auto"/>
          </w:tcPr>
          <w:p w14:paraId="0275C186">
            <w:pPr>
              <w:pStyle w:val="8"/>
            </w:pPr>
            <w:r>
              <w:rPr>
                <w:rFonts w:hint="eastAsia"/>
              </w:rPr>
              <w:t xml:space="preserve">四川省成都市东城根上街95号 </w:t>
            </w:r>
          </w:p>
        </w:tc>
      </w:tr>
      <w:tr w14:paraId="5AE0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1093D">
            <w:pPr>
              <w:pStyle w:val="8"/>
            </w:pPr>
            <w:r>
              <w:rPr>
                <w:rFonts w:hint="eastAsia"/>
              </w:rPr>
              <w:t xml:space="preserve">办公地址： </w:t>
            </w:r>
          </w:p>
        </w:tc>
        <w:tc>
          <w:tcPr>
            <w:tcW w:w="7440" w:type="dxa"/>
            <w:shd w:val="clear" w:color="auto" w:fill="auto"/>
          </w:tcPr>
          <w:p w14:paraId="4671AD51">
            <w:pPr>
              <w:pStyle w:val="8"/>
            </w:pPr>
            <w:r>
              <w:rPr>
                <w:rFonts w:hint="eastAsia"/>
              </w:rPr>
              <w:t xml:space="preserve">四川省成都市东城根上街95号 </w:t>
            </w:r>
          </w:p>
        </w:tc>
      </w:tr>
      <w:tr w14:paraId="62E43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7421E">
            <w:pPr>
              <w:pStyle w:val="8"/>
            </w:pPr>
            <w:r>
              <w:rPr>
                <w:rFonts w:hint="eastAsia"/>
              </w:rPr>
              <w:t xml:space="preserve">法定代表人： </w:t>
            </w:r>
          </w:p>
        </w:tc>
        <w:tc>
          <w:tcPr>
            <w:tcW w:w="7440" w:type="dxa"/>
            <w:shd w:val="clear" w:color="auto" w:fill="auto"/>
          </w:tcPr>
          <w:p w14:paraId="79FD4EB3">
            <w:pPr>
              <w:pStyle w:val="8"/>
            </w:pPr>
            <w:r>
              <w:rPr>
                <w:rFonts w:hint="eastAsia"/>
              </w:rPr>
              <w:t xml:space="preserve">冉云 </w:t>
            </w:r>
          </w:p>
        </w:tc>
      </w:tr>
      <w:tr w14:paraId="47834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FA8E56">
            <w:pPr>
              <w:pStyle w:val="8"/>
            </w:pPr>
            <w:r>
              <w:rPr>
                <w:rFonts w:hint="eastAsia"/>
              </w:rPr>
              <w:t xml:space="preserve">联系人： </w:t>
            </w:r>
          </w:p>
        </w:tc>
        <w:tc>
          <w:tcPr>
            <w:tcW w:w="7440" w:type="dxa"/>
            <w:shd w:val="clear" w:color="auto" w:fill="auto"/>
          </w:tcPr>
          <w:p w14:paraId="6CEB7D8F">
            <w:pPr>
              <w:pStyle w:val="8"/>
            </w:pPr>
            <w:r>
              <w:rPr>
                <w:rFonts w:hint="eastAsia"/>
              </w:rPr>
              <w:t xml:space="preserve">贾鹏 </w:t>
            </w:r>
          </w:p>
        </w:tc>
      </w:tr>
      <w:tr w14:paraId="24625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C1D6B">
            <w:pPr>
              <w:pStyle w:val="8"/>
            </w:pPr>
            <w:r>
              <w:rPr>
                <w:rFonts w:hint="eastAsia"/>
              </w:rPr>
              <w:t xml:space="preserve">电话： </w:t>
            </w:r>
          </w:p>
        </w:tc>
        <w:tc>
          <w:tcPr>
            <w:tcW w:w="7440" w:type="dxa"/>
            <w:shd w:val="clear" w:color="auto" w:fill="auto"/>
          </w:tcPr>
          <w:p w14:paraId="1D3E0FAC">
            <w:pPr>
              <w:pStyle w:val="8"/>
            </w:pPr>
            <w:r>
              <w:rPr>
                <w:rFonts w:hint="eastAsia"/>
              </w:rPr>
              <w:t xml:space="preserve">028-86690057、028-86690058 </w:t>
            </w:r>
          </w:p>
        </w:tc>
      </w:tr>
      <w:tr w14:paraId="4740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22925">
            <w:pPr>
              <w:pStyle w:val="8"/>
            </w:pPr>
            <w:r>
              <w:rPr>
                <w:rFonts w:hint="eastAsia"/>
              </w:rPr>
              <w:t xml:space="preserve">传真： </w:t>
            </w:r>
          </w:p>
        </w:tc>
        <w:tc>
          <w:tcPr>
            <w:tcW w:w="7440" w:type="dxa"/>
            <w:shd w:val="clear" w:color="auto" w:fill="auto"/>
          </w:tcPr>
          <w:p w14:paraId="069D3A97">
            <w:pPr>
              <w:pStyle w:val="8"/>
            </w:pPr>
            <w:r>
              <w:rPr>
                <w:rFonts w:hint="eastAsia"/>
              </w:rPr>
              <w:t xml:space="preserve">028-86690126 </w:t>
            </w:r>
          </w:p>
        </w:tc>
      </w:tr>
      <w:tr w14:paraId="67463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D31FB2">
            <w:pPr>
              <w:pStyle w:val="8"/>
            </w:pPr>
            <w:r>
              <w:rPr>
                <w:rFonts w:hint="eastAsia"/>
              </w:rPr>
              <w:t xml:space="preserve">客户服务电话： </w:t>
            </w:r>
          </w:p>
        </w:tc>
        <w:tc>
          <w:tcPr>
            <w:tcW w:w="7440" w:type="dxa"/>
            <w:shd w:val="clear" w:color="auto" w:fill="auto"/>
          </w:tcPr>
          <w:p w14:paraId="50DA371D">
            <w:pPr>
              <w:pStyle w:val="8"/>
            </w:pPr>
            <w:r>
              <w:rPr>
                <w:rFonts w:hint="eastAsia"/>
              </w:rPr>
              <w:t xml:space="preserve">4006-600109/95310 </w:t>
            </w:r>
          </w:p>
        </w:tc>
      </w:tr>
      <w:tr w14:paraId="0E58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75921">
            <w:pPr>
              <w:pStyle w:val="8"/>
            </w:pPr>
            <w:r>
              <w:rPr>
                <w:rFonts w:hint="eastAsia"/>
              </w:rPr>
              <w:t xml:space="preserve">网址： </w:t>
            </w:r>
          </w:p>
        </w:tc>
        <w:tc>
          <w:tcPr>
            <w:tcW w:w="7440" w:type="dxa"/>
            <w:shd w:val="clear" w:color="auto" w:fill="auto"/>
          </w:tcPr>
          <w:p w14:paraId="73377463">
            <w:pPr>
              <w:pStyle w:val="8"/>
            </w:pPr>
            <w:r>
              <w:rPr>
                <w:rFonts w:hint="eastAsia"/>
              </w:rPr>
              <w:t xml:space="preserve">http://www.gjzq.com.cn </w:t>
            </w:r>
          </w:p>
        </w:tc>
      </w:tr>
    </w:tbl>
    <w:p w14:paraId="5BFAD8A6">
      <w:pPr>
        <w:pStyle w:val="8"/>
        <w:spacing w:before="0" w:beforeAutospacing="0" w:after="0" w:afterAutospacing="0" w:line="360" w:lineRule="auto"/>
        <w:ind w:firstLine="420"/>
        <w:rPr>
          <w:sz w:val="21"/>
          <w:szCs w:val="21"/>
        </w:rPr>
      </w:pPr>
      <w:r>
        <w:rPr>
          <w:rFonts w:hint="eastAsia"/>
          <w:b/>
          <w:bCs/>
          <w:sz w:val="21"/>
          <w:szCs w:val="21"/>
        </w:rPr>
        <w:t>(46)华宝证券股份有限公司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0813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A15A9">
            <w:pPr>
              <w:pStyle w:val="8"/>
            </w:pPr>
            <w:r>
              <w:rPr>
                <w:rFonts w:hint="eastAsia"/>
              </w:rPr>
              <w:t xml:space="preserve">注册地址： </w:t>
            </w:r>
          </w:p>
        </w:tc>
        <w:tc>
          <w:tcPr>
            <w:tcW w:w="7440" w:type="dxa"/>
            <w:shd w:val="clear" w:color="auto" w:fill="auto"/>
          </w:tcPr>
          <w:p w14:paraId="501022DE">
            <w:pPr>
              <w:pStyle w:val="8"/>
            </w:pPr>
            <w:r>
              <w:rPr>
                <w:rFonts w:hint="eastAsia"/>
              </w:rPr>
              <w:t xml:space="preserve">上海市浦东新区世纪大道100号上海环球金融中心57楼 </w:t>
            </w:r>
          </w:p>
        </w:tc>
      </w:tr>
      <w:tr w14:paraId="74CE3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23180">
            <w:pPr>
              <w:pStyle w:val="8"/>
            </w:pPr>
            <w:r>
              <w:rPr>
                <w:rFonts w:hint="eastAsia"/>
              </w:rPr>
              <w:t xml:space="preserve">办公地址： </w:t>
            </w:r>
          </w:p>
        </w:tc>
        <w:tc>
          <w:tcPr>
            <w:tcW w:w="7440" w:type="dxa"/>
            <w:shd w:val="clear" w:color="auto" w:fill="auto"/>
          </w:tcPr>
          <w:p w14:paraId="6E534882">
            <w:pPr>
              <w:pStyle w:val="8"/>
            </w:pPr>
            <w:r>
              <w:rPr>
                <w:rFonts w:hint="eastAsia"/>
              </w:rPr>
              <w:t xml:space="preserve">上海市浦东新区世纪大道100号上海环球金融中心57楼 </w:t>
            </w:r>
          </w:p>
        </w:tc>
      </w:tr>
      <w:tr w14:paraId="20A7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0708E">
            <w:pPr>
              <w:pStyle w:val="8"/>
            </w:pPr>
            <w:r>
              <w:rPr>
                <w:rFonts w:hint="eastAsia"/>
              </w:rPr>
              <w:t xml:space="preserve">法定代表人： </w:t>
            </w:r>
          </w:p>
        </w:tc>
        <w:tc>
          <w:tcPr>
            <w:tcW w:w="7440" w:type="dxa"/>
            <w:shd w:val="clear" w:color="auto" w:fill="auto"/>
          </w:tcPr>
          <w:p w14:paraId="6DD46641">
            <w:pPr>
              <w:pStyle w:val="8"/>
            </w:pPr>
            <w:r>
              <w:rPr>
                <w:rFonts w:hint="eastAsia"/>
              </w:rPr>
              <w:t xml:space="preserve">刘加海 </w:t>
            </w:r>
          </w:p>
        </w:tc>
      </w:tr>
      <w:tr w14:paraId="01F4F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F9F95">
            <w:pPr>
              <w:pStyle w:val="8"/>
            </w:pPr>
            <w:r>
              <w:rPr>
                <w:rFonts w:hint="eastAsia"/>
              </w:rPr>
              <w:t xml:space="preserve">联系人： </w:t>
            </w:r>
          </w:p>
        </w:tc>
        <w:tc>
          <w:tcPr>
            <w:tcW w:w="7440" w:type="dxa"/>
            <w:shd w:val="clear" w:color="auto" w:fill="auto"/>
          </w:tcPr>
          <w:p w14:paraId="729D6CD8">
            <w:pPr>
              <w:pStyle w:val="8"/>
            </w:pPr>
            <w:r>
              <w:rPr>
                <w:rFonts w:hint="eastAsia"/>
              </w:rPr>
              <w:t xml:space="preserve">刘闻川 </w:t>
            </w:r>
          </w:p>
        </w:tc>
      </w:tr>
      <w:tr w14:paraId="6197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90671">
            <w:pPr>
              <w:pStyle w:val="8"/>
            </w:pPr>
            <w:r>
              <w:rPr>
                <w:rFonts w:hint="eastAsia"/>
              </w:rPr>
              <w:t xml:space="preserve">电话： </w:t>
            </w:r>
          </w:p>
        </w:tc>
        <w:tc>
          <w:tcPr>
            <w:tcW w:w="7440" w:type="dxa"/>
            <w:shd w:val="clear" w:color="auto" w:fill="auto"/>
          </w:tcPr>
          <w:p w14:paraId="7CC43F7D">
            <w:pPr>
              <w:pStyle w:val="8"/>
            </w:pPr>
            <w:r>
              <w:rPr>
                <w:rFonts w:hint="eastAsia"/>
              </w:rPr>
              <w:t xml:space="preserve">021-68777222   </w:t>
            </w:r>
          </w:p>
        </w:tc>
      </w:tr>
      <w:tr w14:paraId="1A423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FE242">
            <w:pPr>
              <w:pStyle w:val="8"/>
            </w:pPr>
            <w:r>
              <w:rPr>
                <w:rFonts w:hint="eastAsia"/>
              </w:rPr>
              <w:t xml:space="preserve">传真： </w:t>
            </w:r>
          </w:p>
        </w:tc>
        <w:tc>
          <w:tcPr>
            <w:tcW w:w="7440" w:type="dxa"/>
            <w:shd w:val="clear" w:color="auto" w:fill="auto"/>
          </w:tcPr>
          <w:p w14:paraId="11301714">
            <w:pPr>
              <w:pStyle w:val="8"/>
            </w:pPr>
            <w:r>
              <w:rPr>
                <w:rFonts w:hint="eastAsia"/>
              </w:rPr>
              <w:t xml:space="preserve">021－68777822 </w:t>
            </w:r>
          </w:p>
        </w:tc>
      </w:tr>
      <w:tr w14:paraId="5DCF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CC6A7">
            <w:pPr>
              <w:pStyle w:val="8"/>
            </w:pPr>
            <w:r>
              <w:rPr>
                <w:rFonts w:hint="eastAsia"/>
              </w:rPr>
              <w:t xml:space="preserve">客户服务电话： </w:t>
            </w:r>
          </w:p>
        </w:tc>
        <w:tc>
          <w:tcPr>
            <w:tcW w:w="7440" w:type="dxa"/>
            <w:shd w:val="clear" w:color="auto" w:fill="auto"/>
          </w:tcPr>
          <w:p w14:paraId="71BB49D5">
            <w:pPr>
              <w:pStyle w:val="8"/>
            </w:pPr>
            <w:r>
              <w:rPr>
                <w:rFonts w:hint="eastAsia"/>
              </w:rPr>
              <w:t xml:space="preserve">4008209898;021-38929908 </w:t>
            </w:r>
          </w:p>
        </w:tc>
      </w:tr>
      <w:tr w14:paraId="7EAF5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48A60">
            <w:pPr>
              <w:pStyle w:val="8"/>
            </w:pPr>
            <w:r>
              <w:rPr>
                <w:rFonts w:hint="eastAsia"/>
              </w:rPr>
              <w:t xml:space="preserve">网址： </w:t>
            </w:r>
          </w:p>
        </w:tc>
        <w:tc>
          <w:tcPr>
            <w:tcW w:w="7440" w:type="dxa"/>
            <w:shd w:val="clear" w:color="auto" w:fill="auto"/>
          </w:tcPr>
          <w:p w14:paraId="4C166892">
            <w:pPr>
              <w:pStyle w:val="8"/>
            </w:pPr>
            <w:r>
              <w:rPr>
                <w:rFonts w:hint="eastAsia"/>
              </w:rPr>
              <w:t xml:space="preserve">http://www.cnhbstock.com </w:t>
            </w:r>
          </w:p>
        </w:tc>
      </w:tr>
    </w:tbl>
    <w:p w14:paraId="7EB68197">
      <w:pPr>
        <w:pStyle w:val="8"/>
        <w:spacing w:before="0" w:beforeAutospacing="0" w:after="0" w:afterAutospacing="0" w:line="360" w:lineRule="auto"/>
        <w:ind w:firstLine="420"/>
        <w:rPr>
          <w:sz w:val="21"/>
          <w:szCs w:val="21"/>
        </w:rPr>
      </w:pPr>
      <w:r>
        <w:rPr>
          <w:rFonts w:hint="eastAsia"/>
          <w:b/>
          <w:bCs/>
          <w:sz w:val="21"/>
          <w:szCs w:val="21"/>
        </w:rPr>
        <w:t>(47)华瑞保险销售有限公司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99A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B5B38">
            <w:pPr>
              <w:pStyle w:val="8"/>
            </w:pPr>
            <w:r>
              <w:rPr>
                <w:rFonts w:hint="eastAsia"/>
              </w:rPr>
              <w:t xml:space="preserve">注册地址： </w:t>
            </w:r>
          </w:p>
        </w:tc>
        <w:tc>
          <w:tcPr>
            <w:tcW w:w="7440" w:type="dxa"/>
            <w:shd w:val="clear" w:color="auto" w:fill="auto"/>
          </w:tcPr>
          <w:p w14:paraId="2AAF7AAF">
            <w:pPr>
              <w:pStyle w:val="8"/>
            </w:pPr>
            <w:r>
              <w:rPr>
                <w:rFonts w:hint="eastAsia"/>
              </w:rPr>
              <w:t xml:space="preserve">上海市嘉定区南翔镇众仁路399号运通星财富广场1号楼B座13、14层 </w:t>
            </w:r>
          </w:p>
        </w:tc>
      </w:tr>
      <w:tr w14:paraId="4A62C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0F0F6">
            <w:pPr>
              <w:pStyle w:val="8"/>
            </w:pPr>
            <w:r>
              <w:rPr>
                <w:rFonts w:hint="eastAsia"/>
              </w:rPr>
              <w:t xml:space="preserve">办公地址： </w:t>
            </w:r>
          </w:p>
        </w:tc>
        <w:tc>
          <w:tcPr>
            <w:tcW w:w="7440" w:type="dxa"/>
            <w:shd w:val="clear" w:color="auto" w:fill="auto"/>
          </w:tcPr>
          <w:p w14:paraId="49E3621C">
            <w:pPr>
              <w:pStyle w:val="8"/>
            </w:pPr>
            <w:r>
              <w:rPr>
                <w:rFonts w:hint="eastAsia"/>
              </w:rPr>
              <w:t xml:space="preserve">上海市浦东区向城路288号国华金融大厦8楼 </w:t>
            </w:r>
          </w:p>
        </w:tc>
      </w:tr>
      <w:tr w14:paraId="010B2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4713A">
            <w:pPr>
              <w:pStyle w:val="8"/>
            </w:pPr>
            <w:r>
              <w:rPr>
                <w:rFonts w:hint="eastAsia"/>
              </w:rPr>
              <w:t xml:space="preserve">法定代表人： </w:t>
            </w:r>
          </w:p>
        </w:tc>
        <w:tc>
          <w:tcPr>
            <w:tcW w:w="7440" w:type="dxa"/>
            <w:shd w:val="clear" w:color="auto" w:fill="auto"/>
          </w:tcPr>
          <w:p w14:paraId="1DB6E5C6">
            <w:pPr>
              <w:pStyle w:val="8"/>
            </w:pPr>
            <w:r>
              <w:rPr>
                <w:rFonts w:hint="eastAsia"/>
              </w:rPr>
              <w:t xml:space="preserve">路昊 </w:t>
            </w:r>
          </w:p>
        </w:tc>
      </w:tr>
      <w:tr w14:paraId="57AB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C7643">
            <w:pPr>
              <w:pStyle w:val="8"/>
            </w:pPr>
            <w:r>
              <w:rPr>
                <w:rFonts w:hint="eastAsia"/>
              </w:rPr>
              <w:t xml:space="preserve">联系人： </w:t>
            </w:r>
          </w:p>
        </w:tc>
        <w:tc>
          <w:tcPr>
            <w:tcW w:w="7440" w:type="dxa"/>
            <w:shd w:val="clear" w:color="auto" w:fill="auto"/>
          </w:tcPr>
          <w:p w14:paraId="1FAE831A">
            <w:pPr>
              <w:pStyle w:val="8"/>
            </w:pPr>
            <w:r>
              <w:rPr>
                <w:rFonts w:hint="eastAsia"/>
              </w:rPr>
              <w:t xml:space="preserve">张爽爽 </w:t>
            </w:r>
          </w:p>
        </w:tc>
      </w:tr>
      <w:tr w14:paraId="58669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93AF1">
            <w:pPr>
              <w:pStyle w:val="8"/>
            </w:pPr>
            <w:r>
              <w:rPr>
                <w:rFonts w:hint="eastAsia"/>
              </w:rPr>
              <w:t xml:space="preserve">电话： </w:t>
            </w:r>
          </w:p>
        </w:tc>
        <w:tc>
          <w:tcPr>
            <w:tcW w:w="7440" w:type="dxa"/>
            <w:shd w:val="clear" w:color="auto" w:fill="auto"/>
          </w:tcPr>
          <w:p w14:paraId="35C843A7">
            <w:pPr>
              <w:pStyle w:val="8"/>
            </w:pPr>
            <w:r>
              <w:rPr>
                <w:rFonts w:hint="eastAsia"/>
              </w:rPr>
              <w:t xml:space="preserve">021-68595976 </w:t>
            </w:r>
          </w:p>
        </w:tc>
      </w:tr>
      <w:tr w14:paraId="0AB3F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2F9E1A">
            <w:pPr>
              <w:pStyle w:val="8"/>
            </w:pPr>
            <w:r>
              <w:rPr>
                <w:rFonts w:hint="eastAsia"/>
              </w:rPr>
              <w:t xml:space="preserve">传真： </w:t>
            </w:r>
          </w:p>
        </w:tc>
        <w:tc>
          <w:tcPr>
            <w:tcW w:w="7440" w:type="dxa"/>
            <w:shd w:val="clear" w:color="auto" w:fill="auto"/>
          </w:tcPr>
          <w:p w14:paraId="4A7BA76D">
            <w:pPr>
              <w:pStyle w:val="8"/>
            </w:pPr>
            <w:r>
              <w:rPr>
                <w:rFonts w:hint="eastAsia"/>
              </w:rPr>
              <w:t xml:space="preserve">021-68595766 </w:t>
            </w:r>
          </w:p>
        </w:tc>
      </w:tr>
      <w:tr w14:paraId="0AFB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39186">
            <w:pPr>
              <w:pStyle w:val="8"/>
            </w:pPr>
            <w:r>
              <w:rPr>
                <w:rFonts w:hint="eastAsia"/>
              </w:rPr>
              <w:t xml:space="preserve">客户服务电话： </w:t>
            </w:r>
          </w:p>
        </w:tc>
        <w:tc>
          <w:tcPr>
            <w:tcW w:w="7440" w:type="dxa"/>
            <w:shd w:val="clear" w:color="auto" w:fill="auto"/>
          </w:tcPr>
          <w:p w14:paraId="0BE619E6">
            <w:pPr>
              <w:pStyle w:val="8"/>
            </w:pPr>
            <w:r>
              <w:rPr>
                <w:rFonts w:hint="eastAsia"/>
              </w:rPr>
              <w:t xml:space="preserve">4001115818 </w:t>
            </w:r>
          </w:p>
        </w:tc>
      </w:tr>
      <w:tr w14:paraId="0CA6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3FDDC">
            <w:pPr>
              <w:pStyle w:val="8"/>
            </w:pPr>
            <w:r>
              <w:rPr>
                <w:rFonts w:hint="eastAsia"/>
              </w:rPr>
              <w:t xml:space="preserve">网址： </w:t>
            </w:r>
          </w:p>
        </w:tc>
        <w:tc>
          <w:tcPr>
            <w:tcW w:w="7440" w:type="dxa"/>
            <w:shd w:val="clear" w:color="auto" w:fill="auto"/>
          </w:tcPr>
          <w:p w14:paraId="5A0D7992">
            <w:pPr>
              <w:pStyle w:val="8"/>
            </w:pPr>
            <w:r>
              <w:rPr>
                <w:rFonts w:hint="eastAsia"/>
              </w:rPr>
              <w:t xml:space="preserve">www.huaruisales.com </w:t>
            </w:r>
          </w:p>
        </w:tc>
      </w:tr>
    </w:tbl>
    <w:p w14:paraId="5B0C6408">
      <w:pPr>
        <w:pStyle w:val="8"/>
        <w:spacing w:before="0" w:beforeAutospacing="0" w:after="0" w:afterAutospacing="0" w:line="360" w:lineRule="auto"/>
        <w:ind w:firstLine="420"/>
        <w:rPr>
          <w:sz w:val="21"/>
          <w:szCs w:val="21"/>
        </w:rPr>
      </w:pPr>
      <w:r>
        <w:rPr>
          <w:rFonts w:hint="eastAsia"/>
          <w:b/>
          <w:bCs/>
          <w:sz w:val="21"/>
          <w:szCs w:val="21"/>
        </w:rPr>
        <w:t>(48)玄元保险代理有限公司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14CA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5318A">
            <w:pPr>
              <w:pStyle w:val="8"/>
            </w:pPr>
            <w:r>
              <w:rPr>
                <w:rFonts w:hint="eastAsia"/>
              </w:rPr>
              <w:t xml:space="preserve">注册地址： </w:t>
            </w:r>
          </w:p>
        </w:tc>
        <w:tc>
          <w:tcPr>
            <w:tcW w:w="7440" w:type="dxa"/>
            <w:shd w:val="clear" w:color="auto" w:fill="auto"/>
          </w:tcPr>
          <w:p w14:paraId="0FD5E7C7">
            <w:pPr>
              <w:pStyle w:val="8"/>
            </w:pPr>
            <w:r>
              <w:rPr>
                <w:rFonts w:hint="eastAsia"/>
              </w:rPr>
              <w:t xml:space="preserve">中国（上海）自由贸易试验区张杨路707号1105室 </w:t>
            </w:r>
          </w:p>
        </w:tc>
      </w:tr>
      <w:tr w14:paraId="2E45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C90DB">
            <w:pPr>
              <w:pStyle w:val="8"/>
            </w:pPr>
            <w:r>
              <w:rPr>
                <w:rFonts w:hint="eastAsia"/>
              </w:rPr>
              <w:t xml:space="preserve">办公地址： </w:t>
            </w:r>
          </w:p>
        </w:tc>
        <w:tc>
          <w:tcPr>
            <w:tcW w:w="7440" w:type="dxa"/>
            <w:shd w:val="clear" w:color="auto" w:fill="auto"/>
          </w:tcPr>
          <w:p w14:paraId="4F22F658">
            <w:pPr>
              <w:pStyle w:val="8"/>
            </w:pPr>
            <w:r>
              <w:rPr>
                <w:rFonts w:hint="eastAsia"/>
              </w:rPr>
              <w:t xml:space="preserve">中国（上海）自由贸易试验区张杨路707号1105室 </w:t>
            </w:r>
          </w:p>
        </w:tc>
      </w:tr>
      <w:tr w14:paraId="3EEDB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AE941">
            <w:pPr>
              <w:pStyle w:val="8"/>
            </w:pPr>
            <w:r>
              <w:rPr>
                <w:rFonts w:hint="eastAsia"/>
              </w:rPr>
              <w:t xml:space="preserve">法定代表人： </w:t>
            </w:r>
          </w:p>
        </w:tc>
        <w:tc>
          <w:tcPr>
            <w:tcW w:w="7440" w:type="dxa"/>
            <w:shd w:val="clear" w:color="auto" w:fill="auto"/>
          </w:tcPr>
          <w:p w14:paraId="11E0A845">
            <w:pPr>
              <w:pStyle w:val="8"/>
            </w:pPr>
            <w:r>
              <w:rPr>
                <w:rFonts w:hint="eastAsia"/>
              </w:rPr>
              <w:t xml:space="preserve">马永谙 </w:t>
            </w:r>
          </w:p>
        </w:tc>
      </w:tr>
      <w:tr w14:paraId="09BA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78DF7">
            <w:pPr>
              <w:pStyle w:val="8"/>
            </w:pPr>
            <w:r>
              <w:rPr>
                <w:rFonts w:hint="eastAsia"/>
              </w:rPr>
              <w:t xml:space="preserve">联系人： </w:t>
            </w:r>
          </w:p>
        </w:tc>
        <w:tc>
          <w:tcPr>
            <w:tcW w:w="7440" w:type="dxa"/>
            <w:shd w:val="clear" w:color="auto" w:fill="auto"/>
          </w:tcPr>
          <w:p w14:paraId="4D393A50">
            <w:pPr>
              <w:pStyle w:val="8"/>
            </w:pPr>
            <w:r>
              <w:rPr>
                <w:rFonts w:hint="eastAsia"/>
              </w:rPr>
              <w:t xml:space="preserve">卢亚博 </w:t>
            </w:r>
          </w:p>
        </w:tc>
      </w:tr>
      <w:tr w14:paraId="3BED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B6B59">
            <w:pPr>
              <w:pStyle w:val="8"/>
            </w:pPr>
            <w:r>
              <w:rPr>
                <w:rFonts w:hint="eastAsia"/>
              </w:rPr>
              <w:t xml:space="preserve">电话： </w:t>
            </w:r>
          </w:p>
        </w:tc>
        <w:tc>
          <w:tcPr>
            <w:tcW w:w="7440" w:type="dxa"/>
            <w:shd w:val="clear" w:color="auto" w:fill="auto"/>
          </w:tcPr>
          <w:p w14:paraId="3F0D5190">
            <w:pPr>
              <w:pStyle w:val="8"/>
            </w:pPr>
            <w:r>
              <w:rPr>
                <w:rFonts w:hint="eastAsia"/>
              </w:rPr>
              <w:t xml:space="preserve">021-50701053 </w:t>
            </w:r>
          </w:p>
        </w:tc>
      </w:tr>
      <w:tr w14:paraId="0F85E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CB02C">
            <w:pPr>
              <w:pStyle w:val="8"/>
            </w:pPr>
            <w:r>
              <w:rPr>
                <w:rFonts w:hint="eastAsia"/>
              </w:rPr>
              <w:t xml:space="preserve">传真： </w:t>
            </w:r>
          </w:p>
        </w:tc>
        <w:tc>
          <w:tcPr>
            <w:tcW w:w="7440" w:type="dxa"/>
            <w:shd w:val="clear" w:color="auto" w:fill="auto"/>
          </w:tcPr>
          <w:p w14:paraId="17EC9969">
            <w:pPr>
              <w:pStyle w:val="8"/>
            </w:pPr>
            <w:r>
              <w:rPr>
                <w:rFonts w:hint="eastAsia"/>
              </w:rPr>
              <w:t xml:space="preserve">021-50701053 </w:t>
            </w:r>
          </w:p>
        </w:tc>
      </w:tr>
      <w:tr w14:paraId="5C43E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24C57">
            <w:pPr>
              <w:pStyle w:val="8"/>
            </w:pPr>
            <w:r>
              <w:rPr>
                <w:rFonts w:hint="eastAsia"/>
              </w:rPr>
              <w:t xml:space="preserve">客户服务电话： </w:t>
            </w:r>
          </w:p>
        </w:tc>
        <w:tc>
          <w:tcPr>
            <w:tcW w:w="7440" w:type="dxa"/>
            <w:shd w:val="clear" w:color="auto" w:fill="auto"/>
          </w:tcPr>
          <w:p w14:paraId="225A8105">
            <w:pPr>
              <w:pStyle w:val="8"/>
            </w:pPr>
            <w:r>
              <w:rPr>
                <w:rFonts w:hint="eastAsia"/>
              </w:rPr>
              <w:t xml:space="preserve">4000808208 </w:t>
            </w:r>
          </w:p>
        </w:tc>
      </w:tr>
      <w:tr w14:paraId="38684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4B6B4">
            <w:pPr>
              <w:pStyle w:val="8"/>
            </w:pPr>
            <w:r>
              <w:rPr>
                <w:rFonts w:hint="eastAsia"/>
              </w:rPr>
              <w:t xml:space="preserve">网址： </w:t>
            </w:r>
          </w:p>
        </w:tc>
        <w:tc>
          <w:tcPr>
            <w:tcW w:w="7440" w:type="dxa"/>
            <w:shd w:val="clear" w:color="auto" w:fill="auto"/>
          </w:tcPr>
          <w:p w14:paraId="24B5DC4E">
            <w:pPr>
              <w:pStyle w:val="8"/>
            </w:pPr>
            <w:r>
              <w:rPr>
                <w:rFonts w:hint="eastAsia"/>
              </w:rPr>
              <w:t xml:space="preserve">www.licaimofang.com </w:t>
            </w:r>
          </w:p>
        </w:tc>
      </w:tr>
    </w:tbl>
    <w:p w14:paraId="452ABDBD">
      <w:pPr>
        <w:rPr>
          <w:rFonts w:ascii="宋体" w:hAnsi="宋体" w:eastAsia="宋体"/>
          <w:sz w:val="24"/>
          <w:szCs w:val="24"/>
        </w:rPr>
      </w:pPr>
      <w:bookmarkStart w:id="44" w:name="field_0_allproxysaletables_1_end"/>
      <w:bookmarkEnd w:id="44"/>
      <w:r>
        <w:rPr>
          <w:rFonts w:ascii="宋体" w:hAnsi="宋体" w:eastAsia="宋体"/>
        </w:rPr>
        <w:t xml:space="preserve">  </w:t>
      </w:r>
    </w:p>
    <w:p w14:paraId="17103429">
      <w:pPr>
        <w:pStyle w:val="8"/>
        <w:spacing w:before="0" w:beforeAutospacing="0" w:after="0" w:afterAutospacing="0" w:line="360" w:lineRule="auto"/>
        <w:ind w:firstLine="420"/>
        <w:rPr>
          <w:sz w:val="21"/>
          <w:szCs w:val="21"/>
        </w:rPr>
      </w:pPr>
      <w:bookmarkStart w:id="45" w:name="chapter_level1_7_56_section_2_end"/>
      <w:bookmarkEnd w:id="45"/>
      <w:bookmarkStart w:id="46" w:name="chapter_level1_7_56_section_3"/>
      <w:bookmarkEnd w:id="46"/>
      <w:r>
        <w:rPr>
          <w:rStyle w:val="12"/>
          <w:rFonts w:hint="eastAsia"/>
          <w:sz w:val="21"/>
          <w:szCs w:val="21"/>
        </w:rPr>
        <w:t>二、登记机构</w:t>
      </w:r>
    </w:p>
    <w:p w14:paraId="3249022C">
      <w:pPr>
        <w:pStyle w:val="8"/>
        <w:spacing w:before="0" w:beforeAutospacing="0" w:after="0" w:afterAutospacing="0" w:line="360" w:lineRule="auto"/>
        <w:ind w:firstLine="420"/>
        <w:rPr>
          <w:sz w:val="21"/>
          <w:szCs w:val="21"/>
        </w:rPr>
      </w:pPr>
      <w:bookmarkStart w:id="47" w:name="field_0_registercompanyinfo_1_start"/>
      <w:bookmarkEnd w:id="47"/>
      <w:r>
        <w:rPr>
          <w:rFonts w:hint="eastAsia"/>
          <w:sz w:val="21"/>
          <w:szCs w:val="21"/>
        </w:rPr>
        <w:t xml:space="preserve">名称：博时基金管理有限公司 </w:t>
      </w:r>
    </w:p>
    <w:p w14:paraId="36CAF1B1">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7E6B47CF">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1E255E35">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val="en-US" w:eastAsia="zh-CN"/>
        </w:rPr>
        <w:t>张东</w:t>
      </w:r>
      <w:r>
        <w:rPr>
          <w:rFonts w:hint="eastAsia"/>
          <w:sz w:val="21"/>
          <w:szCs w:val="21"/>
        </w:rPr>
        <w:t xml:space="preserve"> </w:t>
      </w:r>
    </w:p>
    <w:p w14:paraId="657AD32E">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4996D66E">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5401F368">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48" w:name="field_0_registercompanyinfo_1_end"/>
      <w:bookmarkEnd w:id="48"/>
      <w:r>
        <w:rPr>
          <w:rFonts w:hint="eastAsia"/>
          <w:sz w:val="21"/>
          <w:szCs w:val="21"/>
        </w:rPr>
        <w:t xml:space="preserve">  </w:t>
      </w:r>
    </w:p>
    <w:p w14:paraId="7FAE3A4C">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10913CAD">
      <w:pPr>
        <w:pStyle w:val="8"/>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3306E6AB">
      <w:pPr>
        <w:pStyle w:val="8"/>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20AB9950">
      <w:pPr>
        <w:pStyle w:val="8"/>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72406C2D">
      <w:pPr>
        <w:pStyle w:val="8"/>
        <w:spacing w:before="0" w:beforeAutospacing="0" w:after="0" w:afterAutospacing="0" w:line="360" w:lineRule="auto"/>
        <w:ind w:firstLine="420"/>
        <w:rPr>
          <w:sz w:val="21"/>
          <w:szCs w:val="21"/>
        </w:rPr>
      </w:pPr>
      <w:r>
        <w:rPr>
          <w:rFonts w:hint="eastAsia"/>
          <w:sz w:val="21"/>
          <w:szCs w:val="21"/>
        </w:rPr>
        <w:t xml:space="preserve">负责人：廖海 </w:t>
      </w:r>
    </w:p>
    <w:p w14:paraId="725FF6FE">
      <w:pPr>
        <w:pStyle w:val="8"/>
        <w:spacing w:before="0" w:beforeAutospacing="0" w:after="0" w:afterAutospacing="0" w:line="360" w:lineRule="auto"/>
        <w:ind w:firstLine="420"/>
        <w:rPr>
          <w:sz w:val="21"/>
          <w:szCs w:val="21"/>
        </w:rPr>
      </w:pPr>
      <w:r>
        <w:rPr>
          <w:rFonts w:hint="eastAsia"/>
          <w:sz w:val="21"/>
          <w:szCs w:val="21"/>
        </w:rPr>
        <w:t xml:space="preserve">电话：021-51150298 </w:t>
      </w:r>
    </w:p>
    <w:p w14:paraId="5EAC2811">
      <w:pPr>
        <w:pStyle w:val="8"/>
        <w:spacing w:before="0" w:beforeAutospacing="0" w:after="0" w:afterAutospacing="0" w:line="360" w:lineRule="auto"/>
        <w:ind w:firstLine="420"/>
        <w:rPr>
          <w:sz w:val="21"/>
          <w:szCs w:val="21"/>
        </w:rPr>
      </w:pPr>
      <w:r>
        <w:rPr>
          <w:rFonts w:hint="eastAsia"/>
          <w:sz w:val="21"/>
          <w:szCs w:val="21"/>
        </w:rPr>
        <w:t xml:space="preserve">传真：021-51150298 </w:t>
      </w:r>
    </w:p>
    <w:p w14:paraId="7015B20F">
      <w:pPr>
        <w:pStyle w:val="8"/>
        <w:spacing w:before="0" w:beforeAutospacing="0" w:after="0" w:afterAutospacing="0" w:line="360" w:lineRule="auto"/>
        <w:ind w:firstLine="420"/>
        <w:rPr>
          <w:sz w:val="21"/>
          <w:szCs w:val="21"/>
        </w:rPr>
      </w:pPr>
      <w:r>
        <w:rPr>
          <w:rFonts w:hint="eastAsia"/>
          <w:sz w:val="21"/>
          <w:szCs w:val="21"/>
        </w:rPr>
        <w:t xml:space="preserve">联系人：廖海 </w:t>
      </w:r>
    </w:p>
    <w:p w14:paraId="6FBB53E8">
      <w:pPr>
        <w:pStyle w:val="8"/>
        <w:spacing w:before="0" w:beforeAutospacing="0" w:after="0" w:afterAutospacing="0" w:line="360" w:lineRule="auto"/>
        <w:ind w:firstLine="420"/>
        <w:rPr>
          <w:sz w:val="21"/>
          <w:szCs w:val="21"/>
        </w:rPr>
      </w:pPr>
      <w:r>
        <w:rPr>
          <w:rFonts w:hint="eastAsia"/>
          <w:sz w:val="21"/>
          <w:szCs w:val="21"/>
        </w:rPr>
        <w:t xml:space="preserve">经办律师：廖海、刘佳 </w:t>
      </w:r>
    </w:p>
    <w:p w14:paraId="573110C3">
      <w:pPr>
        <w:pStyle w:val="8"/>
        <w:spacing w:before="0" w:beforeAutospacing="0" w:after="0" w:afterAutospacing="0" w:line="360" w:lineRule="auto"/>
        <w:ind w:firstLine="420"/>
        <w:rPr>
          <w:sz w:val="21"/>
          <w:szCs w:val="21"/>
        </w:rPr>
      </w:pPr>
      <w:r>
        <w:rPr>
          <w:rStyle w:val="12"/>
          <w:rFonts w:hint="eastAsia"/>
          <w:sz w:val="21"/>
          <w:szCs w:val="21"/>
        </w:rPr>
        <w:t>四、会计师事务所和经办注册会计师</w:t>
      </w:r>
    </w:p>
    <w:p w14:paraId="1BD38103">
      <w:pPr>
        <w:pStyle w:val="8"/>
        <w:spacing w:before="0" w:beforeAutospacing="0" w:after="0" w:afterAutospacing="0" w:line="360" w:lineRule="auto"/>
        <w:ind w:firstLine="420"/>
        <w:rPr>
          <w:sz w:val="21"/>
          <w:szCs w:val="21"/>
        </w:rPr>
      </w:pPr>
      <w:r>
        <w:rPr>
          <w:rFonts w:hint="eastAsia"/>
          <w:sz w:val="21"/>
          <w:szCs w:val="21"/>
        </w:rPr>
        <w:t>本基金的法定验资机构和年度财务报表及其他规定事项的审计机构为</w:t>
      </w:r>
      <w:bookmarkStart w:id="49" w:name="field_0_accountingorgfullname_1"/>
      <w:r>
        <w:rPr>
          <w:rFonts w:hint="eastAsia"/>
          <w:sz w:val="21"/>
          <w:szCs w:val="21"/>
        </w:rPr>
        <w:t>安永华明会计师事务所（特殊普通合伙）</w:t>
      </w:r>
      <w:bookmarkEnd w:id="49"/>
      <w:r>
        <w:rPr>
          <w:rFonts w:hint="eastAsia"/>
          <w:sz w:val="21"/>
          <w:szCs w:val="21"/>
        </w:rPr>
        <w:t xml:space="preserve">  </w:t>
      </w:r>
    </w:p>
    <w:p w14:paraId="37BA6EA0">
      <w:pPr>
        <w:pStyle w:val="8"/>
        <w:spacing w:before="0" w:beforeAutospacing="0" w:after="0" w:afterAutospacing="0" w:line="360" w:lineRule="auto"/>
        <w:ind w:firstLine="420"/>
        <w:rPr>
          <w:rFonts w:hint="eastAsia"/>
          <w:sz w:val="21"/>
          <w:szCs w:val="21"/>
        </w:rPr>
      </w:pPr>
      <w:bookmarkStart w:id="50" w:name="field_0_accountingcompanyinfo_1_start"/>
      <w:bookmarkEnd w:id="50"/>
      <w:r>
        <w:rPr>
          <w:rFonts w:hint="eastAsia"/>
          <w:sz w:val="21"/>
          <w:szCs w:val="21"/>
        </w:rPr>
        <w:t>名称：安永华明会计师事务所（特殊普通合伙）</w:t>
      </w:r>
    </w:p>
    <w:p w14:paraId="20D871E9">
      <w:pPr>
        <w:pStyle w:val="8"/>
        <w:spacing w:before="0" w:beforeAutospacing="0" w:after="0" w:afterAutospacing="0" w:line="360" w:lineRule="auto"/>
        <w:ind w:firstLine="420"/>
        <w:rPr>
          <w:rFonts w:hint="eastAsia"/>
          <w:sz w:val="21"/>
          <w:szCs w:val="21"/>
        </w:rPr>
      </w:pPr>
      <w:r>
        <w:rPr>
          <w:rFonts w:hint="eastAsia"/>
          <w:sz w:val="21"/>
          <w:szCs w:val="21"/>
        </w:rPr>
        <w:t>住所：北京市东城区东长安街1号东方广场安永大楼17层01-12室</w:t>
      </w:r>
    </w:p>
    <w:p w14:paraId="490A79B2">
      <w:pPr>
        <w:pStyle w:val="8"/>
        <w:spacing w:before="0" w:beforeAutospacing="0" w:after="0" w:afterAutospacing="0" w:line="360" w:lineRule="auto"/>
        <w:ind w:firstLine="420"/>
        <w:rPr>
          <w:rFonts w:hint="eastAsia"/>
          <w:sz w:val="21"/>
          <w:szCs w:val="21"/>
        </w:rPr>
      </w:pPr>
      <w:r>
        <w:rPr>
          <w:rFonts w:hint="eastAsia"/>
          <w:sz w:val="21"/>
          <w:szCs w:val="21"/>
        </w:rPr>
        <w:t>办公地址：北京市东城区东长安街1号东方广场安永大楼17层01-12室</w:t>
      </w:r>
    </w:p>
    <w:p w14:paraId="5442DD9B">
      <w:pPr>
        <w:pStyle w:val="8"/>
        <w:spacing w:before="0" w:beforeAutospacing="0" w:after="0" w:afterAutospacing="0" w:line="360" w:lineRule="auto"/>
        <w:ind w:firstLine="420"/>
        <w:rPr>
          <w:rFonts w:hint="eastAsia"/>
          <w:sz w:val="21"/>
          <w:szCs w:val="21"/>
        </w:rPr>
      </w:pPr>
      <w:r>
        <w:rPr>
          <w:rFonts w:hint="eastAsia"/>
          <w:sz w:val="21"/>
          <w:szCs w:val="21"/>
        </w:rPr>
        <w:t>执行事务合伙人：毛鞍宁</w:t>
      </w:r>
    </w:p>
    <w:p w14:paraId="27FBC565">
      <w:pPr>
        <w:pStyle w:val="8"/>
        <w:spacing w:before="0" w:beforeAutospacing="0" w:after="0" w:afterAutospacing="0" w:line="360" w:lineRule="auto"/>
        <w:ind w:firstLine="420"/>
        <w:rPr>
          <w:rFonts w:hint="eastAsia"/>
          <w:sz w:val="21"/>
          <w:szCs w:val="21"/>
        </w:rPr>
      </w:pPr>
      <w:r>
        <w:rPr>
          <w:rFonts w:hint="eastAsia"/>
          <w:sz w:val="21"/>
          <w:szCs w:val="21"/>
        </w:rPr>
        <w:t>联系电话：（010）58153000</w:t>
      </w:r>
    </w:p>
    <w:p w14:paraId="478A5A07">
      <w:pPr>
        <w:pStyle w:val="8"/>
        <w:spacing w:before="0" w:beforeAutospacing="0" w:after="0" w:afterAutospacing="0" w:line="360" w:lineRule="auto"/>
        <w:ind w:firstLine="420"/>
        <w:rPr>
          <w:rFonts w:hint="eastAsia"/>
          <w:sz w:val="21"/>
          <w:szCs w:val="21"/>
        </w:rPr>
      </w:pPr>
      <w:r>
        <w:rPr>
          <w:rFonts w:hint="eastAsia"/>
          <w:sz w:val="21"/>
          <w:szCs w:val="21"/>
        </w:rPr>
        <w:t>传真电话：（010）85188298</w:t>
      </w:r>
    </w:p>
    <w:p w14:paraId="67CAF453">
      <w:pPr>
        <w:pStyle w:val="8"/>
        <w:spacing w:before="0" w:beforeAutospacing="0" w:after="0" w:afterAutospacing="0" w:line="360" w:lineRule="auto"/>
        <w:ind w:firstLine="420"/>
        <w:rPr>
          <w:rFonts w:hint="eastAsia"/>
          <w:sz w:val="21"/>
          <w:szCs w:val="21"/>
        </w:rPr>
      </w:pPr>
      <w:r>
        <w:rPr>
          <w:rFonts w:hint="eastAsia"/>
          <w:sz w:val="21"/>
          <w:szCs w:val="21"/>
        </w:rPr>
        <w:t>经办注册会计师： 高鹤、楼坚、王海彦</w:t>
      </w:r>
    </w:p>
    <w:p w14:paraId="0817A549">
      <w:pPr>
        <w:pStyle w:val="8"/>
        <w:spacing w:before="0" w:beforeAutospacing="0" w:after="0" w:afterAutospacing="0" w:line="360" w:lineRule="auto"/>
        <w:ind w:firstLine="420"/>
        <w:rPr>
          <w:sz w:val="21"/>
          <w:szCs w:val="21"/>
        </w:rPr>
      </w:pPr>
      <w:r>
        <w:rPr>
          <w:rFonts w:hint="eastAsia"/>
          <w:sz w:val="21"/>
          <w:szCs w:val="21"/>
        </w:rPr>
        <w:t xml:space="preserve">联系人：王海彦 </w:t>
      </w:r>
      <w:bookmarkStart w:id="51" w:name="field_0_accountingcompanyinfo_1_end"/>
      <w:bookmarkEnd w:id="51"/>
      <w:r>
        <w:rPr>
          <w:rFonts w:hint="eastAsia"/>
          <w:sz w:val="21"/>
          <w:szCs w:val="21"/>
        </w:rPr>
        <w:t xml:space="preserve">  </w:t>
      </w:r>
    </w:p>
    <w:p w14:paraId="1D8C74B8">
      <w:pPr>
        <w:widowControl/>
        <w:jc w:val="left"/>
        <w:rPr>
          <w:rFonts w:ascii="宋体" w:hAnsi="宋体" w:eastAsia="宋体"/>
        </w:rPr>
      </w:pPr>
      <w:r>
        <w:rPr>
          <w:rFonts w:ascii="宋体" w:hAnsi="宋体" w:eastAsia="宋体"/>
        </w:rPr>
        <w:br w:type="page"/>
      </w:r>
    </w:p>
    <w:p w14:paraId="3AD86622">
      <w:pPr>
        <w:pStyle w:val="2"/>
        <w:jc w:val="center"/>
        <w:rPr>
          <w:rFonts w:ascii="宋体" w:hAnsi="宋体" w:eastAsia="宋体"/>
          <w:sz w:val="30"/>
        </w:rPr>
      </w:pPr>
      <w:bookmarkStart w:id="52" w:name="_Toc207939902"/>
      <w:bookmarkStart w:id="53" w:name="chapter_level1_9_58"/>
      <w:r>
        <w:rPr>
          <w:rFonts w:hint="eastAsia" w:ascii="宋体" w:hAnsi="宋体" w:eastAsia="宋体"/>
          <w:sz w:val="30"/>
        </w:rPr>
        <w:t xml:space="preserve">第六部分 </w:t>
      </w:r>
      <w:r>
        <w:rPr>
          <w:rFonts w:hint="eastAsia" w:ascii="宋体" w:hAnsi="宋体" w:eastAsia="宋体"/>
          <w:sz w:val="30"/>
          <w:lang w:val="en-US" w:eastAsia="zh-CN"/>
        </w:rPr>
        <w:t xml:space="preserve"> </w:t>
      </w:r>
      <w:r>
        <w:rPr>
          <w:rFonts w:hint="eastAsia" w:ascii="宋体" w:hAnsi="宋体" w:eastAsia="宋体"/>
          <w:sz w:val="30"/>
        </w:rPr>
        <w:t>基金的</w:t>
      </w:r>
      <w:r>
        <w:rPr>
          <w:rFonts w:hint="eastAsia" w:ascii="宋体" w:hAnsi="宋体"/>
          <w:sz w:val="30"/>
        </w:rPr>
        <w:t>历史沿革</w:t>
      </w:r>
      <w:bookmarkEnd w:id="52"/>
      <w:bookmarkEnd w:id="53"/>
    </w:p>
    <w:p w14:paraId="5AE921E1">
      <w:pPr>
        <w:autoSpaceDE w:val="0"/>
        <w:autoSpaceDN w:val="0"/>
        <w:adjustRightInd w:val="0"/>
        <w:spacing w:line="360" w:lineRule="auto"/>
        <w:ind w:firstLine="420" w:firstLineChars="200"/>
        <w:jc w:val="left"/>
        <w:rPr>
          <w:rFonts w:cs="宋体" w:asciiTheme="minorEastAsia" w:hAnsiTheme="minorEastAsia"/>
          <w:kern w:val="0"/>
          <w:sz w:val="21"/>
          <w:szCs w:val="21"/>
        </w:rPr>
      </w:pPr>
      <w:bookmarkStart w:id="54" w:name="chapter_level1_9_58_section_1"/>
      <w:bookmarkEnd w:id="54"/>
      <w:r>
        <w:rPr>
          <w:rFonts w:hint="eastAsia" w:cs="宋体" w:asciiTheme="minorEastAsia" w:hAnsiTheme="minorEastAsia"/>
          <w:kern w:val="0"/>
          <w:sz w:val="21"/>
          <w:szCs w:val="21"/>
          <w:lang w:eastAsia="zh-CN"/>
        </w:rPr>
        <w:t>博时国证粮食产业交易型开放式指数证券投资基金发起式联接基金</w:t>
      </w:r>
      <w:r>
        <w:rPr>
          <w:rFonts w:hint="eastAsia" w:cs="宋体" w:asciiTheme="minorEastAsia" w:hAnsiTheme="minorEastAsia"/>
          <w:kern w:val="0"/>
          <w:sz w:val="21"/>
          <w:szCs w:val="21"/>
        </w:rPr>
        <w:t>由</w:t>
      </w: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变更而来。</w:t>
      </w: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经中国证监会《关于准予</w:t>
      </w: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注册的批复》（证监许可</w:t>
      </w:r>
      <w:r>
        <w:rPr>
          <w:rFonts w:cs="宋体" w:asciiTheme="minorEastAsia" w:hAnsiTheme="minorEastAsia"/>
          <w:kern w:val="0"/>
          <w:sz w:val="21"/>
          <w:szCs w:val="21"/>
          <w:highlight w:val="none"/>
        </w:rPr>
        <w:t>[202</w:t>
      </w:r>
      <w:r>
        <w:rPr>
          <w:rFonts w:hint="eastAsia" w:cs="宋体" w:asciiTheme="minorEastAsia" w:hAnsiTheme="minorEastAsia"/>
          <w:kern w:val="0"/>
          <w:sz w:val="21"/>
          <w:szCs w:val="21"/>
          <w:highlight w:val="none"/>
          <w:lang w:val="en-US" w:eastAsia="zh-CN"/>
        </w:rPr>
        <w:t>4</w:t>
      </w:r>
      <w:r>
        <w:rPr>
          <w:rFonts w:cs="宋体" w:asciiTheme="minorEastAsia" w:hAnsiTheme="minorEastAsia"/>
          <w:kern w:val="0"/>
          <w:sz w:val="21"/>
          <w:szCs w:val="21"/>
          <w:highlight w:val="none"/>
        </w:rPr>
        <w:t>]</w:t>
      </w:r>
      <w:r>
        <w:rPr>
          <w:rFonts w:hint="eastAsia" w:cs="宋体" w:asciiTheme="minorEastAsia" w:hAnsiTheme="minorEastAsia"/>
          <w:kern w:val="0"/>
          <w:sz w:val="21"/>
          <w:szCs w:val="21"/>
          <w:highlight w:val="none"/>
          <w:lang w:val="en-US" w:eastAsia="zh-CN"/>
        </w:rPr>
        <w:t>70号</w:t>
      </w:r>
      <w:r>
        <w:rPr>
          <w:rFonts w:hint="eastAsia" w:cs="宋体" w:asciiTheme="minorEastAsia" w:hAnsiTheme="minorEastAsia"/>
          <w:kern w:val="0"/>
          <w:sz w:val="21"/>
          <w:szCs w:val="21"/>
        </w:rPr>
        <w:t>）准予募集注册，基金管理人为博时基金管理有限公司，基金托管人为</w:t>
      </w:r>
      <w:r>
        <w:rPr>
          <w:rFonts w:hint="eastAsia" w:cs="宋体" w:asciiTheme="minorEastAsia" w:hAnsiTheme="minorEastAsia"/>
          <w:kern w:val="0"/>
          <w:sz w:val="21"/>
          <w:szCs w:val="21"/>
          <w:lang w:val="en-US" w:eastAsia="zh-CN"/>
        </w:rPr>
        <w:t>兴业</w:t>
      </w:r>
      <w:r>
        <w:rPr>
          <w:rFonts w:hint="eastAsia" w:cs="宋体" w:asciiTheme="minorEastAsia" w:hAnsiTheme="minorEastAsia"/>
          <w:kern w:val="0"/>
          <w:sz w:val="21"/>
          <w:szCs w:val="21"/>
        </w:rPr>
        <w:t>银行股份有限公司。</w:t>
      </w:r>
    </w:p>
    <w:p w14:paraId="4CE6EEC4">
      <w:pPr>
        <w:autoSpaceDE w:val="0"/>
        <w:autoSpaceDN w:val="0"/>
        <w:adjustRightInd w:val="0"/>
        <w:spacing w:line="360" w:lineRule="auto"/>
        <w:ind w:firstLine="420" w:firstLineChars="200"/>
        <w:jc w:val="left"/>
        <w:rPr>
          <w:rFonts w:cs="宋体" w:asciiTheme="minorEastAsia" w:hAnsiTheme="minorEastAsia"/>
          <w:kern w:val="0"/>
          <w:sz w:val="21"/>
          <w:szCs w:val="21"/>
        </w:rPr>
      </w:pP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自</w:t>
      </w:r>
      <w:r>
        <w:rPr>
          <w:rFonts w:cs="宋体" w:asciiTheme="minorEastAsia" w:hAnsiTheme="minorEastAsia"/>
          <w:kern w:val="0"/>
          <w:sz w:val="21"/>
          <w:szCs w:val="21"/>
          <w:highlight w:val="none"/>
        </w:rPr>
        <w:t>202</w:t>
      </w:r>
      <w:r>
        <w:rPr>
          <w:rFonts w:hint="eastAsia" w:cs="宋体" w:asciiTheme="minorEastAsia" w:hAnsiTheme="minorEastAsia"/>
          <w:kern w:val="0"/>
          <w:sz w:val="21"/>
          <w:szCs w:val="21"/>
          <w:highlight w:val="none"/>
          <w:lang w:val="en-US" w:eastAsia="zh-CN"/>
        </w:rPr>
        <w:t>4</w:t>
      </w:r>
      <w:r>
        <w:rPr>
          <w:rFonts w:cs="宋体" w:asciiTheme="minorEastAsia" w:hAnsiTheme="minorEastAsia"/>
          <w:kern w:val="0"/>
          <w:sz w:val="21"/>
          <w:szCs w:val="21"/>
          <w:highlight w:val="none"/>
        </w:rPr>
        <w:t>年</w:t>
      </w:r>
      <w:r>
        <w:rPr>
          <w:rFonts w:hint="eastAsia" w:cs="宋体" w:asciiTheme="minorEastAsia" w:hAnsiTheme="minorEastAsia"/>
          <w:kern w:val="0"/>
          <w:sz w:val="21"/>
          <w:szCs w:val="21"/>
          <w:highlight w:val="none"/>
          <w:lang w:val="en-US" w:eastAsia="zh-CN"/>
        </w:rPr>
        <w:t>3</w:t>
      </w:r>
      <w:r>
        <w:rPr>
          <w:rFonts w:cs="宋体" w:asciiTheme="minorEastAsia" w:hAnsiTheme="minorEastAsia"/>
          <w:kern w:val="0"/>
          <w:sz w:val="21"/>
          <w:szCs w:val="21"/>
          <w:highlight w:val="none"/>
        </w:rPr>
        <w:t>月1</w:t>
      </w:r>
      <w:r>
        <w:rPr>
          <w:rFonts w:hint="eastAsia" w:cs="宋体" w:asciiTheme="minorEastAsia" w:hAnsiTheme="minorEastAsia"/>
          <w:kern w:val="0"/>
          <w:sz w:val="21"/>
          <w:szCs w:val="21"/>
          <w:highlight w:val="none"/>
          <w:lang w:val="en-US" w:eastAsia="zh-CN"/>
        </w:rPr>
        <w:t>8</w:t>
      </w:r>
      <w:r>
        <w:rPr>
          <w:rFonts w:cs="宋体" w:asciiTheme="minorEastAsia" w:hAnsiTheme="minorEastAsia"/>
          <w:kern w:val="0"/>
          <w:sz w:val="21"/>
          <w:szCs w:val="21"/>
          <w:highlight w:val="none"/>
        </w:rPr>
        <w:t>日</w:t>
      </w:r>
      <w:r>
        <w:rPr>
          <w:rFonts w:hint="eastAsia" w:cs="宋体" w:asciiTheme="minorEastAsia" w:hAnsiTheme="minorEastAsia"/>
          <w:kern w:val="0"/>
          <w:sz w:val="21"/>
          <w:szCs w:val="21"/>
        </w:rPr>
        <w:t>至</w:t>
      </w:r>
      <w:r>
        <w:rPr>
          <w:rFonts w:cs="宋体" w:asciiTheme="minorEastAsia" w:hAnsiTheme="minorEastAsia"/>
          <w:kern w:val="0"/>
          <w:sz w:val="21"/>
          <w:szCs w:val="21"/>
          <w:highlight w:val="none"/>
        </w:rPr>
        <w:t>202</w:t>
      </w:r>
      <w:r>
        <w:rPr>
          <w:rFonts w:hint="eastAsia" w:cs="宋体" w:asciiTheme="minorEastAsia" w:hAnsiTheme="minorEastAsia"/>
          <w:kern w:val="0"/>
          <w:sz w:val="21"/>
          <w:szCs w:val="21"/>
          <w:highlight w:val="none"/>
          <w:lang w:val="en-US" w:eastAsia="zh-CN"/>
        </w:rPr>
        <w:t>4</w:t>
      </w:r>
      <w:r>
        <w:rPr>
          <w:rFonts w:cs="宋体" w:asciiTheme="minorEastAsia" w:hAnsiTheme="minorEastAsia"/>
          <w:kern w:val="0"/>
          <w:sz w:val="21"/>
          <w:szCs w:val="21"/>
          <w:highlight w:val="none"/>
        </w:rPr>
        <w:t>年</w:t>
      </w:r>
      <w:r>
        <w:rPr>
          <w:rFonts w:hint="eastAsia" w:cs="宋体" w:asciiTheme="minorEastAsia" w:hAnsiTheme="minorEastAsia"/>
          <w:kern w:val="0"/>
          <w:sz w:val="21"/>
          <w:szCs w:val="21"/>
          <w:highlight w:val="none"/>
          <w:lang w:val="en-US" w:eastAsia="zh-CN"/>
        </w:rPr>
        <w:t>4</w:t>
      </w:r>
      <w:r>
        <w:rPr>
          <w:rFonts w:cs="宋体" w:asciiTheme="minorEastAsia" w:hAnsiTheme="minorEastAsia"/>
          <w:kern w:val="0"/>
          <w:sz w:val="21"/>
          <w:szCs w:val="21"/>
          <w:highlight w:val="none"/>
        </w:rPr>
        <w:t>月</w:t>
      </w:r>
      <w:r>
        <w:rPr>
          <w:rFonts w:hint="eastAsia" w:cs="宋体" w:asciiTheme="minorEastAsia" w:hAnsiTheme="minorEastAsia"/>
          <w:kern w:val="0"/>
          <w:sz w:val="21"/>
          <w:szCs w:val="21"/>
          <w:highlight w:val="none"/>
          <w:lang w:val="en-US" w:eastAsia="zh-CN"/>
        </w:rPr>
        <w:t>3</w:t>
      </w:r>
      <w:r>
        <w:rPr>
          <w:rFonts w:cs="宋体" w:asciiTheme="minorEastAsia" w:hAnsiTheme="minorEastAsia"/>
          <w:kern w:val="0"/>
          <w:sz w:val="21"/>
          <w:szCs w:val="21"/>
          <w:highlight w:val="none"/>
        </w:rPr>
        <w:t>日</w:t>
      </w:r>
      <w:r>
        <w:rPr>
          <w:rFonts w:hint="eastAsia" w:cs="宋体" w:asciiTheme="minorEastAsia" w:hAnsiTheme="minorEastAsia"/>
          <w:kern w:val="0"/>
          <w:sz w:val="21"/>
          <w:szCs w:val="21"/>
        </w:rPr>
        <w:t>进行公开募集，募集结束后基金管理人向中国证监会办理备案手续。经中国证监会书面确认，《</w:t>
      </w: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基金合同》于</w:t>
      </w:r>
      <w:r>
        <w:rPr>
          <w:rFonts w:cs="宋体" w:asciiTheme="minorEastAsia" w:hAnsiTheme="minorEastAsia"/>
          <w:kern w:val="0"/>
          <w:sz w:val="21"/>
          <w:szCs w:val="21"/>
          <w:highlight w:val="none"/>
        </w:rPr>
        <w:t>202</w:t>
      </w:r>
      <w:r>
        <w:rPr>
          <w:rFonts w:hint="eastAsia" w:cs="宋体" w:asciiTheme="minorEastAsia" w:hAnsiTheme="minorEastAsia"/>
          <w:kern w:val="0"/>
          <w:sz w:val="21"/>
          <w:szCs w:val="21"/>
          <w:highlight w:val="none"/>
          <w:lang w:val="en-US" w:eastAsia="zh-CN"/>
        </w:rPr>
        <w:t>4</w:t>
      </w:r>
      <w:r>
        <w:rPr>
          <w:rFonts w:cs="宋体" w:asciiTheme="minorEastAsia" w:hAnsiTheme="minorEastAsia"/>
          <w:kern w:val="0"/>
          <w:sz w:val="21"/>
          <w:szCs w:val="21"/>
          <w:highlight w:val="none"/>
        </w:rPr>
        <w:t>年</w:t>
      </w:r>
      <w:r>
        <w:rPr>
          <w:rFonts w:hint="eastAsia" w:cs="宋体" w:asciiTheme="minorEastAsia" w:hAnsiTheme="minorEastAsia"/>
          <w:kern w:val="0"/>
          <w:sz w:val="21"/>
          <w:szCs w:val="21"/>
          <w:highlight w:val="none"/>
          <w:lang w:val="en-US" w:eastAsia="zh-CN"/>
        </w:rPr>
        <w:t>4</w:t>
      </w:r>
      <w:r>
        <w:rPr>
          <w:rFonts w:cs="宋体" w:asciiTheme="minorEastAsia" w:hAnsiTheme="minorEastAsia"/>
          <w:kern w:val="0"/>
          <w:sz w:val="21"/>
          <w:szCs w:val="21"/>
          <w:highlight w:val="none"/>
        </w:rPr>
        <w:t>月</w:t>
      </w:r>
      <w:r>
        <w:rPr>
          <w:rFonts w:hint="eastAsia" w:cs="宋体" w:asciiTheme="minorEastAsia" w:hAnsiTheme="minorEastAsia"/>
          <w:kern w:val="0"/>
          <w:sz w:val="21"/>
          <w:szCs w:val="21"/>
          <w:highlight w:val="none"/>
          <w:lang w:val="en-US" w:eastAsia="zh-CN"/>
        </w:rPr>
        <w:t>9</w:t>
      </w:r>
      <w:r>
        <w:rPr>
          <w:rFonts w:cs="宋体" w:asciiTheme="minorEastAsia" w:hAnsiTheme="minorEastAsia"/>
          <w:kern w:val="0"/>
          <w:sz w:val="21"/>
          <w:szCs w:val="21"/>
          <w:highlight w:val="none"/>
        </w:rPr>
        <w:t>日</w:t>
      </w:r>
      <w:r>
        <w:rPr>
          <w:rFonts w:hint="eastAsia" w:cs="宋体" w:asciiTheme="minorEastAsia" w:hAnsiTheme="minorEastAsia"/>
          <w:kern w:val="0"/>
          <w:sz w:val="21"/>
          <w:szCs w:val="21"/>
        </w:rPr>
        <w:t>生效。</w:t>
      </w:r>
    </w:p>
    <w:p w14:paraId="266E27E6">
      <w:pPr>
        <w:autoSpaceDE w:val="0"/>
        <w:autoSpaceDN w:val="0"/>
        <w:adjustRightInd w:val="0"/>
        <w:spacing w:line="360" w:lineRule="auto"/>
        <w:ind w:firstLine="420" w:firstLineChars="200"/>
        <w:jc w:val="left"/>
        <w:rPr>
          <w:rFonts w:cs="宋体" w:asciiTheme="minorEastAsia" w:hAnsiTheme="minorEastAsia"/>
          <w:kern w:val="0"/>
          <w:sz w:val="21"/>
          <w:szCs w:val="21"/>
        </w:rPr>
      </w:pPr>
      <w:r>
        <w:rPr>
          <w:rFonts w:hint="eastAsia" w:cs="宋体" w:asciiTheme="minorEastAsia" w:hAnsiTheme="minorEastAsia"/>
          <w:kern w:val="0"/>
          <w:sz w:val="21"/>
          <w:szCs w:val="21"/>
        </w:rPr>
        <w:t>根据《</w:t>
      </w: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基金合同》的约定：“</w:t>
      </w:r>
      <w:r>
        <w:rPr>
          <w:rFonts w:ascii="Times New Roman" w:hAnsi="Times New Roman" w:eastAsia="宋体" w:cs="Times New Roman"/>
          <w:kern w:val="0"/>
          <w:sz w:val="21"/>
          <w:szCs w:val="21"/>
        </w:rPr>
        <w:t>若将来本基金管理人推出投资同一标的指数的交易型开放式指数证券投资基金（ETF），则基金管理人有权在履行适当程序后使本基金转换为该基金的联接基金，并相应修改基金合同，届时无需召开基金份额持有人大会但须报中国证监会备案并提前公告。</w:t>
      </w:r>
      <w:r>
        <w:rPr>
          <w:rFonts w:hint="eastAsia" w:cs="宋体" w:asciiTheme="minorEastAsia" w:hAnsiTheme="minorEastAsia"/>
          <w:kern w:val="0"/>
          <w:sz w:val="21"/>
          <w:szCs w:val="21"/>
        </w:rPr>
        <w:t>”，基金管理人经与基金托管人协商一致，决定将</w:t>
      </w: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变更为</w:t>
      </w:r>
      <w:r>
        <w:rPr>
          <w:rFonts w:hint="eastAsia" w:cs="宋体" w:asciiTheme="minorEastAsia" w:hAnsiTheme="minorEastAsia"/>
          <w:kern w:val="0"/>
          <w:sz w:val="21"/>
          <w:szCs w:val="21"/>
          <w:lang w:eastAsia="zh-CN"/>
        </w:rPr>
        <w:t>博时国证粮食产业交易型开放式指数证券投资基金发起式联接基金</w:t>
      </w:r>
      <w:r>
        <w:rPr>
          <w:rFonts w:hint="eastAsia" w:cs="宋体" w:asciiTheme="minorEastAsia" w:hAnsiTheme="minorEastAsia"/>
          <w:kern w:val="0"/>
          <w:sz w:val="21"/>
          <w:szCs w:val="21"/>
        </w:rPr>
        <w:t>，并据此修订《</w:t>
      </w: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基金合同》。</w:t>
      </w:r>
    </w:p>
    <w:p w14:paraId="7C4B45AF">
      <w:pPr>
        <w:pStyle w:val="8"/>
        <w:spacing w:before="0" w:beforeAutospacing="0" w:after="0" w:afterAutospacing="0" w:line="360" w:lineRule="auto"/>
        <w:ind w:firstLine="420"/>
        <w:rPr>
          <w:sz w:val="21"/>
          <w:szCs w:val="21"/>
        </w:rPr>
      </w:pPr>
      <w:r>
        <w:rPr>
          <w:rFonts w:hint="eastAsia" w:cs="宋体" w:asciiTheme="minorEastAsia" w:hAnsiTheme="minorEastAsia"/>
          <w:kern w:val="0"/>
          <w:sz w:val="21"/>
          <w:szCs w:val="21"/>
        </w:rPr>
        <w:t>自</w:t>
      </w:r>
      <w:r>
        <w:rPr>
          <w:rFonts w:cs="宋体" w:asciiTheme="minorEastAsia" w:hAnsiTheme="minorEastAsia"/>
          <w:kern w:val="0"/>
          <w:sz w:val="21"/>
          <w:szCs w:val="21"/>
          <w:highlight w:val="none"/>
        </w:rPr>
        <w:t>2026</w:t>
      </w:r>
      <w:r>
        <w:rPr>
          <w:rFonts w:hint="eastAsia" w:cs="宋体" w:asciiTheme="minorEastAsia" w:hAnsiTheme="minorEastAsia"/>
          <w:kern w:val="0"/>
          <w:sz w:val="21"/>
          <w:szCs w:val="21"/>
          <w:highlight w:val="none"/>
        </w:rPr>
        <w:t>年6月</w:t>
      </w:r>
      <w:r>
        <w:rPr>
          <w:rFonts w:hint="eastAsia" w:cs="宋体" w:asciiTheme="minorEastAsia" w:hAnsiTheme="minorEastAsia"/>
          <w:kern w:val="0"/>
          <w:sz w:val="21"/>
          <w:szCs w:val="21"/>
          <w:highlight w:val="none"/>
          <w:lang w:val="en-US" w:eastAsia="zh-CN"/>
        </w:rPr>
        <w:t>3</w:t>
      </w:r>
      <w:r>
        <w:rPr>
          <w:rFonts w:hint="eastAsia" w:cs="宋体" w:asciiTheme="minorEastAsia" w:hAnsiTheme="minorEastAsia"/>
          <w:kern w:val="0"/>
          <w:sz w:val="21"/>
          <w:szCs w:val="21"/>
          <w:highlight w:val="none"/>
        </w:rPr>
        <w:t>日</w:t>
      </w:r>
      <w:r>
        <w:rPr>
          <w:rFonts w:hint="eastAsia" w:cs="宋体" w:asciiTheme="minorEastAsia" w:hAnsiTheme="minorEastAsia"/>
          <w:kern w:val="0"/>
          <w:sz w:val="21"/>
          <w:szCs w:val="21"/>
        </w:rPr>
        <w:t>起，</w:t>
      </w: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正式变更为</w:t>
      </w:r>
      <w:r>
        <w:rPr>
          <w:rFonts w:hint="eastAsia" w:cs="宋体" w:asciiTheme="minorEastAsia" w:hAnsiTheme="minorEastAsia"/>
          <w:kern w:val="0"/>
          <w:sz w:val="21"/>
          <w:szCs w:val="21"/>
          <w:lang w:eastAsia="zh-CN"/>
        </w:rPr>
        <w:t>博时国证粮食产业交易型开放式指数证券投资基金发起式联接基金</w:t>
      </w:r>
      <w:r>
        <w:rPr>
          <w:rFonts w:hint="eastAsia" w:cs="宋体" w:asciiTheme="minorEastAsia" w:hAnsiTheme="minorEastAsia"/>
          <w:kern w:val="0"/>
          <w:sz w:val="21"/>
          <w:szCs w:val="21"/>
        </w:rPr>
        <w:t>，《</w:t>
      </w:r>
      <w:r>
        <w:rPr>
          <w:rFonts w:hint="eastAsia" w:cs="宋体" w:asciiTheme="minorEastAsia" w:hAnsiTheme="minorEastAsia"/>
          <w:kern w:val="0"/>
          <w:sz w:val="21"/>
          <w:szCs w:val="21"/>
          <w:lang w:eastAsia="zh-CN"/>
        </w:rPr>
        <w:t>博时国证粮食产业交易型开放式指数证券投资基金发起式联接基金</w:t>
      </w:r>
      <w:r>
        <w:rPr>
          <w:rFonts w:hint="eastAsia" w:cs="宋体" w:asciiTheme="minorEastAsia" w:hAnsiTheme="minorEastAsia"/>
          <w:kern w:val="0"/>
          <w:sz w:val="21"/>
          <w:szCs w:val="21"/>
        </w:rPr>
        <w:t>基金合同》生效，《</w:t>
      </w:r>
      <w:r>
        <w:rPr>
          <w:rFonts w:hint="eastAsia" w:cs="宋体" w:asciiTheme="minorEastAsia" w:hAnsiTheme="minorEastAsia"/>
          <w:kern w:val="0"/>
          <w:sz w:val="21"/>
          <w:szCs w:val="21"/>
          <w:lang w:eastAsia="zh-CN"/>
        </w:rPr>
        <w:t>博时国证粮食产业指数型发起式证券投资基金</w:t>
      </w:r>
      <w:r>
        <w:rPr>
          <w:rFonts w:hint="eastAsia" w:cs="宋体" w:asciiTheme="minorEastAsia" w:hAnsiTheme="minorEastAsia"/>
          <w:kern w:val="0"/>
          <w:sz w:val="21"/>
          <w:szCs w:val="21"/>
        </w:rPr>
        <w:t>基金合同》失效。</w:t>
      </w:r>
      <w:r>
        <w:rPr>
          <w:rFonts w:hint="eastAsia"/>
          <w:sz w:val="21"/>
          <w:szCs w:val="21"/>
        </w:rPr>
        <w:t xml:space="preserve"> </w:t>
      </w:r>
    </w:p>
    <w:p w14:paraId="2C849E95">
      <w:pPr>
        <w:widowControl/>
        <w:jc w:val="left"/>
        <w:rPr>
          <w:rFonts w:ascii="宋体" w:hAnsi="宋体" w:eastAsia="宋体"/>
        </w:rPr>
      </w:pPr>
      <w:r>
        <w:rPr>
          <w:rFonts w:ascii="宋体" w:hAnsi="宋体" w:eastAsia="宋体"/>
        </w:rPr>
        <w:br w:type="page"/>
      </w:r>
    </w:p>
    <w:p w14:paraId="2E0E1154">
      <w:pPr>
        <w:pStyle w:val="2"/>
        <w:jc w:val="center"/>
        <w:rPr>
          <w:rFonts w:ascii="宋体" w:hAnsi="宋体" w:eastAsia="宋体"/>
          <w:sz w:val="30"/>
        </w:rPr>
      </w:pPr>
      <w:bookmarkStart w:id="55" w:name="chapter_level1_10_59"/>
      <w:bookmarkStart w:id="56" w:name="_Toc207939903"/>
      <w:r>
        <w:rPr>
          <w:rFonts w:hint="eastAsia" w:ascii="宋体" w:hAnsi="宋体" w:eastAsia="宋体"/>
          <w:sz w:val="30"/>
        </w:rPr>
        <w:t>第</w:t>
      </w:r>
      <w:r>
        <w:rPr>
          <w:rFonts w:hint="eastAsia" w:ascii="宋体" w:hAnsi="宋体" w:eastAsia="宋体"/>
          <w:sz w:val="30"/>
          <w:lang w:val="en-US" w:eastAsia="zh-CN"/>
        </w:rPr>
        <w:t>七</w:t>
      </w:r>
      <w:r>
        <w:rPr>
          <w:rFonts w:hint="eastAsia" w:ascii="宋体" w:hAnsi="宋体" w:eastAsia="宋体"/>
          <w:sz w:val="30"/>
        </w:rPr>
        <w:t xml:space="preserve">部分 </w:t>
      </w:r>
      <w:r>
        <w:rPr>
          <w:rFonts w:hint="eastAsia" w:ascii="宋体" w:hAnsi="宋体" w:eastAsia="宋体"/>
          <w:sz w:val="30"/>
          <w:lang w:val="en-US" w:eastAsia="zh-CN"/>
        </w:rPr>
        <w:t xml:space="preserve"> </w:t>
      </w:r>
      <w:r>
        <w:rPr>
          <w:rFonts w:hint="eastAsia" w:ascii="宋体" w:hAnsi="宋体" w:eastAsia="宋体"/>
          <w:sz w:val="30"/>
        </w:rPr>
        <w:t>基金的存续</w:t>
      </w:r>
    </w:p>
    <w:p w14:paraId="45BD65E4">
      <w:pPr>
        <w:autoSpaceDE w:val="0"/>
        <w:autoSpaceDN w:val="0"/>
        <w:adjustRightInd w:val="0"/>
        <w:spacing w:line="360" w:lineRule="auto"/>
        <w:ind w:firstLine="420" w:firstLineChars="200"/>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博时国证粮食产业指数型发起式证券投资基金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w:t>
      </w:r>
    </w:p>
    <w:p w14:paraId="444B0172">
      <w:pPr>
        <w:autoSpaceDE w:val="0"/>
        <w:autoSpaceDN w:val="0"/>
        <w:adjustRightInd w:val="0"/>
        <w:spacing w:line="360" w:lineRule="auto"/>
        <w:ind w:firstLine="420" w:firstLineChars="200"/>
        <w:rPr>
          <w:rFonts w:ascii="Times New Roman" w:hAnsi="Times New Roman" w:eastAsia="宋体" w:cs="Times New Roman"/>
          <w:bCs/>
          <w:sz w:val="21"/>
          <w:szCs w:val="21"/>
        </w:rPr>
      </w:pPr>
      <w:r>
        <w:rPr>
          <w:rFonts w:hint="eastAsia" w:ascii="Times New Roman" w:hAnsi="Times New Roman" w:eastAsia="宋体" w:cs="Times New Roman"/>
          <w:bCs/>
          <w:sz w:val="21"/>
          <w:szCs w:val="21"/>
        </w:rPr>
        <w:t>本基金在《博时国证粮食产业指数型发起式证券投资基金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w:t>
      </w:r>
    </w:p>
    <w:p w14:paraId="61323F2D">
      <w:pPr>
        <w:autoSpaceDE w:val="0"/>
        <w:autoSpaceDN w:val="0"/>
        <w:adjustRightInd w:val="0"/>
        <w:spacing w:line="360" w:lineRule="auto"/>
        <w:ind w:firstLine="420" w:firstLineChars="200"/>
        <w:jc w:val="left"/>
        <w:rPr>
          <w:rFonts w:cs="宋体" w:asciiTheme="minorEastAsia" w:hAnsiTheme="minorEastAsia"/>
          <w:kern w:val="0"/>
          <w:sz w:val="21"/>
          <w:szCs w:val="21"/>
        </w:rPr>
      </w:pPr>
      <w:r>
        <w:rPr>
          <w:rFonts w:ascii="Times New Roman" w:hAnsi="Times New Roman" w:eastAsia="宋体" w:cs="Times New Roman"/>
          <w:bCs/>
          <w:sz w:val="21"/>
          <w:szCs w:val="21"/>
        </w:rPr>
        <w:t>法律法规或中国证监会另有规定时，从其规定。</w:t>
      </w:r>
    </w:p>
    <w:p w14:paraId="16FED6D2">
      <w:pPr>
        <w:rPr>
          <w:rFonts w:hint="eastAsia" w:cs="宋体" w:asciiTheme="minorEastAsia" w:hAnsiTheme="minorEastAsia"/>
          <w:kern w:val="0"/>
          <w:sz w:val="21"/>
          <w:szCs w:val="21"/>
        </w:rPr>
      </w:pPr>
      <w:r>
        <w:rPr>
          <w:rFonts w:hint="eastAsia" w:cs="宋体" w:asciiTheme="minorEastAsia" w:hAnsiTheme="minorEastAsia"/>
          <w:kern w:val="0"/>
          <w:sz w:val="21"/>
          <w:szCs w:val="21"/>
        </w:rPr>
        <w:br w:type="page"/>
      </w:r>
    </w:p>
    <w:p w14:paraId="70D691EA">
      <w:pPr>
        <w:pStyle w:val="2"/>
        <w:jc w:val="center"/>
        <w:rPr>
          <w:rFonts w:ascii="宋体" w:hAnsi="宋体" w:eastAsia="宋体"/>
          <w:sz w:val="30"/>
        </w:rPr>
      </w:pPr>
      <w:r>
        <w:rPr>
          <w:rFonts w:hint="eastAsia" w:ascii="宋体" w:hAnsi="宋体" w:eastAsia="宋体"/>
          <w:sz w:val="30"/>
        </w:rPr>
        <w:t>第</w:t>
      </w:r>
      <w:r>
        <w:rPr>
          <w:rFonts w:hint="eastAsia" w:ascii="宋体" w:hAnsi="宋体" w:eastAsia="宋体"/>
          <w:sz w:val="30"/>
          <w:lang w:val="en-US" w:eastAsia="zh-CN"/>
        </w:rPr>
        <w:t>八</w:t>
      </w:r>
      <w:r>
        <w:rPr>
          <w:rFonts w:hint="eastAsia" w:ascii="宋体" w:hAnsi="宋体" w:eastAsia="宋体"/>
          <w:sz w:val="30"/>
        </w:rPr>
        <w:t>部分  基金份额的申购与赎回</w:t>
      </w:r>
      <w:bookmarkEnd w:id="55"/>
      <w:bookmarkEnd w:id="56"/>
    </w:p>
    <w:p w14:paraId="0B74E8C5">
      <w:pPr>
        <w:pStyle w:val="8"/>
        <w:spacing w:before="0" w:beforeAutospacing="0" w:after="0" w:afterAutospacing="0" w:line="360" w:lineRule="auto"/>
        <w:ind w:firstLine="420"/>
        <w:rPr>
          <w:sz w:val="21"/>
          <w:szCs w:val="21"/>
        </w:rPr>
      </w:pPr>
      <w:bookmarkStart w:id="57" w:name="chapter_level1_10_59_section_1"/>
      <w:bookmarkEnd w:id="57"/>
      <w:r>
        <w:rPr>
          <w:rStyle w:val="12"/>
          <w:rFonts w:hint="eastAsia"/>
          <w:sz w:val="21"/>
          <w:szCs w:val="21"/>
        </w:rPr>
        <w:t>一、申购和赎回场所</w:t>
      </w:r>
    </w:p>
    <w:p w14:paraId="75E1EF0B">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w:t>
      </w:r>
      <w:bookmarkStart w:id="58" w:name="chapter_level1_10_59_section_1_end"/>
      <w:bookmarkEnd w:id="58"/>
      <w:r>
        <w:rPr>
          <w:rFonts w:hint="eastAsia"/>
          <w:sz w:val="21"/>
          <w:szCs w:val="21"/>
        </w:rPr>
        <w:t xml:space="preserve">与赎回。 </w:t>
      </w:r>
    </w:p>
    <w:p w14:paraId="6BF91A9A">
      <w:pPr>
        <w:pStyle w:val="8"/>
        <w:spacing w:before="0" w:beforeAutospacing="0" w:after="0" w:afterAutospacing="0" w:line="360" w:lineRule="auto"/>
        <w:ind w:firstLine="420"/>
        <w:rPr>
          <w:sz w:val="21"/>
          <w:szCs w:val="21"/>
        </w:rPr>
      </w:pPr>
      <w:bookmarkStart w:id="59" w:name="chapter_level1_10_59_section_2"/>
      <w:bookmarkEnd w:id="59"/>
      <w:r>
        <w:rPr>
          <w:rStyle w:val="12"/>
          <w:rFonts w:hint="eastAsia"/>
          <w:sz w:val="21"/>
          <w:szCs w:val="21"/>
        </w:rPr>
        <w:t>二、申购和赎回的开放日及时间</w:t>
      </w:r>
    </w:p>
    <w:p w14:paraId="7427C26A">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3AFAC825">
      <w:pPr>
        <w:pStyle w:val="8"/>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1E59BE39">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0B095B47">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03F1BAAC">
      <w:pPr>
        <w:pStyle w:val="8"/>
        <w:spacing w:before="0" w:beforeAutospacing="0" w:after="0" w:afterAutospacing="0" w:line="360" w:lineRule="auto"/>
        <w:ind w:firstLine="420"/>
        <w:rPr>
          <w:sz w:val="21"/>
          <w:szCs w:val="21"/>
        </w:rPr>
      </w:pPr>
      <w:bookmarkStart w:id="60" w:name="chapter_level1_10_59_section_2_end"/>
      <w:bookmarkEnd w:id="60"/>
      <w:r>
        <w:rPr>
          <w:rFonts w:hint="eastAsia"/>
          <w:sz w:val="21"/>
          <w:szCs w:val="21"/>
        </w:rPr>
        <w:t xml:space="preserve">本基金已于2024年4月29日开放日常申购、赎回业务。 </w:t>
      </w:r>
    </w:p>
    <w:p w14:paraId="0B2EC280">
      <w:pPr>
        <w:pStyle w:val="8"/>
        <w:spacing w:before="0" w:beforeAutospacing="0" w:after="0" w:afterAutospacing="0" w:line="360" w:lineRule="auto"/>
        <w:ind w:firstLine="420"/>
        <w:rPr>
          <w:sz w:val="21"/>
          <w:szCs w:val="21"/>
        </w:rPr>
      </w:pPr>
      <w:bookmarkStart w:id="61" w:name="chapter_level1_10_59_section_3"/>
      <w:bookmarkEnd w:id="61"/>
      <w:r>
        <w:rPr>
          <w:rStyle w:val="12"/>
          <w:rFonts w:hint="eastAsia"/>
          <w:sz w:val="21"/>
          <w:szCs w:val="21"/>
        </w:rPr>
        <w:t>三、申购与赎回的原则</w:t>
      </w:r>
    </w:p>
    <w:p w14:paraId="235E5FA5">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14:paraId="746F24EC">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54F006C6">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31FE758B">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48B714A1">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24C3BBAD">
      <w:pPr>
        <w:pStyle w:val="8"/>
        <w:spacing w:before="0" w:beforeAutospacing="0" w:after="0" w:afterAutospacing="0" w:line="360" w:lineRule="auto"/>
        <w:ind w:firstLine="420"/>
        <w:rPr>
          <w:sz w:val="21"/>
          <w:szCs w:val="21"/>
        </w:rPr>
      </w:pPr>
      <w:r>
        <w:rPr>
          <w:rFonts w:hint="eastAsia"/>
          <w:sz w:val="21"/>
          <w:szCs w:val="21"/>
        </w:rPr>
        <w:t xml:space="preserve">基金管理人可在不违反法律法规的情况下，对上述原则进行调整。基金管理人必须在新规则开始实施前依照《信息披露办法》的有关规定在规定媒介上公告。 </w:t>
      </w:r>
    </w:p>
    <w:p w14:paraId="32F68681">
      <w:pPr>
        <w:pStyle w:val="8"/>
        <w:spacing w:before="0" w:beforeAutospacing="0" w:after="0" w:afterAutospacing="0" w:line="360" w:lineRule="auto"/>
        <w:ind w:firstLine="420"/>
        <w:rPr>
          <w:sz w:val="21"/>
          <w:szCs w:val="21"/>
        </w:rPr>
      </w:pPr>
      <w:r>
        <w:rPr>
          <w:rStyle w:val="12"/>
          <w:rFonts w:hint="eastAsia"/>
          <w:sz w:val="21"/>
          <w:szCs w:val="21"/>
        </w:rPr>
        <w:t>四、申购与赎回的程序</w:t>
      </w:r>
    </w:p>
    <w:p w14:paraId="4AE2EDFC">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5B3DD125">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612571A4">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6D90C784">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472EBA61">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 </w:t>
      </w:r>
    </w:p>
    <w:p w14:paraId="3A905938">
      <w:pPr>
        <w:pStyle w:val="8"/>
        <w:spacing w:before="0" w:beforeAutospacing="0" w:after="0" w:afterAutospacing="0" w:line="360" w:lineRule="auto"/>
        <w:ind w:firstLine="420"/>
        <w:rPr>
          <w:sz w:val="21"/>
          <w:szCs w:val="21"/>
        </w:rPr>
      </w:pPr>
      <w:r>
        <w:rPr>
          <w:rFonts w:hint="eastAsia"/>
          <w:sz w:val="21"/>
          <w:szCs w:val="21"/>
        </w:rPr>
        <w:t xml:space="preserve">投资者的赎回申请生效后，基金管理人将在T＋7日（包括该日）内支付赎回款项。在发生巨额赎回或基金合同载明的其他暂停赎回或延缓支付赎回款项的情形时，款项的支付办法参照基金合同有关条款处理。 </w:t>
      </w:r>
    </w:p>
    <w:p w14:paraId="1DCD4FB0">
      <w:pPr>
        <w:pStyle w:val="8"/>
        <w:spacing w:before="0" w:beforeAutospacing="0" w:after="0" w:afterAutospacing="0" w:line="360" w:lineRule="auto"/>
        <w:ind w:firstLine="420"/>
        <w:rPr>
          <w:sz w:val="21"/>
          <w:szCs w:val="21"/>
        </w:rPr>
      </w:pPr>
      <w:r>
        <w:rPr>
          <w:rFonts w:hint="eastAsia"/>
          <w:sz w:val="21"/>
          <w:szCs w:val="21"/>
        </w:rPr>
        <w:t xml:space="preserve">遇目标ETF的投资市场休市、目标ETF暂停交易或赎回、目标ETF延迟支付赎回对价或延迟交收、交易所或登记机构的交易结算规则发生较大变化、本基金交易所或交易市场数据传输延迟、通讯系统故障、银行数据交换系统故障或其他非基金管理人及基金托管人所能控制的因素影响业务处理流程，则赎回款项划付时间相应顺延至该因素消除的最近一个工作日。 </w:t>
      </w:r>
    </w:p>
    <w:p w14:paraId="05EA154D">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1C3135EF">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7BF16267">
      <w:pPr>
        <w:pStyle w:val="8"/>
        <w:spacing w:before="0" w:beforeAutospacing="0" w:after="0" w:afterAutospacing="0" w:line="360" w:lineRule="auto"/>
        <w:ind w:firstLine="420"/>
        <w:rPr>
          <w:sz w:val="21"/>
          <w:szCs w:val="21"/>
        </w:rPr>
      </w:pPr>
      <w:r>
        <w:rPr>
          <w:rFonts w:hint="eastAsia"/>
          <w:sz w:val="21"/>
          <w:szCs w:val="21"/>
        </w:rPr>
        <w:t xml:space="preserve">基金销售机构受理申请并不代表该申请一定成功，而仅代表销售机构确实接收到该申请。申购和赎回申请的确认以基金登记机构的确认结果为准。对于申购、赎回申请的确认情况，投资者应及时查询。 </w:t>
      </w:r>
    </w:p>
    <w:p w14:paraId="7D318899">
      <w:pPr>
        <w:pStyle w:val="8"/>
        <w:spacing w:before="0" w:beforeAutospacing="0" w:after="0" w:afterAutospacing="0" w:line="360" w:lineRule="auto"/>
        <w:ind w:firstLine="420"/>
        <w:rPr>
          <w:sz w:val="21"/>
          <w:szCs w:val="21"/>
        </w:rPr>
      </w:pPr>
      <w:r>
        <w:rPr>
          <w:rFonts w:hint="eastAsia"/>
          <w:sz w:val="21"/>
          <w:szCs w:val="21"/>
        </w:rPr>
        <w:t xml:space="preserve">基金管理人可以在不违反法律法规和基金合同的范围内，对上述业务办理时间进行调整，并在调整实施前依照《信息披露办法》的有关规定在规定媒介上公告。 </w:t>
      </w:r>
    </w:p>
    <w:p w14:paraId="55BA005F">
      <w:pPr>
        <w:pStyle w:val="8"/>
        <w:spacing w:before="0" w:beforeAutospacing="0" w:after="0" w:afterAutospacing="0" w:line="360" w:lineRule="auto"/>
        <w:ind w:firstLine="420"/>
        <w:rPr>
          <w:sz w:val="21"/>
          <w:szCs w:val="21"/>
        </w:rPr>
      </w:pPr>
      <w:r>
        <w:rPr>
          <w:rStyle w:val="12"/>
          <w:rFonts w:hint="eastAsia"/>
          <w:sz w:val="21"/>
          <w:szCs w:val="21"/>
        </w:rPr>
        <w:t>五、申购和赎回的数量限制</w:t>
      </w:r>
    </w:p>
    <w:p w14:paraId="6B25F9D4">
      <w:pPr>
        <w:pStyle w:val="8"/>
        <w:spacing w:before="0" w:beforeAutospacing="0" w:after="0" w:afterAutospacing="0" w:line="360" w:lineRule="auto"/>
        <w:ind w:firstLine="420"/>
        <w:rPr>
          <w:sz w:val="21"/>
          <w:szCs w:val="21"/>
        </w:rPr>
      </w:pPr>
      <w:r>
        <w:rPr>
          <w:rFonts w:hint="eastAsia"/>
          <w:sz w:val="21"/>
          <w:szCs w:val="21"/>
        </w:rPr>
        <w:t>1、本基金A类基金份额或C类基金份额首次申购和单笔追加申购的最低金额均为</w:t>
      </w:r>
      <w:bookmarkStart w:id="62" w:name="field_59_dealerfirstpurminamount_1"/>
      <w:r>
        <w:rPr>
          <w:sz w:val="21"/>
          <w:szCs w:val="21"/>
        </w:rPr>
        <w:t>1.00</w:t>
      </w:r>
      <w:bookmarkEnd w:id="62"/>
      <w:r>
        <w:rPr>
          <w:rFonts w:hint="eastAsia"/>
          <w:sz w:val="21"/>
          <w:szCs w:val="21"/>
        </w:rPr>
        <w:t xml:space="preserve">元（含申购费），各销售机构在符合上述规定的前提下，可根据情况调高首次申购和单笔追加申购的最低金额，具体以销售机构公布的为准，投资人需遵循销售机构的相关规定。 </w:t>
      </w:r>
    </w:p>
    <w:p w14:paraId="057E91D9">
      <w:pPr>
        <w:pStyle w:val="8"/>
        <w:spacing w:before="0" w:beforeAutospacing="0" w:after="0" w:afterAutospacing="0" w:line="360" w:lineRule="auto"/>
        <w:ind w:firstLine="420"/>
        <w:rPr>
          <w:sz w:val="21"/>
          <w:szCs w:val="21"/>
        </w:rPr>
      </w:pPr>
      <w:r>
        <w:rPr>
          <w:rFonts w:hint="eastAsia"/>
          <w:sz w:val="21"/>
          <w:szCs w:val="21"/>
        </w:rPr>
        <w:t>2、每个交易账户最低持有A类基金份额或C类基金份额余额为</w:t>
      </w:r>
      <w:bookmarkStart w:id="63" w:name="field_59_minholdshare_1"/>
      <w:r>
        <w:rPr>
          <w:sz w:val="21"/>
          <w:szCs w:val="21"/>
        </w:rPr>
        <w:t>1</w:t>
      </w:r>
      <w:bookmarkEnd w:id="63"/>
      <w:r>
        <w:rPr>
          <w:rFonts w:hint="eastAsia"/>
          <w:sz w:val="21"/>
          <w:szCs w:val="21"/>
        </w:rPr>
        <w:t>份，若某笔赎回导致单个交易账户的A类基金份额或C类基金份额余额少于</w:t>
      </w:r>
      <w:bookmarkStart w:id="64" w:name="field_59_minholdshare_2"/>
      <w:r>
        <w:rPr>
          <w:sz w:val="21"/>
          <w:szCs w:val="21"/>
        </w:rPr>
        <w:t>1</w:t>
      </w:r>
      <w:bookmarkEnd w:id="64"/>
      <w:r>
        <w:rPr>
          <w:rFonts w:hint="eastAsia"/>
          <w:sz w:val="21"/>
          <w:szCs w:val="21"/>
        </w:rPr>
        <w:t xml:space="preserve">份时，该类别基金份额余额部分必须一同赎回。 </w:t>
      </w:r>
    </w:p>
    <w:p w14:paraId="4CFA0B9F">
      <w:pPr>
        <w:pStyle w:val="8"/>
        <w:spacing w:before="0" w:beforeAutospacing="0" w:after="0" w:afterAutospacing="0" w:line="360" w:lineRule="auto"/>
        <w:ind w:firstLine="420"/>
        <w:rPr>
          <w:sz w:val="21"/>
          <w:szCs w:val="21"/>
        </w:rPr>
      </w:pPr>
      <w:r>
        <w:rPr>
          <w:rFonts w:hint="eastAsia"/>
          <w:sz w:val="21"/>
          <w:szCs w:val="21"/>
        </w:rPr>
        <w:t>3、投资者通过销售机构赎回基金份额时，本基金单笔赎回申请不得低于</w:t>
      </w:r>
      <w:bookmarkStart w:id="65" w:name="field_59_minholdshare_3"/>
      <w:r>
        <w:rPr>
          <w:sz w:val="21"/>
          <w:szCs w:val="21"/>
        </w:rPr>
        <w:t>1</w:t>
      </w:r>
      <w:bookmarkEnd w:id="65"/>
      <w:r>
        <w:rPr>
          <w:rFonts w:hint="eastAsia"/>
          <w:sz w:val="21"/>
          <w:szCs w:val="21"/>
        </w:rPr>
        <w:t>份，若投资者单个交易账户持有的基金份额余额不足</w:t>
      </w:r>
      <w:bookmarkStart w:id="66" w:name="field_59_minholdshare_4"/>
      <w:r>
        <w:rPr>
          <w:sz w:val="21"/>
          <w:szCs w:val="21"/>
        </w:rPr>
        <w:t>1</w:t>
      </w:r>
      <w:bookmarkEnd w:id="66"/>
      <w:r>
        <w:rPr>
          <w:rFonts w:hint="eastAsia"/>
          <w:sz w:val="21"/>
          <w:szCs w:val="21"/>
        </w:rPr>
        <w:t xml:space="preserve">份，将不受此限制，但投资者在提交赎回申请时须全部赎回。各销售机构在符合上述规定的前提下，可根据自己的情况调整单笔赎回申请限制，具体以销售机构公布的为准，投资者需遵循销售机构的相关规定。 </w:t>
      </w:r>
    </w:p>
    <w:p w14:paraId="180B2ACE">
      <w:pPr>
        <w:pStyle w:val="8"/>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但需要符合法律法规、监管机构的规定及基金合同的约定。基金管理人可以规定单个投资人累计持有的基金份额上限，具体规定请参见招募说明书或相关公告。 </w:t>
      </w:r>
    </w:p>
    <w:p w14:paraId="710BB17E">
      <w:pPr>
        <w:pStyle w:val="8"/>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 </w:t>
      </w:r>
    </w:p>
    <w:p w14:paraId="406130DC">
      <w:pPr>
        <w:pStyle w:val="8"/>
        <w:spacing w:before="0" w:beforeAutospacing="0" w:after="0" w:afterAutospacing="0" w:line="360" w:lineRule="auto"/>
        <w:ind w:firstLine="420"/>
        <w:rPr>
          <w:sz w:val="21"/>
          <w:szCs w:val="21"/>
        </w:rPr>
      </w:pPr>
      <w:r>
        <w:rPr>
          <w:rFonts w:hint="eastAsia"/>
          <w:sz w:val="21"/>
          <w:szCs w:val="21"/>
        </w:rPr>
        <w:t xml:space="preserve">6、基金管理人可在不违反法律法规的情况下，调整上述规定申购金额和赎回份额等数量限制。基金管理人必须在调整实施前依照《信息披露办法》的有关规定在规定媒介上公告。 </w:t>
      </w:r>
    </w:p>
    <w:p w14:paraId="03C11F7B">
      <w:pPr>
        <w:pStyle w:val="8"/>
        <w:spacing w:before="0" w:beforeAutospacing="0" w:after="0" w:afterAutospacing="0" w:line="360" w:lineRule="auto"/>
        <w:ind w:firstLine="420"/>
        <w:rPr>
          <w:sz w:val="21"/>
          <w:szCs w:val="21"/>
        </w:rPr>
      </w:pPr>
      <w:r>
        <w:rPr>
          <w:rStyle w:val="12"/>
          <w:rFonts w:hint="eastAsia"/>
          <w:sz w:val="21"/>
          <w:szCs w:val="21"/>
        </w:rPr>
        <w:t>六、申购费用和赎回费用</w:t>
      </w:r>
    </w:p>
    <w:p w14:paraId="4D689E6E">
      <w:pPr>
        <w:pStyle w:val="8"/>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申购费用用于本基金的市场推广、销售、登记等募集期间发生的各项费用，不列入基金财产。本基金各类基金份额的申购费率如下表所示：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4"/>
        <w:gridCol w:w="2616"/>
        <w:gridCol w:w="2616"/>
      </w:tblGrid>
      <w:tr w14:paraId="28DE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D879EF">
            <w:pPr>
              <w:jc w:val="cente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14:paraId="7AF4E566">
            <w:pPr>
              <w:jc w:val="center"/>
              <w:rPr>
                <w:rFonts w:ascii="宋体" w:hAnsi="宋体" w:eastAsia="宋体" w:cs="宋体"/>
                <w:sz w:val="24"/>
                <w:szCs w:val="24"/>
              </w:rPr>
            </w:pPr>
            <w:r>
              <w:rPr>
                <w:rFonts w:hint="eastAsia" w:ascii="宋体" w:hAnsi="宋体" w:eastAsia="宋体"/>
              </w:rPr>
              <w:t xml:space="preserve">A类份额申购费率 </w:t>
            </w:r>
          </w:p>
        </w:tc>
        <w:tc>
          <w:tcPr>
            <w:tcW w:w="0" w:type="auto"/>
            <w:shd w:val="clear" w:color="auto" w:fill="auto"/>
          </w:tcPr>
          <w:p w14:paraId="7471CB2E">
            <w:pPr>
              <w:jc w:val="center"/>
              <w:rPr>
                <w:rFonts w:ascii="宋体" w:hAnsi="宋体" w:eastAsia="宋体" w:cs="宋体"/>
                <w:sz w:val="24"/>
                <w:szCs w:val="24"/>
              </w:rPr>
            </w:pPr>
            <w:r>
              <w:rPr>
                <w:rFonts w:hint="eastAsia" w:ascii="宋体" w:hAnsi="宋体" w:eastAsia="宋体"/>
              </w:rPr>
              <w:t xml:space="preserve">C类份额申购费率 </w:t>
            </w:r>
          </w:p>
        </w:tc>
      </w:tr>
      <w:tr w14:paraId="5874B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369D09">
            <w:pPr>
              <w:jc w:val="cente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14:paraId="14584755">
            <w:pPr>
              <w:jc w:val="center"/>
              <w:rPr>
                <w:rFonts w:ascii="宋体" w:hAnsi="宋体" w:eastAsia="宋体" w:cs="宋体"/>
                <w:sz w:val="24"/>
                <w:szCs w:val="24"/>
              </w:rPr>
            </w:pPr>
            <w:r>
              <w:rPr>
                <w:rFonts w:hint="eastAsia" w:ascii="宋体" w:hAnsi="宋体" w:eastAsia="宋体"/>
              </w:rPr>
              <w:t xml:space="preserve">1.00% </w:t>
            </w:r>
          </w:p>
        </w:tc>
        <w:tc>
          <w:tcPr>
            <w:tcW w:w="0" w:type="auto"/>
            <w:vMerge w:val="restart"/>
            <w:shd w:val="clear" w:color="auto" w:fill="auto"/>
          </w:tcPr>
          <w:p w14:paraId="1EAE6CD4">
            <w:pPr>
              <w:jc w:val="center"/>
              <w:rPr>
                <w:rFonts w:ascii="宋体" w:hAnsi="宋体" w:eastAsia="宋体" w:cs="宋体"/>
                <w:sz w:val="24"/>
                <w:szCs w:val="24"/>
              </w:rPr>
            </w:pPr>
            <w:r>
              <w:rPr>
                <w:rFonts w:hint="eastAsia" w:ascii="宋体" w:hAnsi="宋体" w:eastAsia="宋体"/>
              </w:rPr>
              <w:t xml:space="preserve">0.00% </w:t>
            </w:r>
          </w:p>
        </w:tc>
      </w:tr>
      <w:tr w14:paraId="257BF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9D9832">
            <w:pPr>
              <w:jc w:val="cente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14:paraId="2C0117E0">
            <w:pPr>
              <w:jc w:val="cente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3F2FD3BB">
            <w:pPr>
              <w:rPr>
                <w:rFonts w:ascii="宋体" w:hAnsi="宋体" w:eastAsia="宋体" w:cs="宋体"/>
                <w:sz w:val="24"/>
                <w:szCs w:val="24"/>
              </w:rPr>
            </w:pPr>
          </w:p>
        </w:tc>
      </w:tr>
      <w:tr w14:paraId="4B7A3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C4B8BD">
            <w:pPr>
              <w:jc w:val="center"/>
              <w:rPr>
                <w:rFonts w:ascii="宋体" w:hAnsi="宋体" w:eastAsia="宋体" w:cs="宋体"/>
                <w:sz w:val="24"/>
                <w:szCs w:val="24"/>
              </w:rPr>
            </w:pPr>
            <w:r>
              <w:rPr>
                <w:rFonts w:hint="eastAsia" w:ascii="宋体" w:hAnsi="宋体" w:eastAsia="宋体"/>
              </w:rPr>
              <w:t xml:space="preserve">M≥300万元 </w:t>
            </w:r>
          </w:p>
        </w:tc>
        <w:tc>
          <w:tcPr>
            <w:tcW w:w="0" w:type="auto"/>
            <w:shd w:val="clear" w:color="auto" w:fill="auto"/>
          </w:tcPr>
          <w:p w14:paraId="31807D3E">
            <w:pPr>
              <w:jc w:val="center"/>
              <w:rPr>
                <w:rFonts w:ascii="宋体" w:hAnsi="宋体" w:eastAsia="宋体" w:cs="宋体"/>
                <w:sz w:val="24"/>
                <w:szCs w:val="24"/>
              </w:rPr>
            </w:pPr>
            <w:r>
              <w:rPr>
                <w:rFonts w:hint="eastAsia" w:ascii="宋体" w:hAnsi="宋体" w:eastAsia="宋体"/>
              </w:rPr>
              <w:t xml:space="preserve">每笔300元 </w:t>
            </w:r>
          </w:p>
        </w:tc>
        <w:tc>
          <w:tcPr>
            <w:tcW w:w="0" w:type="auto"/>
            <w:vMerge w:val="continue"/>
            <w:shd w:val="clear" w:color="auto" w:fill="auto"/>
          </w:tcPr>
          <w:p w14:paraId="6EA3E0EE">
            <w:pPr>
              <w:rPr>
                <w:rFonts w:ascii="宋体" w:hAnsi="宋体" w:eastAsia="宋体" w:cs="宋体"/>
                <w:sz w:val="24"/>
                <w:szCs w:val="24"/>
              </w:rPr>
            </w:pPr>
          </w:p>
        </w:tc>
      </w:tr>
    </w:tbl>
    <w:p w14:paraId="56046990">
      <w:pPr>
        <w:pStyle w:val="8"/>
        <w:spacing w:before="0" w:beforeAutospacing="0" w:after="0" w:afterAutospacing="0" w:line="360" w:lineRule="auto"/>
        <w:ind w:firstLine="420"/>
        <w:rPr>
          <w:sz w:val="21"/>
          <w:szCs w:val="21"/>
        </w:rPr>
      </w:pPr>
      <w:r>
        <w:rPr>
          <w:rFonts w:hint="eastAsia"/>
          <w:sz w:val="21"/>
          <w:szCs w:val="21"/>
        </w:rPr>
        <w:t xml:space="preserve">2、赎回费用 </w:t>
      </w:r>
    </w:p>
    <w:p w14:paraId="338AACB8">
      <w:pPr>
        <w:pStyle w:val="8"/>
        <w:spacing w:before="0" w:beforeAutospacing="0" w:after="0" w:afterAutospacing="0" w:line="360" w:lineRule="auto"/>
        <w:ind w:firstLine="420"/>
        <w:rPr>
          <w:sz w:val="21"/>
          <w:szCs w:val="21"/>
        </w:rPr>
      </w:pPr>
      <w:r>
        <w:rPr>
          <w:rFonts w:hint="eastAsia"/>
          <w:sz w:val="21"/>
          <w:szCs w:val="21"/>
        </w:rPr>
        <w:t xml:space="preserve">本基金的A类基金份额和C类基金份额赎回费率随申请份额持有时间增加而递减。具体如下表所示：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4"/>
        <w:gridCol w:w="2571"/>
        <w:gridCol w:w="2571"/>
      </w:tblGrid>
      <w:tr w14:paraId="7B2F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5E5D7E">
            <w:pPr>
              <w:jc w:val="center"/>
              <w:rPr>
                <w:rFonts w:ascii="宋体" w:hAnsi="宋体" w:eastAsia="宋体" w:cs="宋体"/>
                <w:sz w:val="24"/>
                <w:szCs w:val="24"/>
              </w:rPr>
            </w:pPr>
            <w:r>
              <w:rPr>
                <w:rFonts w:hint="eastAsia" w:ascii="宋体" w:hAnsi="宋体" w:eastAsia="宋体"/>
              </w:rPr>
              <w:t xml:space="preserve">持有基金份额期限（Y） </w:t>
            </w:r>
          </w:p>
        </w:tc>
        <w:tc>
          <w:tcPr>
            <w:tcW w:w="0" w:type="auto"/>
            <w:shd w:val="clear" w:color="auto" w:fill="auto"/>
          </w:tcPr>
          <w:p w14:paraId="0162357E">
            <w:pPr>
              <w:jc w:val="center"/>
              <w:rPr>
                <w:rFonts w:ascii="宋体" w:hAnsi="宋体" w:eastAsia="宋体" w:cs="宋体"/>
                <w:sz w:val="24"/>
                <w:szCs w:val="24"/>
              </w:rPr>
            </w:pPr>
            <w:r>
              <w:rPr>
                <w:rFonts w:hint="eastAsia" w:ascii="宋体" w:hAnsi="宋体" w:eastAsia="宋体"/>
              </w:rPr>
              <w:t xml:space="preserve">A类份额赎回费率 </w:t>
            </w:r>
          </w:p>
        </w:tc>
        <w:tc>
          <w:tcPr>
            <w:tcW w:w="0" w:type="auto"/>
            <w:shd w:val="clear" w:color="auto" w:fill="auto"/>
          </w:tcPr>
          <w:p w14:paraId="65EF9EF3">
            <w:pPr>
              <w:jc w:val="center"/>
              <w:rPr>
                <w:rFonts w:ascii="宋体" w:hAnsi="宋体" w:eastAsia="宋体" w:cs="宋体"/>
                <w:sz w:val="24"/>
                <w:szCs w:val="24"/>
              </w:rPr>
            </w:pPr>
            <w:r>
              <w:rPr>
                <w:rFonts w:hint="eastAsia" w:ascii="宋体" w:hAnsi="宋体" w:eastAsia="宋体"/>
              </w:rPr>
              <w:t xml:space="preserve">C类份额赎回费率 </w:t>
            </w:r>
          </w:p>
        </w:tc>
      </w:tr>
      <w:tr w14:paraId="16414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69966C">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7E8CD7BC">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72187F44">
            <w:pPr>
              <w:jc w:val="center"/>
              <w:rPr>
                <w:rFonts w:ascii="宋体" w:hAnsi="宋体" w:eastAsia="宋体" w:cs="宋体"/>
                <w:sz w:val="24"/>
                <w:szCs w:val="24"/>
              </w:rPr>
            </w:pPr>
            <w:r>
              <w:rPr>
                <w:rFonts w:hint="eastAsia" w:ascii="宋体" w:hAnsi="宋体" w:eastAsia="宋体"/>
              </w:rPr>
              <w:t xml:space="preserve">1.50% </w:t>
            </w:r>
          </w:p>
        </w:tc>
      </w:tr>
      <w:tr w14:paraId="3500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8C9A91">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7CB18320">
            <w:pPr>
              <w:jc w:val="center"/>
              <w:rPr>
                <w:rFonts w:ascii="宋体" w:hAnsi="宋体" w:eastAsia="宋体" w:cs="宋体"/>
                <w:sz w:val="24"/>
                <w:szCs w:val="24"/>
              </w:rPr>
            </w:pPr>
            <w:r>
              <w:rPr>
                <w:rFonts w:hint="eastAsia" w:ascii="宋体" w:hAnsi="宋体" w:eastAsia="宋体"/>
              </w:rPr>
              <w:t xml:space="preserve">0.00% </w:t>
            </w:r>
          </w:p>
        </w:tc>
        <w:tc>
          <w:tcPr>
            <w:tcW w:w="0" w:type="auto"/>
            <w:shd w:val="clear" w:color="auto" w:fill="auto"/>
          </w:tcPr>
          <w:p w14:paraId="1AFAB52F">
            <w:pPr>
              <w:jc w:val="center"/>
              <w:rPr>
                <w:rFonts w:ascii="宋体" w:hAnsi="宋体" w:eastAsia="宋体" w:cs="宋体"/>
                <w:sz w:val="24"/>
                <w:szCs w:val="24"/>
              </w:rPr>
            </w:pPr>
            <w:r>
              <w:rPr>
                <w:rFonts w:hint="eastAsia" w:ascii="宋体" w:hAnsi="宋体" w:eastAsia="宋体"/>
              </w:rPr>
              <w:t xml:space="preserve">0.00% </w:t>
            </w:r>
          </w:p>
        </w:tc>
      </w:tr>
    </w:tbl>
    <w:p w14:paraId="4FBB9FB3">
      <w:pPr>
        <w:pStyle w:val="8"/>
        <w:spacing w:before="0" w:beforeAutospacing="0" w:after="0" w:afterAutospacing="0" w:line="360" w:lineRule="auto"/>
        <w:ind w:firstLine="420"/>
        <w:rPr>
          <w:sz w:val="21"/>
          <w:szCs w:val="21"/>
        </w:rPr>
      </w:pPr>
      <w:r>
        <w:rPr>
          <w:rFonts w:hint="eastAsia"/>
          <w:sz w:val="21"/>
          <w:szCs w:val="21"/>
        </w:rPr>
        <w:t xml:space="preserve">本基金赎回费用由赎回基金份额的基金份额持有人承担，在基金份额持有人赎回基金份额时收取。本基金对持续持有期在7日以内的投资人收取的赎回费，全额计入基金资产。对于每份申购份额，持有期指自该基金份额申购确认日至赎回确认日（不含该日）。 </w:t>
      </w:r>
    </w:p>
    <w:p w14:paraId="2FADC83A">
      <w:pPr>
        <w:pStyle w:val="8"/>
        <w:spacing w:before="0" w:beforeAutospacing="0" w:after="0" w:afterAutospacing="0" w:line="360" w:lineRule="auto"/>
        <w:ind w:firstLine="420"/>
        <w:rPr>
          <w:sz w:val="21"/>
          <w:szCs w:val="21"/>
        </w:rPr>
      </w:pPr>
      <w:r>
        <w:rPr>
          <w:rFonts w:hint="eastAsia"/>
          <w:sz w:val="21"/>
          <w:szCs w:val="21"/>
        </w:rPr>
        <w:t xml:space="preserve">3、基金管理人可以针对特定投资人（如养老金客户等）开展费率优惠活动，具体见基金管理人相关公告。 </w:t>
      </w:r>
    </w:p>
    <w:p w14:paraId="31082D21">
      <w:pPr>
        <w:pStyle w:val="8"/>
        <w:spacing w:before="0" w:beforeAutospacing="0" w:after="0" w:afterAutospacing="0" w:line="360" w:lineRule="auto"/>
        <w:ind w:firstLine="420"/>
        <w:rPr>
          <w:sz w:val="21"/>
          <w:szCs w:val="21"/>
        </w:rPr>
      </w:pPr>
      <w:r>
        <w:rPr>
          <w:rFonts w:hint="eastAsia"/>
          <w:sz w:val="21"/>
          <w:szCs w:val="21"/>
        </w:rPr>
        <w:t xml:space="preserve">4、基金管理人可以在《基金合同》约定的范围内调整费率或收费方式，并最迟应于新的费率或收费方式实施日前依照《信息披露办法》的有关规定在规定媒介上公告。 </w:t>
      </w:r>
    </w:p>
    <w:p w14:paraId="44C98F37">
      <w:pPr>
        <w:pStyle w:val="8"/>
        <w:spacing w:before="0" w:beforeAutospacing="0" w:after="0" w:afterAutospacing="0" w:line="360" w:lineRule="auto"/>
        <w:ind w:firstLine="420"/>
        <w:rPr>
          <w:sz w:val="21"/>
          <w:szCs w:val="21"/>
        </w:rPr>
      </w:pPr>
      <w:r>
        <w:rPr>
          <w:rFonts w:hint="eastAsia"/>
          <w:sz w:val="21"/>
          <w:szCs w:val="21"/>
        </w:rPr>
        <w:t xml:space="preserve">5、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 </w:t>
      </w:r>
    </w:p>
    <w:p w14:paraId="2869DE86">
      <w:pPr>
        <w:pStyle w:val="8"/>
        <w:spacing w:before="0" w:beforeAutospacing="0" w:after="0" w:afterAutospacing="0" w:line="360" w:lineRule="auto"/>
        <w:ind w:firstLine="420"/>
        <w:rPr>
          <w:sz w:val="21"/>
          <w:szCs w:val="21"/>
        </w:rPr>
      </w:pPr>
      <w:r>
        <w:rPr>
          <w:rFonts w:hint="eastAsia"/>
          <w:sz w:val="21"/>
          <w:szCs w:val="21"/>
        </w:rPr>
        <w:t xml:space="preserve">6、当本基金发生大额申购或赎回情形时，基金管理人可以采用摆动定价机制以确保基金估值的公平性。具体处理原则与操作规范遵循相关法律法规以及监管部门、自律规则的规定。 </w:t>
      </w:r>
    </w:p>
    <w:p w14:paraId="3678A3C5">
      <w:pPr>
        <w:pStyle w:val="8"/>
        <w:spacing w:before="0" w:beforeAutospacing="0" w:after="0" w:afterAutospacing="0" w:line="360" w:lineRule="auto"/>
        <w:ind w:firstLine="420"/>
        <w:rPr>
          <w:sz w:val="21"/>
          <w:szCs w:val="21"/>
        </w:rPr>
      </w:pPr>
      <w:r>
        <w:rPr>
          <w:rStyle w:val="12"/>
          <w:rFonts w:hint="eastAsia"/>
          <w:sz w:val="21"/>
          <w:szCs w:val="21"/>
        </w:rPr>
        <w:t>七、申购份额与赎回金额的计算</w:t>
      </w:r>
    </w:p>
    <w:p w14:paraId="0545D6A8">
      <w:pPr>
        <w:pStyle w:val="8"/>
        <w:spacing w:before="0" w:beforeAutospacing="0" w:after="0" w:afterAutospacing="0" w:line="360" w:lineRule="auto"/>
        <w:ind w:firstLine="420"/>
        <w:rPr>
          <w:sz w:val="21"/>
          <w:szCs w:val="21"/>
        </w:rPr>
      </w:pPr>
      <w:r>
        <w:rPr>
          <w:rFonts w:hint="eastAsia"/>
          <w:sz w:val="21"/>
          <w:szCs w:val="21"/>
        </w:rPr>
        <w:t xml:space="preserve">1、本基金申购份额的计算方式 </w:t>
      </w:r>
    </w:p>
    <w:p w14:paraId="34C65FA6">
      <w:pPr>
        <w:pStyle w:val="8"/>
        <w:spacing w:before="0" w:beforeAutospacing="0" w:after="0" w:afterAutospacing="0" w:line="360" w:lineRule="auto"/>
        <w:ind w:firstLine="420"/>
        <w:rPr>
          <w:sz w:val="21"/>
          <w:szCs w:val="21"/>
        </w:rPr>
      </w:pPr>
      <w:r>
        <w:rPr>
          <w:rFonts w:hint="eastAsia"/>
          <w:sz w:val="21"/>
          <w:szCs w:val="21"/>
        </w:rPr>
        <w:t xml:space="preserve">（1）A类基金份额 </w:t>
      </w:r>
    </w:p>
    <w:p w14:paraId="242350E4">
      <w:pPr>
        <w:pStyle w:val="8"/>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168F3736">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1F0B7D67">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15EF635F">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308C94C1">
      <w:pPr>
        <w:pStyle w:val="8"/>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4AD983C5">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37A00EA0">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56D08338">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4A674CA0">
      <w:pPr>
        <w:pStyle w:val="8"/>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0F3D4D3D">
      <w:pPr>
        <w:pStyle w:val="8"/>
        <w:spacing w:before="0" w:beforeAutospacing="0" w:after="0" w:afterAutospacing="0" w:line="360" w:lineRule="auto"/>
        <w:ind w:firstLine="420"/>
        <w:rPr>
          <w:sz w:val="21"/>
          <w:szCs w:val="21"/>
        </w:rPr>
      </w:pPr>
      <w:r>
        <w:rPr>
          <w:rFonts w:hint="eastAsia"/>
          <w:sz w:val="21"/>
          <w:szCs w:val="21"/>
        </w:rPr>
        <w:t xml:space="preserve">（2）C类基金份额 </w:t>
      </w:r>
    </w:p>
    <w:p w14:paraId="2040CA97">
      <w:pPr>
        <w:pStyle w:val="8"/>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1F96C43C">
      <w:pPr>
        <w:pStyle w:val="8"/>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74642C3C">
      <w:pPr>
        <w:pStyle w:val="8"/>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例1：假定T日A类基金份额净值为1.0160元，某投资人本次通过申购本基金A类基金份额10万元，对应的本次申购费率为1.00%，该投资人可得到的A类基金份额为： </w:t>
      </w:r>
    </w:p>
    <w:p w14:paraId="21A888D6">
      <w:pPr>
        <w:pStyle w:val="8"/>
        <w:spacing w:before="0" w:beforeAutospacing="0" w:after="0" w:afterAutospacing="0" w:line="360" w:lineRule="auto"/>
        <w:ind w:firstLine="420"/>
        <w:rPr>
          <w:sz w:val="21"/>
          <w:szCs w:val="21"/>
        </w:rPr>
      </w:pPr>
      <w:r>
        <w:rPr>
          <w:rFonts w:hint="eastAsia"/>
          <w:sz w:val="21"/>
          <w:szCs w:val="21"/>
        </w:rPr>
        <w:t xml:space="preserve">净申购金额＝100,000/ (1＋1.00%)＝99,009.90 元 </w:t>
      </w:r>
    </w:p>
    <w:p w14:paraId="14B0164C">
      <w:pPr>
        <w:pStyle w:val="8"/>
        <w:spacing w:before="0" w:beforeAutospacing="0" w:after="0" w:afterAutospacing="0" w:line="360" w:lineRule="auto"/>
        <w:ind w:firstLine="420"/>
        <w:rPr>
          <w:sz w:val="21"/>
          <w:szCs w:val="21"/>
        </w:rPr>
      </w:pPr>
      <w:r>
        <w:rPr>
          <w:rFonts w:hint="eastAsia"/>
          <w:sz w:val="21"/>
          <w:szCs w:val="21"/>
        </w:rPr>
        <w:t xml:space="preserve">申购费用＝100,000－99,009.90 =990.10元 </w:t>
      </w:r>
    </w:p>
    <w:p w14:paraId="2681B33B">
      <w:pPr>
        <w:pStyle w:val="8"/>
        <w:spacing w:before="0" w:beforeAutospacing="0" w:after="0" w:afterAutospacing="0" w:line="360" w:lineRule="auto"/>
        <w:ind w:firstLine="420"/>
        <w:rPr>
          <w:sz w:val="21"/>
          <w:szCs w:val="21"/>
        </w:rPr>
      </w:pPr>
      <w:r>
        <w:rPr>
          <w:rFonts w:hint="eastAsia"/>
          <w:sz w:val="21"/>
          <w:szCs w:val="21"/>
        </w:rPr>
        <w:t xml:space="preserve">申购份额＝99,009.90 /1.0160＝97,450.69份 </w:t>
      </w:r>
    </w:p>
    <w:p w14:paraId="783E2294">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14:paraId="0BED4067">
      <w:pPr>
        <w:pStyle w:val="8"/>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05D1A0C1">
      <w:pPr>
        <w:pStyle w:val="8"/>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1B5A3285">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4809FCE6">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41EBEF0D">
      <w:pPr>
        <w:pStyle w:val="8"/>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3E312660">
      <w:pPr>
        <w:pStyle w:val="8"/>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3CD0FFDB">
      <w:pPr>
        <w:pStyle w:val="8"/>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4F7C2648">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689991C7">
      <w:pPr>
        <w:pStyle w:val="8"/>
        <w:spacing w:before="0" w:beforeAutospacing="0" w:after="0" w:afterAutospacing="0" w:line="360" w:lineRule="auto"/>
        <w:ind w:firstLine="420"/>
        <w:rPr>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14:paraId="2E287749">
      <w:pPr>
        <w:pStyle w:val="8"/>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6AF7F9D7">
      <w:pPr>
        <w:pStyle w:val="8"/>
        <w:spacing w:before="0" w:beforeAutospacing="0" w:after="0" w:afterAutospacing="0" w:line="360" w:lineRule="auto"/>
        <w:ind w:firstLine="420"/>
        <w:rPr>
          <w:sz w:val="21"/>
          <w:szCs w:val="21"/>
        </w:rPr>
      </w:pPr>
      <w:r>
        <w:rPr>
          <w:rFonts w:hint="eastAsia"/>
          <w:sz w:val="21"/>
          <w:szCs w:val="21"/>
        </w:rPr>
        <w:t xml:space="preserve">赎回费用=12,500.00×0%=0.00元 </w:t>
      </w:r>
    </w:p>
    <w:p w14:paraId="657EFFC0">
      <w:pPr>
        <w:pStyle w:val="8"/>
        <w:spacing w:before="0" w:beforeAutospacing="0" w:after="0" w:afterAutospacing="0" w:line="360" w:lineRule="auto"/>
        <w:ind w:firstLine="420"/>
        <w:rPr>
          <w:sz w:val="21"/>
          <w:szCs w:val="21"/>
        </w:rPr>
      </w:pPr>
      <w:r>
        <w:rPr>
          <w:rFonts w:hint="eastAsia"/>
          <w:sz w:val="21"/>
          <w:szCs w:val="21"/>
        </w:rPr>
        <w:t xml:space="preserve">净赎回金额=12,500.00-0.00=12,500.00元 </w:t>
      </w:r>
    </w:p>
    <w:p w14:paraId="7BCFAC5F">
      <w:pPr>
        <w:pStyle w:val="8"/>
        <w:spacing w:before="0" w:beforeAutospacing="0" w:after="0" w:afterAutospacing="0" w:line="360" w:lineRule="auto"/>
        <w:ind w:firstLine="420"/>
        <w:rPr>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14:paraId="5C95B44F">
      <w:pPr>
        <w:pStyle w:val="8"/>
        <w:spacing w:before="0" w:beforeAutospacing="0" w:after="0" w:afterAutospacing="0" w:line="360" w:lineRule="auto"/>
        <w:ind w:firstLine="420"/>
        <w:rPr>
          <w:sz w:val="21"/>
          <w:szCs w:val="21"/>
        </w:rPr>
      </w:pPr>
      <w:r>
        <w:rPr>
          <w:rFonts w:hint="eastAsia"/>
          <w:sz w:val="21"/>
          <w:szCs w:val="21"/>
        </w:rPr>
        <w:t>3、本基金A类基金份额和C类基金份额分别设置代码，分别计算和公告各类基金份额净值和各类基金份额累计净值。本基金各类基金份额净值的计算，均保留到小数点后</w:t>
      </w:r>
      <w:bookmarkStart w:id="67" w:name="field_63_netdecimal_1"/>
      <w:r>
        <w:rPr>
          <w:sz w:val="21"/>
          <w:szCs w:val="21"/>
        </w:rPr>
        <w:t>4</w:t>
      </w:r>
      <w:bookmarkEnd w:id="67"/>
      <w:r>
        <w:rPr>
          <w:rFonts w:hint="eastAsia"/>
          <w:sz w:val="21"/>
          <w:szCs w:val="21"/>
        </w:rPr>
        <w:t>位，小数点后第</w:t>
      </w:r>
      <w:bookmarkStart w:id="68" w:name="field_0_netdecimaladd1_1"/>
      <w:r>
        <w:rPr>
          <w:sz w:val="21"/>
          <w:szCs w:val="21"/>
        </w:rPr>
        <w:t>5</w:t>
      </w:r>
      <w:bookmarkEnd w:id="68"/>
      <w:r>
        <w:rPr>
          <w:rFonts w:hint="eastAsia"/>
          <w:sz w:val="21"/>
          <w:szCs w:val="21"/>
        </w:rPr>
        <w:t xml:space="preserve">位四舍五入，由此产生的收益或损失由基金财产承担。T日的各类基金份额净值在当天收市后计算，并按基金合同的约定进行公告。遇特殊情况，经履行适当程序，可以适当延迟计算或公告。 </w:t>
      </w:r>
    </w:p>
    <w:p w14:paraId="68D8AC61">
      <w:pPr>
        <w:pStyle w:val="8"/>
        <w:spacing w:before="0" w:beforeAutospacing="0" w:after="0" w:afterAutospacing="0" w:line="360" w:lineRule="auto"/>
        <w:ind w:firstLine="420"/>
        <w:rPr>
          <w:sz w:val="21"/>
          <w:szCs w:val="21"/>
        </w:rPr>
      </w:pPr>
      <w:r>
        <w:rPr>
          <w:rStyle w:val="12"/>
          <w:rFonts w:hint="eastAsia"/>
          <w:sz w:val="21"/>
          <w:szCs w:val="21"/>
        </w:rPr>
        <w:t>八、申购和赎回的登记</w:t>
      </w:r>
    </w:p>
    <w:p w14:paraId="2D5BEE56">
      <w:pPr>
        <w:pStyle w:val="8"/>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14:paraId="1C6D54BE">
      <w:pPr>
        <w:pStyle w:val="8"/>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14:paraId="74C0FE0E">
      <w:pPr>
        <w:pStyle w:val="8"/>
        <w:spacing w:before="0" w:beforeAutospacing="0" w:after="0" w:afterAutospacing="0" w:line="360" w:lineRule="auto"/>
        <w:ind w:firstLine="420"/>
        <w:rPr>
          <w:sz w:val="21"/>
          <w:szCs w:val="21"/>
        </w:rPr>
      </w:pPr>
      <w:r>
        <w:rPr>
          <w:rFonts w:hint="eastAsia"/>
          <w:sz w:val="21"/>
          <w:szCs w:val="21"/>
        </w:rPr>
        <w:t xml:space="preserve">基金管理人可以在不违反法律法规的范围内，对上述登记办理时间进行调整，但不得实质影响投资人的合法权益，并最迟于实施前依照《信息披露办法》的有关规定在规定媒介公告。 </w:t>
      </w:r>
    </w:p>
    <w:p w14:paraId="45CF0C33">
      <w:pPr>
        <w:pStyle w:val="8"/>
        <w:spacing w:before="0" w:beforeAutospacing="0" w:after="0" w:afterAutospacing="0" w:line="360" w:lineRule="auto"/>
        <w:ind w:firstLine="420"/>
        <w:rPr>
          <w:sz w:val="21"/>
          <w:szCs w:val="21"/>
        </w:rPr>
      </w:pPr>
      <w:r>
        <w:rPr>
          <w:rStyle w:val="12"/>
          <w:rFonts w:hint="eastAsia"/>
          <w:sz w:val="21"/>
          <w:szCs w:val="21"/>
        </w:rPr>
        <w:t>九、拒绝或暂停申购的情形</w:t>
      </w:r>
    </w:p>
    <w:p w14:paraId="14BDE93D">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4B7A73B7">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5A1613E9">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74DCA32A">
      <w:pPr>
        <w:pStyle w:val="8"/>
        <w:spacing w:before="0" w:beforeAutospacing="0" w:after="0" w:afterAutospacing="0" w:line="360" w:lineRule="auto"/>
        <w:ind w:firstLine="420"/>
        <w:rPr>
          <w:sz w:val="21"/>
          <w:szCs w:val="21"/>
        </w:rPr>
      </w:pPr>
      <w:r>
        <w:rPr>
          <w:rFonts w:hint="eastAsia"/>
          <w:sz w:val="21"/>
          <w:szCs w:val="21"/>
        </w:rPr>
        <w:t>3、证券、期货交易所或外汇市场交易时间非正常停市，导致基金管理人无法计算当日基金资产净值</w:t>
      </w:r>
      <w:r>
        <w:rPr>
          <w:rFonts w:hint="eastAsia" w:ascii="Times New Roman" w:hAnsi="Times New Roman" w:cs="Times New Roman"/>
          <w:bCs/>
          <w:sz w:val="21"/>
          <w:szCs w:val="21"/>
        </w:rPr>
        <w:t>或无法进行证券交易</w:t>
      </w:r>
      <w:r>
        <w:rPr>
          <w:rFonts w:hint="eastAsia"/>
          <w:sz w:val="21"/>
          <w:szCs w:val="21"/>
        </w:rPr>
        <w:t xml:space="preserve">。 </w:t>
      </w:r>
    </w:p>
    <w:p w14:paraId="1F55C205">
      <w:pPr>
        <w:pStyle w:val="8"/>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14:paraId="7D53F0EA">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597945FA">
      <w:pPr>
        <w:pStyle w:val="8"/>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14:paraId="6E394EDF">
      <w:pPr>
        <w:pStyle w:val="8"/>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4A846087">
      <w:pPr>
        <w:pStyle w:val="8"/>
        <w:spacing w:before="0" w:beforeAutospacing="0" w:after="0" w:afterAutospacing="0" w:line="360" w:lineRule="auto"/>
        <w:ind w:firstLine="420"/>
        <w:rPr>
          <w:sz w:val="21"/>
          <w:szCs w:val="21"/>
        </w:rPr>
      </w:pPr>
      <w:r>
        <w:rPr>
          <w:rFonts w:hint="eastAsia"/>
          <w:sz w:val="21"/>
          <w:szCs w:val="21"/>
        </w:rPr>
        <w:t xml:space="preserve">8、港股通的业务规则发生重大变化时。 </w:t>
      </w:r>
    </w:p>
    <w:p w14:paraId="1406EFB7">
      <w:pPr>
        <w:pStyle w:val="8"/>
        <w:spacing w:before="0" w:beforeAutospacing="0" w:after="0" w:afterAutospacing="0" w:line="360" w:lineRule="auto"/>
        <w:ind w:firstLine="420"/>
        <w:rPr>
          <w:rFonts w:hint="eastAsia"/>
          <w:sz w:val="21"/>
          <w:szCs w:val="21"/>
        </w:rPr>
      </w:pPr>
      <w:r>
        <w:rPr>
          <w:rFonts w:hint="eastAsia"/>
          <w:sz w:val="21"/>
          <w:szCs w:val="21"/>
          <w:lang w:val="en-US" w:eastAsia="zh-CN"/>
        </w:rPr>
        <w:t>9</w:t>
      </w:r>
      <w:r>
        <w:rPr>
          <w:rFonts w:hint="eastAsia"/>
          <w:sz w:val="21"/>
          <w:szCs w:val="21"/>
        </w:rPr>
        <w:t>、所投资的目标ETF暂停估值，导致基金管理人无法计算当日基金资产净值。</w:t>
      </w:r>
    </w:p>
    <w:p w14:paraId="4A53A2B2">
      <w:pPr>
        <w:pStyle w:val="8"/>
        <w:spacing w:before="0" w:beforeAutospacing="0" w:after="0" w:afterAutospacing="0" w:line="360" w:lineRule="auto"/>
        <w:ind w:firstLine="420"/>
        <w:rPr>
          <w:rFonts w:hint="eastAsia"/>
          <w:sz w:val="21"/>
          <w:szCs w:val="21"/>
        </w:rPr>
      </w:pPr>
      <w:r>
        <w:rPr>
          <w:rFonts w:hint="eastAsia"/>
          <w:sz w:val="21"/>
          <w:szCs w:val="21"/>
        </w:rPr>
        <w:t>1</w:t>
      </w:r>
      <w:r>
        <w:rPr>
          <w:rFonts w:hint="eastAsia"/>
          <w:sz w:val="21"/>
          <w:szCs w:val="21"/>
          <w:lang w:val="en-US" w:eastAsia="zh-CN"/>
        </w:rPr>
        <w:t>0</w:t>
      </w:r>
      <w:r>
        <w:rPr>
          <w:rFonts w:hint="eastAsia"/>
          <w:sz w:val="21"/>
          <w:szCs w:val="21"/>
        </w:rPr>
        <w:t>、所投资的目标ETF暂停申购或二级市场交易停牌。</w:t>
      </w:r>
    </w:p>
    <w:p w14:paraId="702327AD">
      <w:pPr>
        <w:pStyle w:val="8"/>
        <w:spacing w:before="0" w:beforeAutospacing="0" w:after="0" w:afterAutospacing="0" w:line="360" w:lineRule="auto"/>
        <w:ind w:firstLine="420"/>
        <w:rPr>
          <w:rFonts w:hint="eastAsia"/>
          <w:sz w:val="21"/>
          <w:szCs w:val="21"/>
        </w:rPr>
      </w:pPr>
      <w:r>
        <w:rPr>
          <w:rFonts w:hint="eastAsia"/>
          <w:sz w:val="21"/>
          <w:szCs w:val="21"/>
        </w:rPr>
        <w:t>1</w:t>
      </w:r>
      <w:r>
        <w:rPr>
          <w:rFonts w:hint="eastAsia"/>
          <w:sz w:val="21"/>
          <w:szCs w:val="21"/>
          <w:lang w:val="en-US" w:eastAsia="zh-CN"/>
        </w:rPr>
        <w:t>1</w:t>
      </w:r>
      <w:r>
        <w:rPr>
          <w:rFonts w:hint="eastAsia"/>
          <w:sz w:val="21"/>
          <w:szCs w:val="21"/>
        </w:rPr>
        <w:t>、申请超过基金管理人设定的基金总规模、单日净申购比例上限、单一投资者单日或单笔申购金额上限。</w:t>
      </w:r>
    </w:p>
    <w:p w14:paraId="0FDF6039">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2</w:t>
      </w:r>
      <w:r>
        <w:rPr>
          <w:rFonts w:hint="eastAsia"/>
          <w:sz w:val="21"/>
          <w:szCs w:val="21"/>
        </w:rPr>
        <w:t xml:space="preserve">、法律法规规定或中国证监会认定的其他情形。 </w:t>
      </w:r>
    </w:p>
    <w:p w14:paraId="7A0881F1">
      <w:pPr>
        <w:pStyle w:val="8"/>
        <w:spacing w:before="0" w:beforeAutospacing="0" w:after="0" w:afterAutospacing="0" w:line="360" w:lineRule="auto"/>
        <w:ind w:firstLine="420"/>
        <w:rPr>
          <w:sz w:val="21"/>
          <w:szCs w:val="21"/>
        </w:rPr>
      </w:pPr>
      <w:r>
        <w:rPr>
          <w:rFonts w:hint="eastAsia"/>
          <w:sz w:val="21"/>
          <w:szCs w:val="21"/>
        </w:rPr>
        <w:t>发生上述第1、2、3、5、6、7、9、10</w:t>
      </w:r>
      <w:r>
        <w:rPr>
          <w:rFonts w:hint="eastAsia"/>
          <w:sz w:val="21"/>
          <w:szCs w:val="21"/>
          <w:lang w:eastAsia="zh-CN"/>
        </w:rPr>
        <w:t>、</w:t>
      </w:r>
      <w:r>
        <w:rPr>
          <w:rFonts w:hint="eastAsia"/>
          <w:sz w:val="21"/>
          <w:szCs w:val="21"/>
          <w:lang w:val="en-US" w:eastAsia="zh-CN"/>
        </w:rPr>
        <w:t>12</w:t>
      </w:r>
      <w:r>
        <w:rPr>
          <w:rFonts w:hint="eastAsia"/>
          <w:sz w:val="21"/>
          <w:szCs w:val="21"/>
        </w:rPr>
        <w:t xml:space="preserve">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 </w:t>
      </w:r>
    </w:p>
    <w:p w14:paraId="23BF43E3">
      <w:pPr>
        <w:pStyle w:val="8"/>
        <w:spacing w:before="0" w:beforeAutospacing="0" w:after="0" w:afterAutospacing="0" w:line="360" w:lineRule="auto"/>
        <w:ind w:firstLine="420"/>
        <w:rPr>
          <w:sz w:val="21"/>
          <w:szCs w:val="21"/>
        </w:rPr>
      </w:pPr>
      <w:r>
        <w:rPr>
          <w:rStyle w:val="12"/>
          <w:rFonts w:hint="eastAsia"/>
          <w:sz w:val="21"/>
          <w:szCs w:val="21"/>
        </w:rPr>
        <w:t>十、暂停赎回或延缓支付赎回款项的情形</w:t>
      </w:r>
    </w:p>
    <w:p w14:paraId="0A10B1AD">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783E80E1">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30C77F77">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150EA65A">
      <w:pPr>
        <w:pStyle w:val="8"/>
        <w:spacing w:before="0" w:beforeAutospacing="0" w:after="0" w:afterAutospacing="0" w:line="360" w:lineRule="auto"/>
        <w:ind w:firstLine="420"/>
        <w:rPr>
          <w:rFonts w:hint="eastAsia"/>
          <w:sz w:val="21"/>
          <w:szCs w:val="21"/>
        </w:rPr>
      </w:pPr>
      <w:r>
        <w:rPr>
          <w:rFonts w:hint="eastAsia"/>
          <w:sz w:val="21"/>
          <w:szCs w:val="21"/>
        </w:rPr>
        <w:t xml:space="preserve">3、证券、期货交易所或外汇市场交易时间非正常停市，导致基金管理人无法计算当日基金资产净值。 </w:t>
      </w:r>
    </w:p>
    <w:p w14:paraId="435F2565">
      <w:pPr>
        <w:pStyle w:val="8"/>
        <w:spacing w:before="0" w:beforeAutospacing="0" w:after="0" w:afterAutospacing="0" w:line="360" w:lineRule="auto"/>
        <w:ind w:firstLine="420"/>
        <w:rPr>
          <w:rFonts w:hint="eastAsia"/>
          <w:sz w:val="21"/>
          <w:szCs w:val="21"/>
        </w:rPr>
      </w:pPr>
      <w:r>
        <w:rPr>
          <w:rFonts w:hint="eastAsia"/>
          <w:sz w:val="21"/>
          <w:szCs w:val="21"/>
        </w:rPr>
        <w:t xml:space="preserve">4、连续两个或两个以上开放日发生巨额赎回。 </w:t>
      </w:r>
    </w:p>
    <w:p w14:paraId="281CC8C4">
      <w:pPr>
        <w:pStyle w:val="8"/>
        <w:spacing w:before="0" w:beforeAutospacing="0" w:after="0" w:afterAutospacing="0" w:line="360" w:lineRule="auto"/>
        <w:ind w:firstLine="420"/>
        <w:rPr>
          <w:rFonts w:hint="eastAsia"/>
          <w:sz w:val="21"/>
          <w:szCs w:val="21"/>
        </w:rPr>
      </w:pPr>
      <w:r>
        <w:rPr>
          <w:rFonts w:hint="eastAsia"/>
          <w:sz w:val="21"/>
          <w:szCs w:val="21"/>
        </w:rPr>
        <w:t>5、所投资的目标ETF暂停估值，导致基金管理人无法计算当日基金资产净值。</w:t>
      </w:r>
    </w:p>
    <w:p w14:paraId="75D7CF3F">
      <w:pPr>
        <w:pStyle w:val="8"/>
        <w:spacing w:before="0" w:beforeAutospacing="0" w:after="0" w:afterAutospacing="0" w:line="360" w:lineRule="auto"/>
        <w:ind w:firstLine="420"/>
        <w:rPr>
          <w:rFonts w:hint="eastAsia"/>
          <w:sz w:val="21"/>
          <w:szCs w:val="21"/>
        </w:rPr>
      </w:pPr>
      <w:r>
        <w:rPr>
          <w:rFonts w:hint="eastAsia"/>
          <w:sz w:val="21"/>
          <w:szCs w:val="21"/>
        </w:rPr>
        <w:t>6、所投资的目标ETF暂停赎回、延缓支付赎回对价或二级市场交易停牌。</w:t>
      </w:r>
    </w:p>
    <w:p w14:paraId="458EE572">
      <w:pPr>
        <w:pStyle w:val="8"/>
        <w:spacing w:before="0" w:beforeAutospacing="0" w:after="0" w:afterAutospacing="0" w:line="360" w:lineRule="auto"/>
        <w:ind w:firstLine="420"/>
        <w:rPr>
          <w:rFonts w:hint="eastAsia"/>
          <w:sz w:val="21"/>
          <w:szCs w:val="21"/>
        </w:rPr>
      </w:pPr>
      <w:r>
        <w:rPr>
          <w:rFonts w:hint="eastAsia"/>
          <w:sz w:val="21"/>
          <w:szCs w:val="21"/>
        </w:rPr>
        <w:t xml:space="preserve">7、发生继续接受赎回申请将损害现有基金份额持有人利益的情形时，基金管理人可暂停接受基金份额持有人的赎回申请。 </w:t>
      </w:r>
    </w:p>
    <w:p w14:paraId="772A2C6A">
      <w:pPr>
        <w:pStyle w:val="8"/>
        <w:spacing w:before="0" w:beforeAutospacing="0" w:after="0" w:afterAutospacing="0" w:line="360" w:lineRule="auto"/>
        <w:ind w:firstLine="420"/>
        <w:rPr>
          <w:sz w:val="21"/>
          <w:szCs w:val="21"/>
        </w:rPr>
      </w:pPr>
      <w:r>
        <w:rPr>
          <w:rFonts w:hint="eastAsia"/>
          <w:sz w:val="21"/>
          <w:szCs w:val="21"/>
          <w:lang w:val="en-US" w:eastAsia="zh-CN"/>
        </w:rPr>
        <w:t>8</w:t>
      </w:r>
      <w:r>
        <w:rPr>
          <w:rFonts w:hint="eastAsia"/>
          <w:sz w:val="21"/>
          <w:szCs w:val="21"/>
        </w:rPr>
        <w:t xml:space="preserve">、当特定资产占前一估值日基金资产净值50%以上的，经与基金托管人协商确认后，基金管理人应当延缓支付赎回款项或暂停接受基金赎回申请。 </w:t>
      </w:r>
    </w:p>
    <w:p w14:paraId="37E9A57E">
      <w:pPr>
        <w:pStyle w:val="8"/>
        <w:spacing w:before="0" w:beforeAutospacing="0" w:after="0" w:afterAutospacing="0" w:line="360" w:lineRule="auto"/>
        <w:ind w:firstLine="420"/>
        <w:rPr>
          <w:sz w:val="21"/>
          <w:szCs w:val="21"/>
        </w:rPr>
      </w:pPr>
      <w:r>
        <w:rPr>
          <w:rFonts w:hint="eastAsia"/>
          <w:sz w:val="21"/>
          <w:szCs w:val="21"/>
          <w:lang w:val="en-US" w:eastAsia="zh-CN"/>
        </w:rPr>
        <w:t>9</w:t>
      </w:r>
      <w:r>
        <w:rPr>
          <w:rFonts w:hint="eastAsia"/>
          <w:sz w:val="21"/>
          <w:szCs w:val="21"/>
        </w:rPr>
        <w:t xml:space="preserve">、法律法规规定或中国证监会认定的其他情形。 </w:t>
      </w:r>
    </w:p>
    <w:p w14:paraId="0DCBDEF9">
      <w:pPr>
        <w:pStyle w:val="8"/>
        <w:spacing w:before="0" w:beforeAutospacing="0" w:after="0" w:afterAutospacing="0" w:line="360" w:lineRule="auto"/>
        <w:ind w:firstLine="420"/>
        <w:rPr>
          <w:sz w:val="21"/>
          <w:szCs w:val="21"/>
        </w:rPr>
      </w:pPr>
      <w:r>
        <w:rPr>
          <w:rFonts w:hint="eastAsia"/>
          <w:sz w:val="21"/>
          <w:szCs w:val="21"/>
        </w:rPr>
        <w:t xml:space="preserve">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4D374ACC">
      <w:pPr>
        <w:pStyle w:val="8"/>
        <w:spacing w:before="0" w:beforeAutospacing="0" w:after="0" w:afterAutospacing="0" w:line="360" w:lineRule="auto"/>
        <w:ind w:firstLine="420"/>
        <w:rPr>
          <w:sz w:val="21"/>
          <w:szCs w:val="21"/>
        </w:rPr>
      </w:pPr>
      <w:r>
        <w:rPr>
          <w:rStyle w:val="12"/>
          <w:rFonts w:hint="eastAsia"/>
          <w:sz w:val="21"/>
          <w:szCs w:val="21"/>
        </w:rPr>
        <w:t>十一、巨额赎回的情形及处理方式</w:t>
      </w:r>
    </w:p>
    <w:p w14:paraId="35A6D50F">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6537B64C">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w:t>
      </w:r>
      <w:bookmarkStart w:id="69" w:name="field_49_mintredeemscale_2"/>
      <w:r>
        <w:rPr>
          <w:sz w:val="21"/>
          <w:szCs w:val="21"/>
        </w:rPr>
        <w:t>10</w:t>
      </w:r>
      <w:bookmarkEnd w:id="69"/>
      <w:r>
        <w:rPr>
          <w:rFonts w:hint="eastAsia"/>
          <w:sz w:val="21"/>
          <w:szCs w:val="21"/>
        </w:rPr>
        <w:t xml:space="preserve">%，即认为是发生了巨额赎回。 </w:t>
      </w:r>
    </w:p>
    <w:p w14:paraId="3C0EA4C8">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544FF245">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14:paraId="4872435B">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4DF46399">
      <w:pPr>
        <w:pStyle w:val="8"/>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w:t>
      </w:r>
      <w:bookmarkStart w:id="70" w:name="field_49_mintredeemscale_3"/>
      <w:r>
        <w:rPr>
          <w:sz w:val="21"/>
          <w:szCs w:val="21"/>
        </w:rPr>
        <w:t>10</w:t>
      </w:r>
      <w:bookmarkEnd w:id="70"/>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62CFA4C1">
      <w:pPr>
        <w:pStyle w:val="8"/>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（3）本基金发生巨额赎回时，对于单个基金份额持有人当日赎回申请超过上一工作日基金总份额</w:t>
      </w:r>
      <w:bookmarkStart w:id="71" w:name="field_49_mintredeemscale_4"/>
      <w:r>
        <w:rPr>
          <w:sz w:val="21"/>
          <w:szCs w:val="21"/>
        </w:rPr>
        <w:t>10</w:t>
      </w:r>
      <w:bookmarkEnd w:id="71"/>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5E311FC7">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2个开放日）发生巨额赎回，如基金管理人认为有必要，可暂停接受基金的赎回申请；已经接受的赎回申请可以延缓支付赎回款项，但不得超过20个工作日，并应当在规定媒介上进行公告。 </w:t>
      </w:r>
    </w:p>
    <w:p w14:paraId="0F4FC0D5">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383B726F">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14:paraId="18923E52">
      <w:pPr>
        <w:pStyle w:val="8"/>
        <w:spacing w:before="0" w:beforeAutospacing="0" w:after="0" w:afterAutospacing="0" w:line="360" w:lineRule="auto"/>
        <w:ind w:firstLine="420"/>
        <w:rPr>
          <w:sz w:val="21"/>
          <w:szCs w:val="21"/>
        </w:rPr>
      </w:pPr>
      <w:r>
        <w:rPr>
          <w:rStyle w:val="12"/>
          <w:rFonts w:hint="eastAsia"/>
          <w:sz w:val="21"/>
          <w:szCs w:val="21"/>
        </w:rPr>
        <w:t>十二、暂停申购或赎回的公告和重新开放申购或赎回的公告</w:t>
      </w:r>
    </w:p>
    <w:p w14:paraId="77288242">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6B4C2BFE">
      <w:pPr>
        <w:pStyle w:val="8"/>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5F8C7DEE">
      <w:pPr>
        <w:pStyle w:val="8"/>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72" w:name="chapter_level1_10_59_section_3_end"/>
      <w:bookmarkEnd w:id="72"/>
      <w:r>
        <w:rPr>
          <w:rFonts w:hint="eastAsia"/>
          <w:sz w:val="21"/>
          <w:szCs w:val="21"/>
        </w:rPr>
        <w:t xml:space="preserve">各类基金份额净值。 </w:t>
      </w:r>
    </w:p>
    <w:p w14:paraId="38C2F854">
      <w:pPr>
        <w:pStyle w:val="8"/>
        <w:spacing w:before="0" w:beforeAutospacing="0" w:after="0" w:afterAutospacing="0" w:line="360" w:lineRule="auto"/>
        <w:ind w:firstLine="420"/>
        <w:rPr>
          <w:sz w:val="21"/>
          <w:szCs w:val="21"/>
        </w:rPr>
      </w:pPr>
      <w:bookmarkStart w:id="73" w:name="chapter_level1_10_59_section_4"/>
      <w:bookmarkEnd w:id="73"/>
      <w:r>
        <w:rPr>
          <w:rStyle w:val="12"/>
          <w:rFonts w:hint="eastAsia"/>
          <w:sz w:val="21"/>
          <w:szCs w:val="21"/>
        </w:rPr>
        <w:t>十三、基金转换</w:t>
      </w:r>
    </w:p>
    <w:p w14:paraId="754CA751">
      <w:pPr>
        <w:pStyle w:val="8"/>
        <w:spacing w:before="0" w:beforeAutospacing="0" w:after="0" w:afterAutospacing="0" w:line="360" w:lineRule="auto"/>
        <w:ind w:firstLine="420"/>
        <w:rPr>
          <w:sz w:val="21"/>
          <w:szCs w:val="21"/>
        </w:rPr>
      </w:pPr>
      <w:r>
        <w:rPr>
          <w:rFonts w:hint="eastAsia"/>
          <w:sz w:val="21"/>
          <w:szCs w:val="21"/>
        </w:rPr>
        <w:t xml:space="preserve">本基金已于2024年4月29日开放日常转换业务。 </w:t>
      </w:r>
    </w:p>
    <w:p w14:paraId="04EA7041">
      <w:pPr>
        <w:pStyle w:val="8"/>
        <w:spacing w:before="0" w:beforeAutospacing="0" w:after="0" w:afterAutospacing="0" w:line="360" w:lineRule="auto"/>
        <w:ind w:firstLine="420"/>
        <w:rPr>
          <w:sz w:val="21"/>
          <w:szCs w:val="21"/>
        </w:rPr>
      </w:pPr>
      <w:r>
        <w:rPr>
          <w:rFonts w:hint="eastAsia"/>
          <w:sz w:val="21"/>
          <w:szCs w:val="21"/>
        </w:rPr>
        <w:t xml:space="preserve">1.转换费率 </w:t>
      </w:r>
    </w:p>
    <w:p w14:paraId="2CF1E4BB">
      <w:pPr>
        <w:pStyle w:val="8"/>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00EEA31D">
      <w:pPr>
        <w:pStyle w:val="8"/>
        <w:spacing w:before="0" w:beforeAutospacing="0" w:after="0" w:afterAutospacing="0" w:line="360" w:lineRule="auto"/>
        <w:ind w:firstLine="420"/>
        <w:rPr>
          <w:sz w:val="21"/>
          <w:szCs w:val="21"/>
        </w:rPr>
      </w:pPr>
      <w:r>
        <w:rPr>
          <w:rFonts w:hint="eastAsia"/>
          <w:sz w:val="21"/>
          <w:szCs w:val="21"/>
        </w:rPr>
        <w:t xml:space="preserve">2.其他与转换相关的事项 </w:t>
      </w:r>
    </w:p>
    <w:p w14:paraId="5051F0E4">
      <w:pPr>
        <w:pStyle w:val="8"/>
        <w:spacing w:before="0" w:beforeAutospacing="0" w:after="0" w:afterAutospacing="0" w:line="360" w:lineRule="auto"/>
        <w:ind w:firstLine="420"/>
        <w:rPr>
          <w:sz w:val="21"/>
          <w:szCs w:val="21"/>
        </w:rPr>
      </w:pPr>
      <w:r>
        <w:rPr>
          <w:rFonts w:hint="eastAsia"/>
          <w:sz w:val="21"/>
          <w:szCs w:val="21"/>
        </w:rPr>
        <w:t xml:space="preserve">1）业务规则 </w:t>
      </w:r>
    </w:p>
    <w:p w14:paraId="7736A340">
      <w:pPr>
        <w:pStyle w:val="8"/>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7FEE8880">
      <w:pPr>
        <w:pStyle w:val="8"/>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79B805A3">
      <w:pPr>
        <w:pStyle w:val="8"/>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59A85CBA">
      <w:pPr>
        <w:pStyle w:val="8"/>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78F44CC2">
      <w:pPr>
        <w:pStyle w:val="8"/>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56BDA02C">
      <w:pPr>
        <w:pStyle w:val="8"/>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58748353">
      <w:pPr>
        <w:pStyle w:val="8"/>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57499F62">
      <w:pPr>
        <w:pStyle w:val="8"/>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7E4B3004">
      <w:pPr>
        <w:pStyle w:val="8"/>
        <w:spacing w:before="0" w:beforeAutospacing="0" w:after="0" w:afterAutospacing="0" w:line="360" w:lineRule="auto"/>
        <w:ind w:firstLine="420"/>
        <w:rPr>
          <w:sz w:val="21"/>
          <w:szCs w:val="21"/>
        </w:rPr>
      </w:pPr>
      <w:r>
        <w:rPr>
          <w:rFonts w:hint="eastAsia"/>
          <w:sz w:val="21"/>
          <w:szCs w:val="21"/>
        </w:rPr>
        <w:t xml:space="preserve">3）重要提示 </w:t>
      </w:r>
    </w:p>
    <w:p w14:paraId="74F2672C">
      <w:pPr>
        <w:pStyle w:val="8"/>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1D321B42">
      <w:pPr>
        <w:pStyle w:val="8"/>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5E1AD581">
      <w:pPr>
        <w:pStyle w:val="8"/>
        <w:spacing w:before="0" w:beforeAutospacing="0" w:after="0" w:afterAutospacing="0" w:line="360" w:lineRule="auto"/>
        <w:ind w:firstLine="420"/>
        <w:rPr>
          <w:sz w:val="21"/>
          <w:szCs w:val="21"/>
        </w:rPr>
      </w:pPr>
      <w:bookmarkStart w:id="74" w:name="chapter_level1_10_59_section_4_end"/>
      <w:bookmarkEnd w:id="74"/>
      <w:r>
        <w:rPr>
          <w:rFonts w:hint="eastAsia"/>
          <w:sz w:val="21"/>
          <w:szCs w:val="21"/>
        </w:rPr>
        <w:t xml:space="preserve">③本公司管理基金的转换业务的解释权归本公司。  </w:t>
      </w:r>
    </w:p>
    <w:p w14:paraId="2D1E59FA">
      <w:pPr>
        <w:pStyle w:val="8"/>
        <w:spacing w:before="0" w:beforeAutospacing="0" w:after="0" w:afterAutospacing="0" w:line="360" w:lineRule="auto"/>
        <w:ind w:firstLine="420"/>
        <w:rPr>
          <w:sz w:val="21"/>
          <w:szCs w:val="21"/>
        </w:rPr>
      </w:pPr>
      <w:bookmarkStart w:id="75" w:name="chapter_level1_10_59_section_5"/>
      <w:bookmarkEnd w:id="75"/>
      <w:r>
        <w:rPr>
          <w:rStyle w:val="12"/>
          <w:rFonts w:hint="eastAsia"/>
          <w:sz w:val="21"/>
          <w:szCs w:val="21"/>
        </w:rPr>
        <w:t>十四、基金份额的转让</w:t>
      </w:r>
    </w:p>
    <w:p w14:paraId="077CCE15">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15DD7A9C">
      <w:pPr>
        <w:pStyle w:val="8"/>
        <w:spacing w:before="0" w:beforeAutospacing="0" w:after="0" w:afterAutospacing="0" w:line="360" w:lineRule="auto"/>
        <w:ind w:firstLine="420"/>
        <w:rPr>
          <w:sz w:val="21"/>
          <w:szCs w:val="21"/>
        </w:rPr>
      </w:pPr>
      <w:r>
        <w:rPr>
          <w:rStyle w:val="12"/>
          <w:rFonts w:hint="eastAsia"/>
          <w:sz w:val="21"/>
          <w:szCs w:val="21"/>
        </w:rPr>
        <w:t>十五、基金的非交易过户</w:t>
      </w:r>
    </w:p>
    <w:p w14:paraId="2A81B831">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38F88530">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2181EE59">
      <w:pPr>
        <w:pStyle w:val="8"/>
        <w:spacing w:before="0" w:beforeAutospacing="0" w:after="0" w:afterAutospacing="0" w:line="360" w:lineRule="auto"/>
        <w:ind w:firstLine="420"/>
        <w:rPr>
          <w:sz w:val="21"/>
          <w:szCs w:val="21"/>
        </w:rPr>
      </w:pPr>
      <w:r>
        <w:rPr>
          <w:rStyle w:val="12"/>
          <w:rFonts w:hint="eastAsia"/>
          <w:sz w:val="21"/>
          <w:szCs w:val="21"/>
        </w:rPr>
        <w:t>十六、基金的转托管</w:t>
      </w:r>
    </w:p>
    <w:p w14:paraId="43DBB88E">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76" w:name="chapter_level1_10_59_section_5_end"/>
      <w:bookmarkEnd w:id="76"/>
      <w:r>
        <w:rPr>
          <w:rFonts w:hint="eastAsia"/>
          <w:sz w:val="21"/>
          <w:szCs w:val="21"/>
        </w:rPr>
        <w:t xml:space="preserve">以按照规定的标准收取转托管费。 </w:t>
      </w:r>
    </w:p>
    <w:p w14:paraId="5502E495">
      <w:pPr>
        <w:pStyle w:val="8"/>
        <w:spacing w:before="0" w:beforeAutospacing="0" w:after="0" w:afterAutospacing="0" w:line="360" w:lineRule="auto"/>
        <w:ind w:firstLine="420"/>
        <w:rPr>
          <w:sz w:val="21"/>
          <w:szCs w:val="21"/>
        </w:rPr>
      </w:pPr>
      <w:bookmarkStart w:id="77" w:name="chapter_level1_10_59_section_6"/>
      <w:bookmarkEnd w:id="77"/>
      <w:r>
        <w:rPr>
          <w:rStyle w:val="12"/>
          <w:rFonts w:hint="eastAsia"/>
          <w:sz w:val="21"/>
          <w:szCs w:val="21"/>
        </w:rPr>
        <w:t>十七、定期定额投资计划</w:t>
      </w:r>
    </w:p>
    <w:p w14:paraId="63FD0FA5">
      <w:pPr>
        <w:pStyle w:val="8"/>
        <w:spacing w:before="0" w:beforeAutospacing="0" w:after="0" w:afterAutospacing="0" w:line="360" w:lineRule="auto"/>
        <w:ind w:firstLine="420"/>
        <w:rPr>
          <w:sz w:val="21"/>
          <w:szCs w:val="21"/>
        </w:rPr>
      </w:pPr>
      <w:r>
        <w:rPr>
          <w:rFonts w:hint="eastAsia"/>
          <w:sz w:val="21"/>
          <w:szCs w:val="21"/>
        </w:rPr>
        <w:t xml:space="preserve">本基金已于2024年4月29日开放定期定额投资业务。 </w:t>
      </w:r>
    </w:p>
    <w:p w14:paraId="446DFC37">
      <w:pPr>
        <w:pStyle w:val="8"/>
        <w:spacing w:before="0" w:beforeAutospacing="0" w:after="0" w:afterAutospacing="0" w:line="360" w:lineRule="auto"/>
        <w:ind w:firstLine="420"/>
        <w:rPr>
          <w:sz w:val="21"/>
          <w:szCs w:val="21"/>
        </w:rPr>
      </w:pPr>
      <w:r>
        <w:rPr>
          <w:rFonts w:hint="eastAsia"/>
          <w:sz w:val="21"/>
          <w:szCs w:val="21"/>
        </w:rPr>
        <w:t xml:space="preserve">（1）适用投资者范围   </w:t>
      </w:r>
    </w:p>
    <w:p w14:paraId="09FF4C5E">
      <w:pPr>
        <w:pStyle w:val="8"/>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275B9C9C">
      <w:pPr>
        <w:pStyle w:val="8"/>
        <w:spacing w:before="0" w:beforeAutospacing="0" w:after="0" w:afterAutospacing="0" w:line="360" w:lineRule="auto"/>
        <w:ind w:firstLine="420"/>
        <w:rPr>
          <w:sz w:val="21"/>
          <w:szCs w:val="21"/>
        </w:rPr>
      </w:pPr>
      <w:r>
        <w:rPr>
          <w:rFonts w:hint="eastAsia"/>
          <w:sz w:val="21"/>
          <w:szCs w:val="21"/>
        </w:rPr>
        <w:t xml:space="preserve">（2）申购费率   </w:t>
      </w:r>
    </w:p>
    <w:p w14:paraId="0831DFCD">
      <w:pPr>
        <w:pStyle w:val="8"/>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175C1E2D">
      <w:pPr>
        <w:pStyle w:val="8"/>
        <w:spacing w:before="0" w:beforeAutospacing="0" w:after="0" w:afterAutospacing="0" w:line="360" w:lineRule="auto"/>
        <w:ind w:firstLine="420"/>
        <w:rPr>
          <w:sz w:val="21"/>
          <w:szCs w:val="21"/>
        </w:rPr>
      </w:pPr>
      <w:r>
        <w:rPr>
          <w:rFonts w:hint="eastAsia"/>
          <w:sz w:val="21"/>
          <w:szCs w:val="21"/>
        </w:rPr>
        <w:t xml:space="preserve">（3）扣款日期和扣款金额   </w:t>
      </w:r>
    </w:p>
    <w:p w14:paraId="6AD5FA01">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1F67507C">
      <w:pPr>
        <w:pStyle w:val="8"/>
        <w:spacing w:before="0" w:beforeAutospacing="0" w:after="0" w:afterAutospacing="0" w:line="360" w:lineRule="auto"/>
        <w:ind w:firstLine="420"/>
        <w:rPr>
          <w:sz w:val="21"/>
          <w:szCs w:val="21"/>
        </w:rPr>
      </w:pPr>
      <w:r>
        <w:rPr>
          <w:rFonts w:hint="eastAsia"/>
          <w:sz w:val="21"/>
          <w:szCs w:val="21"/>
        </w:rPr>
        <w:t xml:space="preserve">（4）重要提示   </w:t>
      </w:r>
    </w:p>
    <w:p w14:paraId="5FA55B89">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5A4E2E48">
      <w:pPr>
        <w:pStyle w:val="8"/>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78" w:name="chapter_level1_10_59_section_6_end"/>
      <w:bookmarkEnd w:id="78"/>
      <w:r>
        <w:rPr>
          <w:rFonts w:hint="eastAsia"/>
          <w:sz w:val="21"/>
          <w:szCs w:val="21"/>
        </w:rPr>
        <w:t xml:space="preserve">在确认成功后直接计入投资者的基金账户。   </w:t>
      </w:r>
    </w:p>
    <w:p w14:paraId="184DB54A">
      <w:pPr>
        <w:pStyle w:val="8"/>
        <w:spacing w:before="0" w:beforeAutospacing="0" w:after="0" w:afterAutospacing="0" w:line="360" w:lineRule="auto"/>
        <w:ind w:firstLine="420"/>
        <w:rPr>
          <w:sz w:val="21"/>
          <w:szCs w:val="21"/>
        </w:rPr>
      </w:pPr>
      <w:bookmarkStart w:id="79" w:name="chapter_level1_10_59_section_7"/>
      <w:bookmarkEnd w:id="79"/>
      <w:r>
        <w:rPr>
          <w:rStyle w:val="12"/>
          <w:rFonts w:hint="eastAsia"/>
          <w:sz w:val="21"/>
          <w:szCs w:val="21"/>
        </w:rPr>
        <w:t>十八、基金份额的冻结、解冻与质押</w:t>
      </w:r>
    </w:p>
    <w:p w14:paraId="4C2703C0">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D28DA27">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5C6A3138">
      <w:pPr>
        <w:pStyle w:val="8"/>
        <w:spacing w:before="0" w:beforeAutospacing="0" w:after="0" w:afterAutospacing="0" w:line="360" w:lineRule="auto"/>
        <w:ind w:firstLine="420"/>
        <w:rPr>
          <w:sz w:val="21"/>
          <w:szCs w:val="21"/>
        </w:rPr>
      </w:pPr>
      <w:r>
        <w:rPr>
          <w:rStyle w:val="12"/>
          <w:rFonts w:hint="eastAsia"/>
          <w:sz w:val="21"/>
          <w:szCs w:val="21"/>
        </w:rPr>
        <w:t>十九、实施侧袋机制期间本基金的申购与赎回</w:t>
      </w:r>
    </w:p>
    <w:p w14:paraId="0B46ABBD">
      <w:pPr>
        <w:pStyle w:val="8"/>
        <w:spacing w:before="0" w:beforeAutospacing="0" w:after="0" w:afterAutospacing="0" w:line="360" w:lineRule="auto"/>
        <w:ind w:firstLine="420"/>
        <w:rPr>
          <w:sz w:val="21"/>
          <w:szCs w:val="21"/>
        </w:rPr>
      </w:pPr>
      <w:r>
        <w:rPr>
          <w:rFonts w:hint="eastAsia"/>
          <w:sz w:val="21"/>
          <w:szCs w:val="21"/>
        </w:rPr>
        <w:t>本基金实施侧袋机制的，本基金的申购和赎回安排详见招募说明书“侧袋机制”部分的</w:t>
      </w:r>
      <w:bookmarkStart w:id="80" w:name="chapter_level1_10_59_section_7_end"/>
      <w:bookmarkEnd w:id="80"/>
      <w:r>
        <w:rPr>
          <w:rFonts w:hint="eastAsia"/>
          <w:sz w:val="21"/>
          <w:szCs w:val="21"/>
        </w:rPr>
        <w:t xml:space="preserve">规定或相关公告。 </w:t>
      </w:r>
    </w:p>
    <w:p w14:paraId="51FBF761">
      <w:pPr>
        <w:widowControl/>
        <w:jc w:val="left"/>
        <w:rPr>
          <w:rFonts w:ascii="宋体" w:hAnsi="宋体" w:eastAsia="宋体"/>
        </w:rPr>
      </w:pPr>
      <w:r>
        <w:rPr>
          <w:rFonts w:ascii="宋体" w:hAnsi="宋体" w:eastAsia="宋体"/>
        </w:rPr>
        <w:br w:type="page"/>
      </w:r>
    </w:p>
    <w:p w14:paraId="3D561CA2">
      <w:pPr>
        <w:pStyle w:val="2"/>
        <w:jc w:val="center"/>
        <w:rPr>
          <w:rFonts w:ascii="宋体" w:hAnsi="宋体" w:eastAsia="宋体"/>
          <w:sz w:val="30"/>
        </w:rPr>
      </w:pPr>
      <w:bookmarkStart w:id="81" w:name="_Toc207939904"/>
      <w:bookmarkStart w:id="82" w:name="chapter_level1_11_60"/>
      <w:r>
        <w:rPr>
          <w:rFonts w:hint="eastAsia" w:ascii="宋体" w:hAnsi="宋体" w:eastAsia="宋体"/>
          <w:sz w:val="30"/>
        </w:rPr>
        <w:t>第</w:t>
      </w:r>
      <w:r>
        <w:rPr>
          <w:rFonts w:hint="eastAsia" w:ascii="宋体" w:hAnsi="宋体" w:eastAsia="宋体"/>
          <w:sz w:val="30"/>
          <w:lang w:val="en-US" w:eastAsia="zh-CN"/>
        </w:rPr>
        <w:t>九</w:t>
      </w:r>
      <w:r>
        <w:rPr>
          <w:rFonts w:hint="eastAsia" w:ascii="宋体" w:hAnsi="宋体" w:eastAsia="宋体"/>
          <w:sz w:val="30"/>
        </w:rPr>
        <w:t>部分  基金的投资</w:t>
      </w:r>
      <w:bookmarkEnd w:id="81"/>
      <w:bookmarkEnd w:id="82"/>
    </w:p>
    <w:p w14:paraId="7EB366CF">
      <w:pPr>
        <w:pStyle w:val="8"/>
        <w:spacing w:before="0" w:beforeAutospacing="0" w:after="0" w:afterAutospacing="0" w:line="360" w:lineRule="auto"/>
        <w:ind w:firstLine="420"/>
        <w:rPr>
          <w:sz w:val="21"/>
          <w:szCs w:val="21"/>
        </w:rPr>
      </w:pPr>
      <w:bookmarkStart w:id="83" w:name="chapter_level1_11_60_section_1"/>
      <w:bookmarkEnd w:id="83"/>
      <w:r>
        <w:rPr>
          <w:rStyle w:val="12"/>
          <w:rFonts w:hint="eastAsia"/>
          <w:sz w:val="21"/>
          <w:szCs w:val="21"/>
        </w:rPr>
        <w:t>一、投资目标</w:t>
      </w:r>
    </w:p>
    <w:p w14:paraId="780506DD">
      <w:pPr>
        <w:pStyle w:val="8"/>
        <w:spacing w:before="0" w:beforeAutospacing="0" w:after="0" w:afterAutospacing="0" w:line="360" w:lineRule="auto"/>
        <w:ind w:firstLine="420"/>
        <w:rPr>
          <w:sz w:val="21"/>
          <w:szCs w:val="21"/>
        </w:rPr>
      </w:pPr>
      <w:bookmarkStart w:id="84" w:name="field_60_investmenttarget_1_start"/>
      <w:bookmarkEnd w:id="84"/>
      <w:r>
        <w:rPr>
          <w:rFonts w:hint="eastAsia" w:ascii="宋体" w:hAnsi="Times New Roman" w:cs="宋体"/>
          <w:sz w:val="21"/>
          <w:szCs w:val="21"/>
        </w:rPr>
        <w:t>通过主要投资于目标ETF，</w:t>
      </w:r>
      <w:r>
        <w:rPr>
          <w:rFonts w:ascii="Times New Roman" w:hAnsi="Times New Roman" w:eastAsia="宋体" w:cs="Times New Roman"/>
          <w:kern w:val="0"/>
          <w:sz w:val="21"/>
          <w:szCs w:val="21"/>
        </w:rPr>
        <w:t>紧密跟踪标的指数</w:t>
      </w:r>
      <w:r>
        <w:rPr>
          <w:rFonts w:hint="eastAsia" w:ascii="宋体" w:hAnsi="Times New Roman" w:cs="宋体"/>
          <w:sz w:val="21"/>
          <w:szCs w:val="21"/>
        </w:rPr>
        <w:t>即国证粮食产业指数的表现</w:t>
      </w:r>
      <w:r>
        <w:rPr>
          <w:rFonts w:ascii="Times New Roman" w:hAnsi="Times New Roman" w:eastAsia="宋体" w:cs="Times New Roman"/>
          <w:kern w:val="0"/>
          <w:sz w:val="21"/>
          <w:szCs w:val="21"/>
        </w:rPr>
        <w:t>，追求跟踪偏离度和跟踪误差的最小化。</w:t>
      </w:r>
      <w:r>
        <w:rPr>
          <w:rFonts w:hint="eastAsia"/>
          <w:sz w:val="21"/>
          <w:szCs w:val="21"/>
        </w:rPr>
        <w:t xml:space="preserve"> </w:t>
      </w:r>
      <w:bookmarkStart w:id="85" w:name="field_60_investmenttarget_1_end"/>
      <w:bookmarkEnd w:id="85"/>
      <w:r>
        <w:rPr>
          <w:rFonts w:hint="eastAsia"/>
          <w:sz w:val="21"/>
          <w:szCs w:val="21"/>
        </w:rPr>
        <w:t xml:space="preserve"> </w:t>
      </w:r>
    </w:p>
    <w:p w14:paraId="331BA508">
      <w:pPr>
        <w:pStyle w:val="8"/>
        <w:spacing w:before="0" w:beforeAutospacing="0" w:after="0" w:afterAutospacing="0" w:line="360" w:lineRule="auto"/>
        <w:ind w:firstLine="420"/>
        <w:rPr>
          <w:sz w:val="21"/>
          <w:szCs w:val="21"/>
        </w:rPr>
      </w:pPr>
      <w:r>
        <w:rPr>
          <w:rStyle w:val="12"/>
          <w:rFonts w:hint="eastAsia"/>
          <w:sz w:val="21"/>
          <w:szCs w:val="21"/>
        </w:rPr>
        <w:t>二、投资范围</w:t>
      </w:r>
    </w:p>
    <w:p w14:paraId="3038476D">
      <w:pPr>
        <w:pStyle w:val="8"/>
        <w:spacing w:before="0" w:beforeAutospacing="0" w:after="0" w:afterAutospacing="0" w:line="360" w:lineRule="auto"/>
        <w:ind w:firstLine="420"/>
        <w:rPr>
          <w:sz w:val="21"/>
          <w:szCs w:val="21"/>
        </w:rPr>
      </w:pPr>
      <w:bookmarkStart w:id="86" w:name="field_60_investmentrange_1_start"/>
      <w:bookmarkEnd w:id="86"/>
      <w:r>
        <w:rPr>
          <w:rFonts w:hint="eastAsia"/>
          <w:sz w:val="21"/>
          <w:szCs w:val="21"/>
        </w:rPr>
        <w:t>本基金主要投资于</w:t>
      </w:r>
      <w:r>
        <w:rPr>
          <w:rFonts w:hint="eastAsia" w:ascii="宋体" w:hAnsi="Times New Roman" w:eastAsia="宋体" w:cs="宋体"/>
          <w:kern w:val="0"/>
          <w:sz w:val="21"/>
          <w:szCs w:val="21"/>
        </w:rPr>
        <w:t>目标ETF、</w:t>
      </w:r>
      <w:r>
        <w:rPr>
          <w:rFonts w:hint="eastAsia"/>
          <w:sz w:val="21"/>
          <w:szCs w:val="21"/>
        </w:rPr>
        <w:t xml:space="preserve">标的指数成份股和备选成份股（含存托凭证）。  </w:t>
      </w:r>
    </w:p>
    <w:p w14:paraId="5946A6D8">
      <w:pPr>
        <w:pStyle w:val="8"/>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 </w:t>
      </w:r>
    </w:p>
    <w:p w14:paraId="0C3537C0">
      <w:pPr>
        <w:pStyle w:val="8"/>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本基金可根据法律法规的规定参与融资及转融通证券出借业务。未来在法律法规允许的前提下，本基金可根据相关法律法规规定参与融券业务。 </w:t>
      </w:r>
    </w:p>
    <w:p w14:paraId="63603EA6">
      <w:pPr>
        <w:pStyle w:val="8"/>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本基金根据相关法律法规或中国证监会要求履行适当程序后，还可以投资于法律法规或中国证监会未来允许基金投资的其他金融工具。 </w:t>
      </w:r>
    </w:p>
    <w:p w14:paraId="1AEC2DC8">
      <w:pPr>
        <w:pStyle w:val="8"/>
        <w:spacing w:before="0" w:beforeAutospacing="0" w:after="0" w:afterAutospacing="0" w:line="360" w:lineRule="auto"/>
        <w:ind w:firstLine="420"/>
        <w:rPr>
          <w:sz w:val="21"/>
          <w:szCs w:val="21"/>
        </w:rPr>
      </w:pPr>
      <w:r>
        <w:rPr>
          <w:rFonts w:hint="eastAsia" w:ascii="宋体" w:hAnsi="Times New Roman" w:eastAsia="宋体" w:cs="宋体"/>
          <w:kern w:val="0"/>
          <w:sz w:val="21"/>
          <w:szCs w:val="21"/>
        </w:rPr>
        <w:t>本基金投资于目标ETF的资产比例不低于基金资产净值的</w:t>
      </w:r>
      <w:r>
        <w:rPr>
          <w:rFonts w:ascii="Times New Roman" w:hAnsi="Times New Roman" w:eastAsia="宋体" w:cs="Times New Roman"/>
          <w:kern w:val="0"/>
          <w:sz w:val="21"/>
          <w:szCs w:val="21"/>
        </w:rPr>
        <w:t>90%，</w:t>
      </w:r>
      <w:r>
        <w:rPr>
          <w:rFonts w:hint="eastAsia" w:ascii="宋体" w:hAnsi="Times New Roman" w:cs="宋体"/>
          <w:sz w:val="21"/>
          <w:szCs w:val="21"/>
        </w:rPr>
        <w:t>且</w:t>
      </w:r>
      <w:r>
        <w:rPr>
          <w:rFonts w:ascii="Times New Roman" w:hAnsi="Times New Roman" w:eastAsia="宋体" w:cs="Times New Roman"/>
          <w:kern w:val="0"/>
          <w:sz w:val="21"/>
          <w:szCs w:val="21"/>
        </w:rPr>
        <w:t>不低于非现金基金资产的80%，投资港股通标的股票的比例不超过本基金股票资产的10%；</w:t>
      </w:r>
      <w:r>
        <w:rPr>
          <w:rFonts w:hint="eastAsia"/>
          <w:sz w:val="21"/>
          <w:szCs w:val="21"/>
        </w:rPr>
        <w:t xml:space="preserve">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0AC0602B">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87" w:name="field_60_investmentrange_1_end"/>
      <w:bookmarkEnd w:id="87"/>
      <w:r>
        <w:rPr>
          <w:rFonts w:hint="eastAsia"/>
          <w:sz w:val="21"/>
          <w:szCs w:val="21"/>
        </w:rPr>
        <w:t xml:space="preserve"> </w:t>
      </w:r>
    </w:p>
    <w:p w14:paraId="3EC4DE21">
      <w:pPr>
        <w:pStyle w:val="8"/>
        <w:spacing w:before="0" w:beforeAutospacing="0" w:after="0" w:afterAutospacing="0" w:line="360" w:lineRule="auto"/>
        <w:ind w:firstLine="420"/>
        <w:rPr>
          <w:sz w:val="21"/>
          <w:szCs w:val="21"/>
        </w:rPr>
      </w:pPr>
      <w:r>
        <w:rPr>
          <w:rStyle w:val="12"/>
          <w:rFonts w:hint="eastAsia"/>
          <w:sz w:val="21"/>
          <w:szCs w:val="21"/>
        </w:rPr>
        <w:t>三、投资策略</w:t>
      </w:r>
    </w:p>
    <w:p w14:paraId="5E801621">
      <w:pPr>
        <w:adjustRightInd w:val="0"/>
        <w:snapToGrid w:val="0"/>
        <w:spacing w:line="360" w:lineRule="auto"/>
        <w:ind w:firstLine="420" w:firstLineChars="200"/>
        <w:rPr>
          <w:rFonts w:ascii="宋体" w:hAnsi="Times New Roman" w:eastAsia="宋体" w:cs="宋体"/>
          <w:kern w:val="0"/>
          <w:sz w:val="21"/>
          <w:szCs w:val="21"/>
        </w:rPr>
      </w:pPr>
      <w:bookmarkStart w:id="88" w:name="field_60_investmentstrategy_1_start"/>
      <w:bookmarkEnd w:id="88"/>
      <w:r>
        <w:rPr>
          <w:rFonts w:hint="eastAsia" w:ascii="宋体" w:hAnsi="Times New Roman" w:eastAsia="宋体" w:cs="宋体"/>
          <w:kern w:val="0"/>
          <w:sz w:val="21"/>
          <w:szCs w:val="21"/>
        </w:rPr>
        <w:t>本基金主要通过投资于目标ETF，实现对指数的紧密跟踪。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1429B5DC">
      <w:pPr>
        <w:adjustRightInd w:val="0"/>
        <w:snapToGrid w:val="0"/>
        <w:spacing w:line="360" w:lineRule="auto"/>
        <w:ind w:left="0" w:leftChars="0" w:firstLine="420" w:firstLineChars="200"/>
        <w:rPr>
          <w:rFonts w:ascii="宋体" w:hAnsi="Times New Roman" w:eastAsia="宋体" w:cs="宋体"/>
          <w:kern w:val="0"/>
          <w:sz w:val="21"/>
          <w:szCs w:val="21"/>
        </w:rPr>
      </w:pPr>
      <w:r>
        <w:rPr>
          <w:rFonts w:hint="eastAsia" w:ascii="宋体" w:hAnsi="Times New Roman" w:eastAsia="宋体" w:cs="宋体"/>
          <w:kern w:val="0"/>
          <w:sz w:val="21"/>
          <w:szCs w:val="21"/>
        </w:rPr>
        <w:t>1、</w:t>
      </w:r>
      <w:r>
        <w:rPr>
          <w:rFonts w:hint="eastAsia" w:asciiTheme="minorEastAsia" w:hAnsiTheme="minorEastAsia"/>
          <w:sz w:val="21"/>
          <w:szCs w:val="21"/>
        </w:rPr>
        <w:t>资产配置策略</w:t>
      </w:r>
    </w:p>
    <w:p w14:paraId="1DCDA072">
      <w:pPr>
        <w:adjustRightInd w:val="0"/>
        <w:snapToGrid w:val="0"/>
        <w:spacing w:line="360" w:lineRule="auto"/>
        <w:ind w:left="0" w:leftChars="0" w:firstLine="420" w:firstLineChars="200"/>
        <w:rPr>
          <w:rFonts w:ascii="宋体" w:hAnsi="Times New Roman" w:eastAsia="宋体" w:cs="宋体"/>
          <w:kern w:val="0"/>
          <w:sz w:val="21"/>
          <w:szCs w:val="21"/>
        </w:rPr>
      </w:pPr>
      <w:r>
        <w:rPr>
          <w:rFonts w:hint="eastAsia" w:ascii="宋体" w:hAnsi="Times New Roman" w:eastAsia="宋体" w:cs="宋体"/>
          <w:kern w:val="0"/>
          <w:sz w:val="21"/>
          <w:szCs w:val="21"/>
        </w:rPr>
        <w:t>为实现投资目标，本基金将以不低于基金资产净值</w:t>
      </w:r>
      <w:r>
        <w:rPr>
          <w:rFonts w:ascii="宋体" w:hAnsi="Times New Roman" w:eastAsia="宋体" w:cs="宋体"/>
          <w:kern w:val="0"/>
          <w:sz w:val="21"/>
          <w:szCs w:val="21"/>
        </w:rPr>
        <w:t>90%的资产投资于目标ETF。其余资产可投资于标的指数成份股、备选成份股（含存托凭证）、依法发行上市的非成份股（</w:t>
      </w:r>
      <w:r>
        <w:rPr>
          <w:rFonts w:hint="eastAsia" w:ascii="宋体" w:hAnsi="Times New Roman" w:eastAsia="宋体" w:cs="宋体"/>
          <w:kern w:val="0"/>
          <w:sz w:val="21"/>
          <w:szCs w:val="21"/>
        </w:rPr>
        <w:t>包括主板、创业板及其他经中国证监会核准或注册上市的股票、存托凭证）、港股通标的股票、债券、资产支持证券、衍生工具、债券回购、货币市场工具以及法律法规或中国证监会允许基金投资的其他金融工具（但须符合中国证监会相关规定），其目的是为了使本基金在保障日常申购赎回的前提下，更好地跟踪标的指数。</w:t>
      </w:r>
    </w:p>
    <w:p w14:paraId="2EEFA666">
      <w:pPr>
        <w:adjustRightInd w:val="0"/>
        <w:snapToGrid w:val="0"/>
        <w:spacing w:line="360" w:lineRule="auto"/>
        <w:ind w:left="0" w:leftChars="0" w:firstLine="420" w:firstLineChars="200"/>
        <w:rPr>
          <w:rFonts w:ascii="宋体" w:hAnsi="Times New Roman" w:eastAsia="宋体" w:cs="宋体"/>
          <w:kern w:val="0"/>
          <w:sz w:val="21"/>
          <w:szCs w:val="21"/>
        </w:rPr>
      </w:pPr>
      <w:r>
        <w:rPr>
          <w:rFonts w:ascii="宋体" w:hAnsi="Times New Roman" w:eastAsia="宋体" w:cs="宋体"/>
          <w:kern w:val="0"/>
          <w:sz w:val="21"/>
          <w:szCs w:val="21"/>
        </w:rPr>
        <w:t>2、基金投资策略</w:t>
      </w:r>
    </w:p>
    <w:p w14:paraId="7E2023C2">
      <w:pPr>
        <w:adjustRightInd w:val="0"/>
        <w:snapToGrid w:val="0"/>
        <w:spacing w:line="360" w:lineRule="auto"/>
        <w:ind w:left="0" w:leftChars="0" w:firstLine="420" w:firstLineChars="200"/>
        <w:rPr>
          <w:rFonts w:ascii="宋体" w:hAnsi="Times New Roman" w:eastAsia="宋体" w:cs="宋体"/>
          <w:kern w:val="0"/>
          <w:sz w:val="21"/>
          <w:szCs w:val="21"/>
        </w:rPr>
      </w:pPr>
      <w:r>
        <w:rPr>
          <w:rFonts w:hint="eastAsia" w:ascii="宋体" w:hAnsi="Times New Roman" w:eastAsia="宋体" w:cs="宋体"/>
          <w:kern w:val="0"/>
          <w:sz w:val="21"/>
          <w:szCs w:val="21"/>
        </w:rPr>
        <w:t>本基金投资目标</w:t>
      </w:r>
      <w:r>
        <w:rPr>
          <w:rFonts w:ascii="宋体" w:hAnsi="Times New Roman" w:eastAsia="宋体" w:cs="宋体"/>
          <w:kern w:val="0"/>
          <w:sz w:val="21"/>
          <w:szCs w:val="21"/>
        </w:rPr>
        <w:t>ETF的</w:t>
      </w:r>
      <w:r>
        <w:rPr>
          <w:rFonts w:hint="eastAsia" w:ascii="宋体" w:hAnsi="Times New Roman" w:eastAsia="宋体" w:cs="宋体"/>
          <w:kern w:val="0"/>
          <w:sz w:val="21"/>
          <w:szCs w:val="21"/>
        </w:rPr>
        <w:t>两种方式如下：</w:t>
      </w:r>
    </w:p>
    <w:p w14:paraId="750458A5">
      <w:pPr>
        <w:adjustRightInd w:val="0"/>
        <w:snapToGrid w:val="0"/>
        <w:spacing w:line="360" w:lineRule="auto"/>
        <w:ind w:left="0" w:leftChars="0" w:firstLine="420" w:firstLineChars="200"/>
        <w:rPr>
          <w:rFonts w:ascii="宋体" w:hAnsi="Times New Roman" w:eastAsia="宋体" w:cs="宋体"/>
          <w:kern w:val="0"/>
          <w:sz w:val="21"/>
          <w:szCs w:val="21"/>
        </w:rPr>
      </w:pPr>
      <w:r>
        <w:rPr>
          <w:rFonts w:ascii="宋体" w:hAnsi="Times New Roman" w:eastAsia="宋体" w:cs="宋体"/>
          <w:kern w:val="0"/>
          <w:sz w:val="21"/>
          <w:szCs w:val="21"/>
        </w:rPr>
        <w:t>1）申购和赎回：目标ETF开放申购赎回后，按照目标ETF法律文件约定的方式申赎目标ETF。</w:t>
      </w:r>
    </w:p>
    <w:p w14:paraId="60934E95">
      <w:pPr>
        <w:adjustRightInd w:val="0"/>
        <w:snapToGrid w:val="0"/>
        <w:spacing w:line="360" w:lineRule="auto"/>
        <w:ind w:left="0" w:leftChars="0" w:firstLine="420" w:firstLineChars="200"/>
        <w:rPr>
          <w:rFonts w:ascii="宋体" w:hAnsi="Times New Roman" w:eastAsia="宋体" w:cs="宋体"/>
          <w:kern w:val="0"/>
          <w:sz w:val="21"/>
          <w:szCs w:val="21"/>
        </w:rPr>
      </w:pPr>
      <w:r>
        <w:rPr>
          <w:rFonts w:ascii="宋体" w:hAnsi="Times New Roman" w:eastAsia="宋体" w:cs="宋体"/>
          <w:kern w:val="0"/>
          <w:sz w:val="21"/>
          <w:szCs w:val="21"/>
        </w:rPr>
        <w:t>2）二级市场方式：目标ETF上市交易后，在二级市场进行目标ETF份额的交易。</w:t>
      </w:r>
    </w:p>
    <w:p w14:paraId="419A5809">
      <w:pPr>
        <w:adjustRightInd w:val="0"/>
        <w:snapToGrid w:val="0"/>
        <w:spacing w:line="360" w:lineRule="auto"/>
        <w:ind w:left="0" w:leftChars="0" w:firstLine="420" w:firstLineChars="200"/>
        <w:rPr>
          <w:rFonts w:ascii="宋体" w:hAnsi="Times New Roman" w:eastAsia="宋体" w:cs="宋体"/>
          <w:kern w:val="0"/>
          <w:sz w:val="21"/>
          <w:szCs w:val="21"/>
        </w:rPr>
      </w:pPr>
      <w:r>
        <w:rPr>
          <w:rFonts w:hint="eastAsia" w:ascii="宋体" w:hAnsi="Times New Roman" w:eastAsia="宋体" w:cs="宋体"/>
          <w:kern w:val="0"/>
          <w:sz w:val="21"/>
          <w:szCs w:val="21"/>
        </w:rPr>
        <w:t>当目标</w:t>
      </w:r>
      <w:r>
        <w:rPr>
          <w:rFonts w:ascii="宋体" w:hAnsi="Times New Roman" w:eastAsia="宋体" w:cs="宋体"/>
          <w:kern w:val="0"/>
          <w:sz w:val="21"/>
          <w:szCs w:val="21"/>
        </w:rPr>
        <w:t>ETF申购、赎回或交易模式进行了变更或调整，本基金将在履行适当程序后</w:t>
      </w:r>
      <w:r>
        <w:rPr>
          <w:rFonts w:hint="eastAsia" w:ascii="宋体" w:hAnsi="Times New Roman" w:eastAsia="宋体" w:cs="宋体"/>
          <w:kern w:val="0"/>
          <w:sz w:val="21"/>
          <w:szCs w:val="21"/>
        </w:rPr>
        <w:t>，作相应的变更或调整。</w:t>
      </w:r>
    </w:p>
    <w:p w14:paraId="6049D15F">
      <w:pPr>
        <w:adjustRightInd w:val="0"/>
        <w:snapToGrid w:val="0"/>
        <w:spacing w:line="360" w:lineRule="auto"/>
        <w:ind w:left="0" w:leftChars="0" w:firstLine="420" w:firstLineChars="200"/>
        <w:rPr>
          <w:rFonts w:ascii="宋体" w:hAnsi="Times New Roman" w:eastAsia="宋体" w:cs="宋体"/>
          <w:kern w:val="0"/>
          <w:sz w:val="21"/>
          <w:szCs w:val="21"/>
        </w:rPr>
      </w:pPr>
      <w:r>
        <w:rPr>
          <w:rFonts w:hint="eastAsia" w:ascii="宋体" w:hAnsi="Times New Roman" w:eastAsia="宋体" w:cs="宋体"/>
          <w:kern w:val="0"/>
          <w:sz w:val="21"/>
          <w:szCs w:val="21"/>
        </w:rPr>
        <w:t>在投资运作过程中，本基金将在综合考虑合规、风险、效率、成本等因素的基础上，灵活选用上述方式进行目标</w:t>
      </w:r>
      <w:r>
        <w:rPr>
          <w:rFonts w:ascii="宋体" w:hAnsi="Times New Roman" w:eastAsia="宋体" w:cs="宋体"/>
          <w:kern w:val="0"/>
          <w:sz w:val="21"/>
          <w:szCs w:val="21"/>
        </w:rPr>
        <w:t>ETF的交易。</w:t>
      </w:r>
    </w:p>
    <w:p w14:paraId="35F42FDF">
      <w:pPr>
        <w:adjustRightInd w:val="0"/>
        <w:snapToGrid w:val="0"/>
        <w:spacing w:line="360" w:lineRule="auto"/>
        <w:ind w:left="0" w:leftChars="0" w:firstLine="420" w:firstLineChars="200"/>
        <w:rPr>
          <w:rFonts w:ascii="宋体" w:hAnsi="Times New Roman" w:eastAsia="宋体" w:cs="宋体"/>
          <w:kern w:val="0"/>
          <w:sz w:val="21"/>
          <w:szCs w:val="21"/>
        </w:rPr>
      </w:pPr>
      <w:r>
        <w:rPr>
          <w:rFonts w:ascii="宋体" w:hAnsi="Times New Roman" w:eastAsia="宋体" w:cs="宋体"/>
          <w:kern w:val="0"/>
          <w:sz w:val="21"/>
          <w:szCs w:val="21"/>
        </w:rPr>
        <w:t xml:space="preserve">3、成份股、备选成份股投资策略 </w:t>
      </w:r>
    </w:p>
    <w:p w14:paraId="5946F12F">
      <w:pPr>
        <w:adjustRightInd w:val="0"/>
        <w:snapToGrid w:val="0"/>
        <w:spacing w:line="360" w:lineRule="auto"/>
        <w:ind w:left="0" w:leftChars="0" w:firstLine="420" w:firstLineChars="200"/>
        <w:rPr>
          <w:rFonts w:ascii="宋体" w:hAnsi="Times New Roman" w:eastAsia="宋体" w:cs="宋体"/>
          <w:kern w:val="0"/>
          <w:sz w:val="21"/>
          <w:szCs w:val="21"/>
        </w:rPr>
      </w:pPr>
      <w:r>
        <w:rPr>
          <w:rFonts w:hint="eastAsia" w:ascii="宋体" w:hAnsi="Times New Roman" w:eastAsia="宋体" w:cs="宋体"/>
          <w:kern w:val="0"/>
          <w:sz w:val="21"/>
          <w:szCs w:val="21"/>
        </w:rPr>
        <w:t>本基金对成份股、备选成份股的投资目的是为准备构建股票组合以申购目标</w:t>
      </w:r>
      <w:r>
        <w:rPr>
          <w:rFonts w:ascii="宋体" w:hAnsi="Times New Roman" w:eastAsia="宋体" w:cs="宋体"/>
          <w:kern w:val="0"/>
          <w:sz w:val="21"/>
          <w:szCs w:val="21"/>
        </w:rPr>
        <w:t>ETF。因此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w:t>
      </w:r>
    </w:p>
    <w:p w14:paraId="51146697">
      <w:pPr>
        <w:adjustRightInd w:val="0"/>
        <w:snapToGrid w:val="0"/>
        <w:spacing w:line="360" w:lineRule="auto"/>
        <w:ind w:firstLine="420" w:firstLineChars="200"/>
        <w:rPr>
          <w:rFonts w:ascii="Times New Roman" w:hAnsi="Times New Roman" w:eastAsia="宋体" w:cs="Times New Roman"/>
          <w:kern w:val="0"/>
          <w:sz w:val="21"/>
          <w:szCs w:val="21"/>
        </w:rPr>
      </w:pPr>
      <w:r>
        <w:rPr>
          <w:rFonts w:hint="eastAsia" w:ascii="宋体" w:hAnsi="Times New Roman" w:eastAsia="宋体" w:cs="宋体"/>
          <w:kern w:val="0"/>
          <w:sz w:val="21"/>
          <w:szCs w:val="21"/>
        </w:rPr>
        <w:t>4</w:t>
      </w:r>
      <w:r>
        <w:rPr>
          <w:rFonts w:ascii="Times New Roman" w:hAnsi="Times New Roman" w:eastAsia="宋体" w:cs="Times New Roman"/>
          <w:kern w:val="0"/>
          <w:sz w:val="21"/>
          <w:szCs w:val="21"/>
        </w:rPr>
        <w:t>、债券（除可转换债券和可交换债券）投资策略</w:t>
      </w:r>
    </w:p>
    <w:p w14:paraId="5DE51FB7">
      <w:pPr>
        <w:adjustRightInd w:val="0"/>
        <w:snapToGri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本基金债券投资组合将着重考虑基金的流动性管理及策略性投资的需要进行配置。债券投资的目的是保证基金资产流动性，有效利用基金资产，提高基金资产的投资收益。</w:t>
      </w:r>
    </w:p>
    <w:p w14:paraId="304A7113">
      <w:pPr>
        <w:adjustRightInd w:val="0"/>
        <w:snapToGrid w:val="0"/>
        <w:spacing w:line="360" w:lineRule="auto"/>
        <w:ind w:firstLine="369" w:firstLineChars="176"/>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5</w:t>
      </w:r>
      <w:r>
        <w:rPr>
          <w:rFonts w:ascii="Times New Roman" w:hAnsi="Times New Roman" w:eastAsia="宋体" w:cs="Times New Roman"/>
          <w:kern w:val="0"/>
          <w:sz w:val="21"/>
          <w:szCs w:val="21"/>
        </w:rPr>
        <w:t>、港股通标的股票投资策略</w:t>
      </w:r>
    </w:p>
    <w:p w14:paraId="1D0C8A44">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kern w:val="0"/>
          <w:sz w:val="21"/>
          <w:szCs w:val="21"/>
        </w:rPr>
        <w:t>在特殊情况下，本基金将少量投资于港股通标的股票以进行替代复制。对于同时有A股、H股的指数成份公司，如果该公司A股长期停牌，组合无法买入该股票时，可以买入该公司H股进行替代。</w:t>
      </w:r>
    </w:p>
    <w:p w14:paraId="2E6BD91E">
      <w:pPr>
        <w:adjustRightInd w:val="0"/>
        <w:snapToGrid w:val="0"/>
        <w:spacing w:line="360" w:lineRule="auto"/>
        <w:ind w:firstLine="369" w:firstLineChars="176"/>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6</w:t>
      </w:r>
      <w:r>
        <w:rPr>
          <w:rFonts w:ascii="Times New Roman" w:hAnsi="Times New Roman" w:eastAsia="宋体" w:cs="Times New Roman"/>
          <w:kern w:val="0"/>
          <w:sz w:val="21"/>
          <w:szCs w:val="21"/>
        </w:rPr>
        <w:t>、资产支持证券的投资策略</w:t>
      </w:r>
    </w:p>
    <w:p w14:paraId="52C27A77">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kern w:val="0"/>
          <w:sz w:val="21"/>
          <w:szCs w:val="21"/>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60F49662">
      <w:pPr>
        <w:adjustRightInd w:val="0"/>
        <w:snapToGrid w:val="0"/>
        <w:spacing w:line="360" w:lineRule="auto"/>
        <w:ind w:firstLine="369" w:firstLineChars="176"/>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7</w:t>
      </w:r>
      <w:r>
        <w:rPr>
          <w:rFonts w:ascii="Times New Roman" w:hAnsi="Times New Roman" w:eastAsia="宋体" w:cs="Times New Roman"/>
          <w:kern w:val="0"/>
          <w:sz w:val="21"/>
          <w:szCs w:val="21"/>
        </w:rPr>
        <w:t>、可转换债券和</w:t>
      </w:r>
      <w:r>
        <w:rPr>
          <w:rFonts w:ascii="Times New Roman" w:hAnsi="Times New Roman" w:eastAsia="宋体" w:cs="Times New Roman"/>
          <w:sz w:val="21"/>
          <w:szCs w:val="21"/>
        </w:rPr>
        <w:t>可交换债券</w:t>
      </w:r>
      <w:r>
        <w:rPr>
          <w:rFonts w:ascii="Times New Roman" w:hAnsi="Times New Roman" w:eastAsia="宋体" w:cs="Times New Roman"/>
          <w:kern w:val="0"/>
          <w:sz w:val="21"/>
          <w:szCs w:val="21"/>
        </w:rPr>
        <w:t>投资策略</w:t>
      </w:r>
    </w:p>
    <w:p w14:paraId="7380C071">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kern w:val="0"/>
          <w:sz w:val="21"/>
          <w:szCs w:val="21"/>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0A5ED1D2">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sz w:val="21"/>
          <w:szCs w:val="21"/>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2DCC9568">
      <w:pPr>
        <w:adjustRightInd w:val="0"/>
        <w:snapToGrid w:val="0"/>
        <w:spacing w:line="360" w:lineRule="auto"/>
        <w:ind w:firstLine="369" w:firstLineChars="176"/>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8</w:t>
      </w:r>
      <w:r>
        <w:rPr>
          <w:rFonts w:ascii="Times New Roman" w:hAnsi="Times New Roman" w:eastAsia="宋体" w:cs="Times New Roman"/>
          <w:kern w:val="0"/>
          <w:sz w:val="21"/>
          <w:szCs w:val="21"/>
        </w:rPr>
        <w:t>、衍生品投资策略</w:t>
      </w:r>
    </w:p>
    <w:p w14:paraId="5A7C5120">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kern w:val="0"/>
          <w:sz w:val="21"/>
          <w:szCs w:val="21"/>
        </w:rPr>
        <w:t>（1）股指期货、国债期货投资策略</w:t>
      </w:r>
    </w:p>
    <w:p w14:paraId="6B62C3A5">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kern w:val="0"/>
          <w:sz w:val="21"/>
          <w:szCs w:val="21"/>
        </w:rPr>
        <w:t>本基金投资股指期货将根据风险管理的原则，以套期保值为目的，力争利用股指期货的杠杆作用，降低股票仓位频繁调整的交易成本和跟踪误差，达到有效跟踪标的指数的目的。</w:t>
      </w:r>
    </w:p>
    <w:p w14:paraId="66FDFB7E">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kern w:val="0"/>
          <w:sz w:val="21"/>
          <w:szCs w:val="21"/>
        </w:rPr>
        <w:t>本基金将根据风险管理的原则，以套期保值为目的，在风险可控的前提下，本着谨慎原则，参与国债期货的投资，改善组合的风险收益特性。</w:t>
      </w:r>
    </w:p>
    <w:p w14:paraId="506BDF54">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kern w:val="0"/>
          <w:sz w:val="21"/>
          <w:szCs w:val="21"/>
        </w:rPr>
        <w:t>（2）股票期权投资策略</w:t>
      </w:r>
    </w:p>
    <w:p w14:paraId="51A19619">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kern w:val="0"/>
          <w:sz w:val="21"/>
          <w:szCs w:val="21"/>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5F3FCBA9">
      <w:pPr>
        <w:adjustRightInd w:val="0"/>
        <w:snapToGrid w:val="0"/>
        <w:spacing w:line="360" w:lineRule="auto"/>
        <w:ind w:firstLine="369" w:firstLineChars="176"/>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9</w:t>
      </w:r>
      <w:r>
        <w:rPr>
          <w:rFonts w:ascii="Times New Roman" w:hAnsi="Times New Roman" w:eastAsia="宋体" w:cs="Times New Roman"/>
          <w:kern w:val="0"/>
          <w:sz w:val="21"/>
          <w:szCs w:val="21"/>
        </w:rPr>
        <w:t>、融资及转融通证券出借业务投资策略</w:t>
      </w:r>
    </w:p>
    <w:p w14:paraId="1CCF33B0">
      <w:pPr>
        <w:adjustRightInd w:val="0"/>
        <w:snapToGrid w:val="0"/>
        <w:spacing w:line="360" w:lineRule="auto"/>
        <w:ind w:firstLine="369" w:firstLineChars="176"/>
        <w:rPr>
          <w:rFonts w:ascii="Times New Roman" w:hAnsi="Times New Roman" w:eastAsia="宋体" w:cs="Times New Roman"/>
          <w:kern w:val="0"/>
          <w:sz w:val="21"/>
          <w:szCs w:val="21"/>
        </w:rPr>
      </w:pPr>
      <w:r>
        <w:rPr>
          <w:rFonts w:ascii="Times New Roman" w:hAnsi="Times New Roman" w:eastAsia="宋体" w:cs="Times New Roman"/>
          <w:kern w:val="0"/>
          <w:sz w:val="21"/>
          <w:szCs w:val="21"/>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w:t>
      </w:r>
    </w:p>
    <w:p w14:paraId="66D347AA">
      <w:pPr>
        <w:adjustRightInd w:val="0"/>
        <w:snapToGrid w:val="0"/>
        <w:spacing w:line="360" w:lineRule="auto"/>
        <w:ind w:firstLine="420" w:firstLineChars="200"/>
        <w:rPr>
          <w:rFonts w:ascii="Times New Roman" w:hAnsi="Times New Roman" w:eastAsia="宋体" w:cs="Times New Roman"/>
          <w:sz w:val="21"/>
          <w:szCs w:val="21"/>
        </w:rPr>
      </w:pPr>
      <w:r>
        <w:rPr>
          <w:rFonts w:hint="eastAsia" w:ascii="Times New Roman" w:hAnsi="Times New Roman" w:eastAsia="宋体" w:cs="Times New Roman"/>
          <w:sz w:val="21"/>
          <w:szCs w:val="21"/>
        </w:rPr>
        <w:t>10</w:t>
      </w:r>
      <w:r>
        <w:rPr>
          <w:rFonts w:ascii="Times New Roman" w:hAnsi="Times New Roman" w:eastAsia="宋体" w:cs="Times New Roman"/>
          <w:sz w:val="21"/>
          <w:szCs w:val="21"/>
        </w:rPr>
        <w:t>、存托凭证投资策略</w:t>
      </w:r>
    </w:p>
    <w:p w14:paraId="5A2F4473">
      <w:pPr>
        <w:adjustRightInd w:val="0"/>
        <w:snapToGrid w:val="0"/>
        <w:spacing w:line="360" w:lineRule="auto"/>
        <w:ind w:firstLine="420" w:firstLineChars="200"/>
        <w:rPr>
          <w:rFonts w:ascii="Times New Roman" w:hAnsi="Times New Roman" w:eastAsia="宋体" w:cs="Times New Roman"/>
          <w:sz w:val="21"/>
          <w:szCs w:val="21"/>
        </w:rPr>
      </w:pPr>
      <w:r>
        <w:rPr>
          <w:rFonts w:ascii="Times New Roman" w:hAnsi="Times New Roman" w:eastAsia="宋体" w:cs="Times New Roman"/>
          <w:sz w:val="21"/>
          <w:szCs w:val="21"/>
        </w:rPr>
        <w:t>本基金将根据本基金的投资目标，基于对基础证券投资价值的深入研究判断，进行存托凭证的投资。</w:t>
      </w:r>
    </w:p>
    <w:p w14:paraId="46064F87">
      <w:pPr>
        <w:pStyle w:val="8"/>
        <w:spacing w:before="0" w:beforeAutospacing="0" w:after="0" w:afterAutospacing="0" w:line="360" w:lineRule="auto"/>
        <w:ind w:firstLine="420"/>
        <w:rPr>
          <w:rStyle w:val="12"/>
          <w:rFonts w:hint="eastAsia"/>
          <w:sz w:val="21"/>
          <w:szCs w:val="21"/>
        </w:rPr>
      </w:pPr>
      <w:r>
        <w:rPr>
          <w:rFonts w:ascii="Times New Roman" w:hAnsi="Times New Roman" w:eastAsia="宋体" w:cs="Times New Roman"/>
          <w:kern w:val="0"/>
          <w:sz w:val="21"/>
          <w:szCs w:val="21"/>
        </w:rPr>
        <w:t>未来，随着投资工具的发展和丰富，本基金可在不改变投资目标的前提下，相应调整和更新相关投资策略，并在更新的招募说明书中公告。</w:t>
      </w:r>
    </w:p>
    <w:p w14:paraId="3F3B4425">
      <w:pPr>
        <w:pStyle w:val="8"/>
        <w:spacing w:before="0" w:beforeAutospacing="0" w:after="0" w:afterAutospacing="0" w:line="360" w:lineRule="auto"/>
        <w:ind w:firstLine="420"/>
        <w:rPr>
          <w:sz w:val="21"/>
          <w:szCs w:val="21"/>
        </w:rPr>
      </w:pPr>
      <w:r>
        <w:rPr>
          <w:rStyle w:val="12"/>
          <w:rFonts w:hint="eastAsia"/>
          <w:sz w:val="21"/>
          <w:szCs w:val="21"/>
        </w:rPr>
        <w:t>四、投资限制</w:t>
      </w:r>
    </w:p>
    <w:p w14:paraId="074F615D">
      <w:pPr>
        <w:pStyle w:val="8"/>
        <w:spacing w:before="0" w:beforeAutospacing="0" w:after="0" w:afterAutospacing="0" w:line="360" w:lineRule="auto"/>
        <w:ind w:firstLine="420"/>
        <w:rPr>
          <w:sz w:val="21"/>
          <w:szCs w:val="21"/>
        </w:rPr>
      </w:pPr>
      <w:r>
        <w:rPr>
          <w:rFonts w:hint="eastAsia"/>
          <w:sz w:val="21"/>
          <w:szCs w:val="21"/>
        </w:rPr>
        <w:t xml:space="preserve">1、组合限制 </w:t>
      </w:r>
    </w:p>
    <w:p w14:paraId="5CA117A1">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2471A8AB">
      <w:pPr>
        <w:pStyle w:val="8"/>
        <w:spacing w:before="0" w:beforeAutospacing="0" w:after="0" w:afterAutospacing="0" w:line="360" w:lineRule="auto"/>
        <w:ind w:firstLine="420"/>
        <w:rPr>
          <w:sz w:val="21"/>
          <w:szCs w:val="21"/>
        </w:rPr>
      </w:pPr>
      <w:r>
        <w:rPr>
          <w:rFonts w:hint="eastAsia"/>
          <w:sz w:val="21"/>
          <w:szCs w:val="21"/>
        </w:rPr>
        <w:t>（1）</w:t>
      </w:r>
      <w:r>
        <w:rPr>
          <w:rFonts w:hint="eastAsia" w:ascii="宋体" w:hAnsi="Times New Roman" w:eastAsia="宋体" w:cs="宋体"/>
          <w:kern w:val="0"/>
          <w:sz w:val="21"/>
          <w:szCs w:val="21"/>
        </w:rPr>
        <w:t>本基金投资于目标ETF的资产比例不低于基金资产净值的90%，且不低于非现金基金资产的80%，投资港股通标的股票的比例不超过本基金股票资产的10%</w:t>
      </w:r>
      <w:r>
        <w:rPr>
          <w:rFonts w:hint="eastAsia"/>
          <w:sz w:val="21"/>
          <w:szCs w:val="21"/>
        </w:rPr>
        <w:t xml:space="preserve">； </w:t>
      </w:r>
    </w:p>
    <w:p w14:paraId="153E5CA6">
      <w:pPr>
        <w:pStyle w:val="8"/>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20842031">
      <w:pPr>
        <w:pStyle w:val="8"/>
        <w:spacing w:before="0" w:beforeAutospacing="0" w:after="0" w:afterAutospacing="0" w:line="360" w:lineRule="auto"/>
        <w:ind w:firstLine="420"/>
        <w:rPr>
          <w:sz w:val="21"/>
          <w:szCs w:val="21"/>
        </w:rPr>
      </w:pPr>
      <w:r>
        <w:rPr>
          <w:rFonts w:hint="eastAsia"/>
          <w:sz w:val="21"/>
          <w:szCs w:val="21"/>
        </w:rPr>
        <w:t xml:space="preserve">（3）本基金资产总值不得超过基金资产净值的140%； </w:t>
      </w:r>
    </w:p>
    <w:p w14:paraId="55FA2FBD">
      <w:pPr>
        <w:pStyle w:val="8"/>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14:paraId="58C83EBB">
      <w:pPr>
        <w:pStyle w:val="8"/>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14:paraId="4680489D">
      <w:pPr>
        <w:pStyle w:val="8"/>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14:paraId="196F7F03">
      <w:pPr>
        <w:pStyle w:val="8"/>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14:paraId="0FA7CA73">
      <w:pPr>
        <w:pStyle w:val="8"/>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546E9D61">
      <w:pPr>
        <w:pStyle w:val="8"/>
        <w:spacing w:before="0" w:beforeAutospacing="0" w:after="0" w:afterAutospacing="0" w:line="360" w:lineRule="auto"/>
        <w:ind w:firstLine="420"/>
        <w:rPr>
          <w:sz w:val="21"/>
          <w:szCs w:val="21"/>
        </w:rPr>
      </w:pPr>
      <w:r>
        <w:rPr>
          <w:rFonts w:hint="eastAsia"/>
          <w:sz w:val="21"/>
          <w:szCs w:val="21"/>
        </w:rPr>
        <w:t xml:space="preserve">（9）基金财产参与股票发行申购，本基金所申报的金额不超过本基金的总资产，本基金所申报的股票数量不超过拟发行股票公司本次发行股票的总量； </w:t>
      </w:r>
    </w:p>
    <w:p w14:paraId="7D808A7C">
      <w:pPr>
        <w:pStyle w:val="8"/>
        <w:spacing w:before="0" w:beforeAutospacing="0" w:after="0" w:afterAutospacing="0" w:line="360" w:lineRule="auto"/>
        <w:ind w:firstLine="420"/>
        <w:rPr>
          <w:sz w:val="21"/>
          <w:szCs w:val="21"/>
        </w:rPr>
      </w:pPr>
      <w:r>
        <w:rPr>
          <w:rFonts w:hint="eastAsia"/>
          <w:sz w:val="21"/>
          <w:szCs w:val="21"/>
        </w:rPr>
        <w:t xml:space="preserve">（10）本基金参与融资的，在任何交易日日终，本基金融资买入股票与其他有价证券市值之和，不得超过基金资产净值的95%； </w:t>
      </w:r>
    </w:p>
    <w:p w14:paraId="4D5649EF">
      <w:pPr>
        <w:pStyle w:val="8"/>
        <w:spacing w:before="0" w:beforeAutospacing="0" w:after="0" w:afterAutospacing="0" w:line="360" w:lineRule="auto"/>
        <w:ind w:firstLine="420"/>
        <w:rPr>
          <w:sz w:val="21"/>
          <w:szCs w:val="21"/>
        </w:rPr>
      </w:pPr>
      <w:r>
        <w:rPr>
          <w:rFonts w:hint="eastAsia"/>
          <w:sz w:val="21"/>
          <w:szCs w:val="21"/>
        </w:rPr>
        <w:t xml:space="preserve">（11）本基金投资于股指期货和国债期货，还应遵循如下投资组合限制： </w:t>
      </w:r>
    </w:p>
    <w:p w14:paraId="34595154">
      <w:pPr>
        <w:pStyle w:val="8"/>
        <w:spacing w:before="0" w:beforeAutospacing="0" w:after="0" w:afterAutospacing="0" w:line="360" w:lineRule="auto"/>
        <w:ind w:firstLine="420"/>
        <w:rPr>
          <w:sz w:val="21"/>
          <w:szCs w:val="21"/>
        </w:rPr>
      </w:pPr>
      <w:r>
        <w:rPr>
          <w:rFonts w:hint="eastAsia"/>
          <w:sz w:val="21"/>
          <w:szCs w:val="21"/>
        </w:rPr>
        <w:t xml:space="preserve">1）在任何交易日日终，本基金持有的买入股指期货合约价值不超过基金资产净值的10%；在任何交易日日终，持有的买入国债期货合约价值，不得超过基金资产净值15%； </w:t>
      </w:r>
    </w:p>
    <w:p w14:paraId="50D8C219">
      <w:pPr>
        <w:pStyle w:val="8"/>
        <w:spacing w:before="0" w:beforeAutospacing="0" w:after="0" w:afterAutospacing="0" w:line="360" w:lineRule="auto"/>
        <w:ind w:firstLine="420"/>
        <w:rPr>
          <w:sz w:val="21"/>
          <w:szCs w:val="21"/>
        </w:rPr>
      </w:pPr>
      <w:r>
        <w:rPr>
          <w:rFonts w:hint="eastAsia"/>
          <w:sz w:val="21"/>
          <w:szCs w:val="21"/>
        </w:rPr>
        <w:t xml:space="preserve">2）在任何交易日日终，持有的卖出股指期货合约价值不超过基金持有的股票总市值的20%；在任何交易日日终，持有的卖出国债期货合约价值不得超过基金持有的债券总市值的30%； </w:t>
      </w:r>
    </w:p>
    <w:p w14:paraId="3CFF7210">
      <w:pPr>
        <w:pStyle w:val="8"/>
        <w:spacing w:before="0" w:beforeAutospacing="0" w:after="0" w:afterAutospacing="0" w:line="360" w:lineRule="auto"/>
        <w:ind w:firstLine="420"/>
        <w:rPr>
          <w:sz w:val="21"/>
          <w:szCs w:val="21"/>
        </w:rPr>
      </w:pPr>
      <w:r>
        <w:rPr>
          <w:rFonts w:hint="eastAsia"/>
          <w:sz w:val="21"/>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59ECBF4F">
      <w:pPr>
        <w:pStyle w:val="8"/>
        <w:spacing w:before="0" w:beforeAutospacing="0" w:after="0" w:afterAutospacing="0" w:line="360" w:lineRule="auto"/>
        <w:ind w:firstLine="420"/>
        <w:rPr>
          <w:sz w:val="21"/>
          <w:szCs w:val="21"/>
        </w:rPr>
      </w:pPr>
      <w:r>
        <w:rPr>
          <w:rFonts w:hint="eastAsia"/>
          <w:sz w:val="21"/>
          <w:szCs w:val="21"/>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64DC18D5">
      <w:pPr>
        <w:pStyle w:val="8"/>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78D0D99C">
      <w:pPr>
        <w:pStyle w:val="8"/>
        <w:spacing w:before="0" w:beforeAutospacing="0" w:after="0" w:afterAutospacing="0" w:line="360" w:lineRule="auto"/>
        <w:ind w:firstLine="420"/>
        <w:rPr>
          <w:sz w:val="21"/>
          <w:szCs w:val="21"/>
        </w:rPr>
      </w:pPr>
      <w:r>
        <w:rPr>
          <w:rFonts w:hint="eastAsia"/>
          <w:sz w:val="21"/>
          <w:szCs w:val="21"/>
        </w:rPr>
        <w:t xml:space="preserve">（12）本基金投资于股票期权，还应遵循如下投资组合限制： </w:t>
      </w:r>
    </w:p>
    <w:p w14:paraId="3DA75EB4">
      <w:pPr>
        <w:pStyle w:val="8"/>
        <w:spacing w:before="0" w:beforeAutospacing="0" w:after="0" w:afterAutospacing="0" w:line="360" w:lineRule="auto"/>
        <w:ind w:firstLine="420"/>
        <w:rPr>
          <w:sz w:val="21"/>
          <w:szCs w:val="21"/>
        </w:rPr>
      </w:pPr>
      <w:r>
        <w:rPr>
          <w:rFonts w:hint="eastAsia"/>
          <w:sz w:val="21"/>
          <w:szCs w:val="21"/>
        </w:rPr>
        <w:t xml:space="preserve">1）因未平仓的期权合约支付和收取的权利金总额不得超过基金资产净值的10%； </w:t>
      </w:r>
    </w:p>
    <w:p w14:paraId="2DDB7433">
      <w:pPr>
        <w:pStyle w:val="8"/>
        <w:spacing w:before="0" w:beforeAutospacing="0" w:after="0" w:afterAutospacing="0" w:line="360" w:lineRule="auto"/>
        <w:ind w:firstLine="420"/>
        <w:rPr>
          <w:sz w:val="21"/>
          <w:szCs w:val="21"/>
        </w:rPr>
      </w:pPr>
      <w:r>
        <w:rPr>
          <w:rFonts w:hint="eastAsia"/>
          <w:sz w:val="21"/>
          <w:szCs w:val="21"/>
        </w:rPr>
        <w:t xml:space="preserve">2）开仓卖出认购期权的，应持有足额标的证券；开仓卖出认沽期权的，应持有合约行权所需的全额现金或交易所规则认可的可冲抵期权保证金的现金等价物； </w:t>
      </w:r>
    </w:p>
    <w:p w14:paraId="25F1320A">
      <w:pPr>
        <w:pStyle w:val="8"/>
        <w:spacing w:before="0" w:beforeAutospacing="0" w:after="0" w:afterAutospacing="0" w:line="360" w:lineRule="auto"/>
        <w:ind w:firstLine="420"/>
        <w:rPr>
          <w:sz w:val="21"/>
          <w:szCs w:val="21"/>
        </w:rPr>
      </w:pPr>
      <w:r>
        <w:rPr>
          <w:rFonts w:hint="eastAsia"/>
          <w:sz w:val="21"/>
          <w:szCs w:val="21"/>
        </w:rPr>
        <w:t xml:space="preserve">3）未平仓的期权合约面值不得超过基金资产净值的20%。其中，合约面值按照行权价乘以合约乘数计算； </w:t>
      </w:r>
    </w:p>
    <w:p w14:paraId="1A4FC3DC">
      <w:pPr>
        <w:pStyle w:val="8"/>
        <w:spacing w:before="0" w:beforeAutospacing="0" w:after="0" w:afterAutospacing="0" w:line="360" w:lineRule="auto"/>
        <w:ind w:firstLine="420"/>
        <w:rPr>
          <w:sz w:val="21"/>
          <w:szCs w:val="21"/>
        </w:rPr>
      </w:pPr>
      <w:r>
        <w:rPr>
          <w:rFonts w:hint="eastAsia"/>
          <w:sz w:val="21"/>
          <w:szCs w:val="21"/>
        </w:rPr>
        <w:t xml:space="preserve">（13）本基金参与转融通证券出借业务，需遵守下列投资限制： </w:t>
      </w:r>
    </w:p>
    <w:p w14:paraId="729257BF">
      <w:pPr>
        <w:pStyle w:val="8"/>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14:paraId="05B9C80C">
      <w:pPr>
        <w:pStyle w:val="8"/>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2）参与出借业务的单只证券不得超过本基金持有该证券总量的50%； </w:t>
      </w:r>
    </w:p>
    <w:p w14:paraId="750BDB59">
      <w:pPr>
        <w:pStyle w:val="8"/>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46109CFF">
      <w:pPr>
        <w:pStyle w:val="8"/>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66933253">
      <w:pPr>
        <w:pStyle w:val="8"/>
        <w:spacing w:before="0" w:beforeAutospacing="0" w:after="0" w:afterAutospacing="0" w:line="360" w:lineRule="auto"/>
        <w:ind w:firstLine="420"/>
        <w:rPr>
          <w:sz w:val="21"/>
          <w:szCs w:val="21"/>
        </w:rPr>
      </w:pPr>
      <w:r>
        <w:rPr>
          <w:rFonts w:hint="eastAsia"/>
          <w:sz w:val="21"/>
          <w:szCs w:val="21"/>
        </w:rPr>
        <w:t xml:space="preserve">因证券市场波动、上市公司合并、基金规模变动等基金管理人之外的因素致使基金投资不符合上述规定的，基金管理人不得新增出借业务； </w:t>
      </w:r>
    </w:p>
    <w:p w14:paraId="0DD7B818">
      <w:pPr>
        <w:pStyle w:val="8"/>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（14）本基金主动投资于流动性受限资产的市值合计不得超过本基金资产净值的15%； </w:t>
      </w:r>
    </w:p>
    <w:p w14:paraId="5FB46B2C">
      <w:pPr>
        <w:pStyle w:val="8"/>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因证券市场波动、上市公司股票停牌、基金规模变动等基金管理人之外的因素致使基金不符合该比例限制的，基金管理人不得主动新增流动性受限资产的投资； </w:t>
      </w:r>
    </w:p>
    <w:p w14:paraId="39AE6D06">
      <w:pPr>
        <w:pStyle w:val="8"/>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0B91977C">
      <w:pPr>
        <w:pStyle w:val="8"/>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（16）本基金投资存托凭证的比例限制依照境内上市交易的股票执行，与境内上市交易的股票合并计算； </w:t>
      </w:r>
    </w:p>
    <w:p w14:paraId="688371D8">
      <w:pPr>
        <w:pStyle w:val="8"/>
        <w:spacing w:before="0" w:beforeAutospacing="0" w:after="0" w:afterAutospacing="0" w:line="360" w:lineRule="auto"/>
        <w:ind w:firstLine="420"/>
        <w:rPr>
          <w:sz w:val="21"/>
          <w:szCs w:val="21"/>
        </w:rPr>
      </w:pPr>
      <w:r>
        <w:rPr>
          <w:rFonts w:hint="eastAsia"/>
          <w:sz w:val="21"/>
          <w:szCs w:val="21"/>
        </w:rPr>
        <w:t xml:space="preserve">（17）相关法律法规以及监管部门规定的和基金合同约定的其它投资比例限制。 </w:t>
      </w:r>
    </w:p>
    <w:p w14:paraId="09F30FC7">
      <w:pPr>
        <w:pStyle w:val="8"/>
        <w:spacing w:before="0" w:beforeAutospacing="0" w:after="0" w:afterAutospacing="0" w:line="360" w:lineRule="auto"/>
        <w:ind w:firstLine="420"/>
        <w:rPr>
          <w:sz w:val="21"/>
          <w:szCs w:val="21"/>
        </w:rPr>
      </w:pPr>
      <w:r>
        <w:rPr>
          <w:rFonts w:ascii="Times New Roman" w:hAnsi="Times New Roman" w:eastAsia="宋体" w:cs="Times New Roman"/>
          <w:kern w:val="0"/>
          <w:sz w:val="21"/>
          <w:szCs w:val="21"/>
        </w:rPr>
        <w:t>除上述第</w:t>
      </w:r>
      <w:r>
        <w:rPr>
          <w:rFonts w:hint="eastAsia" w:ascii="Times New Roman" w:hAnsi="Times New Roman" w:eastAsia="宋体" w:cs="Times New Roman"/>
          <w:kern w:val="0"/>
          <w:sz w:val="21"/>
          <w:szCs w:val="21"/>
        </w:rPr>
        <w:t>（1）、</w:t>
      </w: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8</w:t>
      </w: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3</w:t>
      </w: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4</w:t>
      </w: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5</w:t>
      </w:r>
      <w:r>
        <w:rPr>
          <w:rFonts w:ascii="Times New Roman" w:hAnsi="Times New Roman" w:eastAsia="宋体" w:cs="Times New Roman"/>
          <w:kern w:val="0"/>
          <w:sz w:val="21"/>
          <w:szCs w:val="21"/>
        </w:rPr>
        <w:t>）项外，因证券、期货市场波动、证券发行人合并、基金规模变动、标的指数成份股调整、标的指数成份股流动性限制</w:t>
      </w:r>
      <w:r>
        <w:rPr>
          <w:rFonts w:hint="eastAsia" w:ascii="宋体" w:hAnsi="Times New Roman" w:cs="宋体"/>
          <w:sz w:val="21"/>
          <w:szCs w:val="21"/>
        </w:rPr>
        <w:t>、目标ETF暂停申购/赎回或二级市场交易停牌</w:t>
      </w:r>
      <w:r>
        <w:rPr>
          <w:rFonts w:ascii="Times New Roman" w:hAnsi="Times New Roman" w:eastAsia="宋体" w:cs="Times New Roman"/>
          <w:kern w:val="0"/>
          <w:sz w:val="21"/>
          <w:szCs w:val="21"/>
        </w:rPr>
        <w:t>等基金管理人之外的因素致使基金投资比例不符合上述规定投资比例的，基金管理人应当在10个交易日内进行调整，但中国证监会规定的特殊情形除外</w:t>
      </w:r>
      <w:r>
        <w:rPr>
          <w:rFonts w:hint="eastAsia" w:ascii="宋体" w:hAnsi="Times New Roman" w:eastAsia="宋体" w:cs="宋体"/>
          <w:kern w:val="0"/>
          <w:sz w:val="21"/>
          <w:szCs w:val="21"/>
        </w:rPr>
        <w:t>。</w:t>
      </w:r>
      <w:r>
        <w:rPr>
          <w:rFonts w:hint="eastAsia" w:ascii="宋体" w:hAnsi="Times New Roman" w:cs="宋体"/>
          <w:sz w:val="21"/>
          <w:szCs w:val="21"/>
        </w:rPr>
        <w:t>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r>
        <w:rPr>
          <w:rFonts w:ascii="Times New Roman" w:hAnsi="Times New Roman" w:eastAsia="宋体" w:cs="Times New Roman"/>
          <w:kern w:val="0"/>
          <w:sz w:val="21"/>
          <w:szCs w:val="21"/>
        </w:rPr>
        <w:t>。</w:t>
      </w:r>
      <w:r>
        <w:rPr>
          <w:rFonts w:hint="eastAsia"/>
          <w:sz w:val="21"/>
          <w:szCs w:val="21"/>
        </w:rPr>
        <w:t xml:space="preserve"> </w:t>
      </w:r>
    </w:p>
    <w:p w14:paraId="4CEC94DD">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0AD82D6">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2AA5E585">
      <w:pPr>
        <w:pStyle w:val="8"/>
        <w:spacing w:before="0" w:beforeAutospacing="0" w:after="0" w:afterAutospacing="0" w:line="360" w:lineRule="auto"/>
        <w:ind w:firstLine="420"/>
        <w:rPr>
          <w:sz w:val="21"/>
          <w:szCs w:val="21"/>
        </w:rPr>
      </w:pPr>
      <w:r>
        <w:rPr>
          <w:rFonts w:hint="eastAsia"/>
          <w:sz w:val="21"/>
          <w:szCs w:val="21"/>
        </w:rPr>
        <w:t xml:space="preserve">2、禁止行为 </w:t>
      </w:r>
    </w:p>
    <w:p w14:paraId="3560C169">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37721EA1">
      <w:pPr>
        <w:pStyle w:val="8"/>
        <w:spacing w:before="0" w:beforeAutospacing="0" w:after="0" w:afterAutospacing="0" w:line="360" w:lineRule="auto"/>
        <w:ind w:firstLine="420"/>
        <w:rPr>
          <w:sz w:val="21"/>
          <w:szCs w:val="21"/>
        </w:rPr>
      </w:pPr>
      <w:r>
        <w:rPr>
          <w:rFonts w:hint="eastAsia"/>
          <w:sz w:val="21"/>
          <w:szCs w:val="21"/>
        </w:rPr>
        <w:t xml:space="preserve">（1）承销证券； </w:t>
      </w:r>
    </w:p>
    <w:p w14:paraId="70299183">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296ABBBD">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7CAEA07B">
      <w:pPr>
        <w:pStyle w:val="8"/>
        <w:spacing w:before="0" w:beforeAutospacing="0" w:after="0" w:afterAutospacing="0" w:line="360" w:lineRule="auto"/>
        <w:ind w:firstLine="420"/>
        <w:rPr>
          <w:sz w:val="21"/>
          <w:szCs w:val="21"/>
        </w:rPr>
      </w:pPr>
      <w:r>
        <w:rPr>
          <w:rFonts w:hint="eastAsia"/>
          <w:sz w:val="21"/>
          <w:szCs w:val="21"/>
        </w:rPr>
        <w:t>（4）买卖</w:t>
      </w:r>
      <w:r>
        <w:rPr>
          <w:rFonts w:hint="eastAsia" w:ascii="宋体" w:hAnsi="Times New Roman" w:cs="宋体"/>
          <w:sz w:val="21"/>
          <w:szCs w:val="21"/>
        </w:rPr>
        <w:t>除目标ETF外的</w:t>
      </w:r>
      <w:r>
        <w:rPr>
          <w:rFonts w:hint="eastAsia"/>
          <w:sz w:val="21"/>
          <w:szCs w:val="21"/>
        </w:rPr>
        <w:t xml:space="preserve">其他基金份额，但是中国证监会另有规定的除外； </w:t>
      </w:r>
    </w:p>
    <w:p w14:paraId="1E8819FB">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0B604122">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9232FED">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16E3B002">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 </w:t>
      </w:r>
    </w:p>
    <w:p w14:paraId="5CCC8CE1">
      <w:pPr>
        <w:pStyle w:val="8"/>
        <w:spacing w:before="0" w:beforeAutospacing="0" w:after="0" w:afterAutospacing="0" w:line="360" w:lineRule="auto"/>
        <w:ind w:firstLine="420"/>
        <w:rPr>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14:paraId="412FE528">
      <w:pPr>
        <w:pStyle w:val="8"/>
        <w:spacing w:before="0" w:beforeAutospacing="0" w:after="0" w:afterAutospacing="0" w:line="360" w:lineRule="auto"/>
        <w:ind w:firstLine="420"/>
        <w:rPr>
          <w:sz w:val="21"/>
          <w:szCs w:val="21"/>
        </w:rPr>
      </w:pPr>
      <w:r>
        <w:rPr>
          <w:rStyle w:val="12"/>
          <w:rFonts w:hint="eastAsia"/>
          <w:sz w:val="21"/>
          <w:szCs w:val="21"/>
        </w:rPr>
        <w:t>五、标的指数与业绩比较基准</w:t>
      </w:r>
    </w:p>
    <w:p w14:paraId="13A121CC">
      <w:pPr>
        <w:adjustRightInd w:val="0"/>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本基金的标的指数为：国证粮食产业指数。</w:t>
      </w:r>
    </w:p>
    <w:p w14:paraId="059F1140">
      <w:pPr>
        <w:adjustRightInd w:val="0"/>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本基金业绩比较基准为：国证粮食产业指数收益率×95%+</w:t>
      </w:r>
      <w:r>
        <w:rPr>
          <w:rFonts w:hint="eastAsia" w:ascii="宋体" w:hAnsi="宋体" w:eastAsia="宋体" w:cs="宋体"/>
          <w:kern w:val="0"/>
          <w:sz w:val="21"/>
          <w:szCs w:val="21"/>
          <w:lang w:eastAsia="zh-CN"/>
        </w:rPr>
        <w:t>活期存款基准利率</w:t>
      </w:r>
      <w:r>
        <w:rPr>
          <w:rFonts w:hint="eastAsia" w:ascii="宋体" w:hAnsi="宋体" w:eastAsia="宋体" w:cs="宋体"/>
          <w:kern w:val="0"/>
          <w:sz w:val="21"/>
          <w:szCs w:val="21"/>
        </w:rPr>
        <w:t>×5%。</w:t>
      </w:r>
    </w:p>
    <w:p w14:paraId="3CF3CC47">
      <w:pPr>
        <w:adjustRightInd w:val="0"/>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1、业绩比较基准设定的原因</w:t>
      </w:r>
    </w:p>
    <w:p w14:paraId="669AF0F4">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本基金为股票型ETF联接基金,主要投资于目标ETF即博时国证粮食产业交易型开放式指数证券投资基金，以“紧密跟踪标的指数即国证粮食产业指数的表现，追求跟踪偏离度和跟踪误差的最小化”为投资目标，在投资中将不低于基金资产净值的90%，且不低于非现金基金资产的80%的资产投资于目标ETF。本基金的标的指数为国证粮食产业指数，相应选取国证粮食产业指数和活期存款基准利率作为基准要素，同时将国证粮食产业指数的基准要素权重设置为95%；选取活期存款基准利率作为流动性管理部分的业绩比较基准，同时将活期存款基准利率的基准要素权重设置为5%。</w:t>
      </w:r>
    </w:p>
    <w:p w14:paraId="35A496A0">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综上，本基金选取的业绩比较基准与基金投资目标、投资范围、投资策略、投资比例限制相匹配。</w:t>
      </w:r>
    </w:p>
    <w:p w14:paraId="3B9C265B">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2、业绩比较基准要素的基本信息</w:t>
      </w:r>
    </w:p>
    <w:p w14:paraId="7DC8672B">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国证粮食产业指数由深圳证券信息有限公司编制发布，指数代码为399365，具体信息详见深圳证券信息有限公司网站，网址：</w:t>
      </w: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HYPERLINK "http://www.csindex.com.cn/"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https://www.cnindex.com.cn</w:t>
      </w:r>
      <w:r>
        <w:rPr>
          <w:rFonts w:hint="eastAsia" w:ascii="宋体" w:hAnsi="宋体" w:eastAsia="宋体" w:cs="宋体"/>
          <w:kern w:val="0"/>
          <w:sz w:val="21"/>
          <w:szCs w:val="21"/>
        </w:rPr>
        <w:fldChar w:fldCharType="end"/>
      </w:r>
      <w:r>
        <w:rPr>
          <w:rFonts w:hint="eastAsia" w:ascii="宋体" w:hAnsi="宋体" w:eastAsia="宋体" w:cs="宋体"/>
          <w:kern w:val="0"/>
          <w:sz w:val="21"/>
          <w:szCs w:val="21"/>
        </w:rPr>
        <w:t>。</w:t>
      </w:r>
    </w:p>
    <w:p w14:paraId="7D9238F9">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活期存款基准利率由中国人民银行发布，具体信息详见中国人民银行网站，网址：www.pbc.gov.cn。</w:t>
      </w:r>
    </w:p>
    <w:p w14:paraId="6737CD65">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3、业绩比较基准的计算方法</w:t>
      </w:r>
    </w:p>
    <w:p w14:paraId="67DA6EEC">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本基金业绩比较基准收益率的计算方法以每日收益率为基础，以时间加权为计算原则。本基金先分别计算业绩比较基准中国证粮食产业指数和活期存款基准利率的每日收益率，再按照预设权重比例计算当日组合要素基准的日收益率，并连乘每日收益率。</w:t>
      </w:r>
    </w:p>
    <w:p w14:paraId="0B80625C">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4、管理投资偏离业绩比较基准的定性或定量方法</w:t>
      </w:r>
    </w:p>
    <w:p w14:paraId="0A9061F1">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本基金主要通过投资于目标ETF，实现对指数的紧密跟踪。在正常市场情况下，本基金力争与业绩比较基准之间的日均跟踪偏离度的绝对值不超过0.35%，年化跟踪误差不超过4%。如因指数编制规则调整或其他因素导致跟踪误差超过上述范围，基金管理人应采取合理措施避免跟踪误差进一步扩大。</w:t>
      </w:r>
    </w:p>
    <w:p w14:paraId="33B67E5F">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5、未来可能变更业绩比较基准的情况和程序</w:t>
      </w:r>
    </w:p>
    <w:p w14:paraId="44BAD5A8">
      <w:pPr>
        <w:adjustRightInd w:val="0"/>
        <w:snapToGrid w:val="0"/>
        <w:spacing w:line="360" w:lineRule="auto"/>
        <w:ind w:left="0" w:leftChars="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若本基金调整业绩比较基准的要素权重，本基金将根据法律法规、中国证监会的规定和基金合同约定履行相关程序。</w:t>
      </w:r>
    </w:p>
    <w:p w14:paraId="4034DE48">
      <w:pPr>
        <w:adjustRightInd w:val="0"/>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进行表决。</w:t>
      </w:r>
    </w:p>
    <w:p w14:paraId="0C8364A0">
      <w:pPr>
        <w:adjustRightInd w:val="0"/>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自指数编制机构停止标的指数的编制及发布至解决方案确定期间，基金管理人应按照指数编制机构提供的最近一个交易日的指数信息遵循基金份额持有人利益优先原则维持基金投资运作。</w:t>
      </w:r>
    </w:p>
    <w:p w14:paraId="6F930881">
      <w:pPr>
        <w:pStyle w:val="8"/>
        <w:spacing w:before="0" w:beforeAutospacing="0" w:after="0" w:afterAutospacing="0" w:line="360" w:lineRule="auto"/>
        <w:ind w:firstLine="420"/>
        <w:rPr>
          <w:sz w:val="21"/>
          <w:szCs w:val="21"/>
        </w:rPr>
      </w:pPr>
      <w:r>
        <w:rPr>
          <w:rStyle w:val="12"/>
          <w:rFonts w:hint="eastAsia"/>
          <w:sz w:val="21"/>
          <w:szCs w:val="21"/>
        </w:rPr>
        <w:t>六、风险收益特征</w:t>
      </w:r>
    </w:p>
    <w:p w14:paraId="68774056">
      <w:pPr>
        <w:pStyle w:val="8"/>
        <w:spacing w:before="0" w:beforeAutospacing="0" w:after="0" w:afterAutospacing="0" w:line="360" w:lineRule="auto"/>
        <w:ind w:firstLine="420"/>
        <w:rPr>
          <w:sz w:val="21"/>
          <w:szCs w:val="21"/>
        </w:rPr>
      </w:pPr>
      <w:bookmarkStart w:id="89" w:name="field_60_riskyield_1_start"/>
      <w:bookmarkEnd w:id="89"/>
      <w:r>
        <w:rPr>
          <w:rFonts w:hint="eastAsia" w:ascii="宋体" w:hAnsi="Times New Roman" w:eastAsia="宋体" w:cs="宋体"/>
          <w:kern w:val="0"/>
          <w:sz w:val="21"/>
          <w:szCs w:val="21"/>
        </w:rPr>
        <w:t>本基金为ETF联接基金，</w:t>
      </w:r>
      <w:r>
        <w:rPr>
          <w:rFonts w:hint="eastAsia" w:asciiTheme="minorEastAsia" w:hAnsiTheme="minorEastAsia"/>
          <w:sz w:val="21"/>
          <w:szCs w:val="21"/>
        </w:rPr>
        <w:t>通过投资于目标</w:t>
      </w:r>
      <w:r>
        <w:rPr>
          <w:rFonts w:asciiTheme="minorEastAsia" w:hAnsiTheme="minorEastAsia"/>
          <w:sz w:val="21"/>
          <w:szCs w:val="21"/>
        </w:rPr>
        <w:t>ETF跟踪标的指数表现，具有与标的指数以及标的指数所代表的证券市场相似的风险收益特征</w:t>
      </w:r>
      <w:r>
        <w:rPr>
          <w:rFonts w:hint="eastAsia" w:ascii="宋体" w:hAnsi="Times New Roman" w:eastAsia="宋体" w:cs="宋体"/>
          <w:kern w:val="0"/>
          <w:sz w:val="21"/>
          <w:szCs w:val="21"/>
        </w:rPr>
        <w:t>。同时，本基金为被动式投资的股票型指数基金，跟踪国证粮食产业指数，其</w:t>
      </w:r>
      <w:r>
        <w:rPr>
          <w:rFonts w:hint="eastAsia" w:asciiTheme="minorEastAsia" w:hAnsiTheme="minorEastAsia"/>
          <w:sz w:val="21"/>
          <w:szCs w:val="21"/>
        </w:rPr>
        <w:t>预期风险与预期收益高于债券型基金、混合型基金、货币市场基金</w:t>
      </w:r>
      <w:r>
        <w:rPr>
          <w:rFonts w:hint="eastAsia" w:ascii="宋体" w:hAnsi="Times New Roman" w:eastAsia="宋体" w:cs="宋体"/>
          <w:kern w:val="0"/>
          <w:sz w:val="21"/>
          <w:szCs w:val="21"/>
        </w:rPr>
        <w:t>。</w:t>
      </w:r>
      <w:r>
        <w:rPr>
          <w:rFonts w:hint="eastAsia"/>
          <w:sz w:val="21"/>
          <w:szCs w:val="21"/>
        </w:rPr>
        <w:t xml:space="preserve"> </w:t>
      </w:r>
      <w:bookmarkStart w:id="90" w:name="field_60_riskyield_1_end"/>
      <w:bookmarkEnd w:id="90"/>
      <w:r>
        <w:rPr>
          <w:rFonts w:hint="eastAsia"/>
          <w:sz w:val="21"/>
          <w:szCs w:val="21"/>
        </w:rPr>
        <w:t xml:space="preserve"> </w:t>
      </w:r>
    </w:p>
    <w:p w14:paraId="2BEC9ACA">
      <w:pPr>
        <w:pStyle w:val="8"/>
        <w:spacing w:before="0" w:beforeAutospacing="0" w:after="0" w:afterAutospacing="0" w:line="360" w:lineRule="auto"/>
        <w:ind w:firstLine="420"/>
        <w:rPr>
          <w:sz w:val="21"/>
          <w:szCs w:val="21"/>
        </w:rPr>
      </w:pPr>
      <w:r>
        <w:rPr>
          <w:rStyle w:val="12"/>
          <w:rFonts w:hint="eastAsia"/>
          <w:sz w:val="21"/>
          <w:szCs w:val="21"/>
        </w:rPr>
        <w:t>七、基金管理人代表基金行使股东或债权人权利的处理原则及方法</w:t>
      </w:r>
    </w:p>
    <w:p w14:paraId="36F2D983">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39CEC9BC">
      <w:pPr>
        <w:pStyle w:val="8"/>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0A70BB83">
      <w:pPr>
        <w:pStyle w:val="8"/>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7617635B">
      <w:pPr>
        <w:pStyle w:val="8"/>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79D601DA">
      <w:pPr>
        <w:pStyle w:val="8"/>
        <w:spacing w:before="0" w:beforeAutospacing="0" w:after="0" w:afterAutospacing="0" w:line="360" w:lineRule="auto"/>
        <w:ind w:firstLine="420"/>
        <w:rPr>
          <w:sz w:val="21"/>
          <w:szCs w:val="21"/>
        </w:rPr>
      </w:pPr>
      <w:r>
        <w:rPr>
          <w:rStyle w:val="12"/>
          <w:rFonts w:hint="eastAsia"/>
          <w:sz w:val="21"/>
          <w:szCs w:val="21"/>
        </w:rPr>
        <w:t>八、侧袋机制的实施和投资运作安排</w:t>
      </w:r>
    </w:p>
    <w:p w14:paraId="3130FC04">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64E5B869">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7F8E2107">
      <w:pPr>
        <w:pStyle w:val="8"/>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91" w:name="chapter_level1_11_60_section_1_end"/>
      <w:bookmarkEnd w:id="91"/>
      <w:r>
        <w:rPr>
          <w:rFonts w:hint="eastAsia"/>
          <w:sz w:val="21"/>
          <w:szCs w:val="21"/>
        </w:rPr>
        <w:t xml:space="preserve">对投资者权益有重大影响的事项详见本招募说明书“侧袋机制”部分的规定。 </w:t>
      </w:r>
    </w:p>
    <w:p w14:paraId="759D539C">
      <w:pPr>
        <w:pStyle w:val="4"/>
        <w:spacing w:line="360" w:lineRule="auto"/>
        <w:ind w:left="181" w:leftChars="86" w:firstLine="422" w:firstLineChars="200"/>
        <w:rPr>
          <w:rFonts w:hint="eastAsia" w:asciiTheme="minorEastAsia" w:hAnsiTheme="minorEastAsia" w:cstheme="minorEastAsia"/>
          <w:sz w:val="21"/>
          <w:szCs w:val="21"/>
        </w:rPr>
      </w:pPr>
      <w:bookmarkStart w:id="92" w:name="chapter_level1_11_60_section_2"/>
      <w:bookmarkEnd w:id="92"/>
      <w:r>
        <w:rPr>
          <w:rStyle w:val="12"/>
          <w:rFonts w:hint="eastAsia"/>
          <w:sz w:val="21"/>
          <w:szCs w:val="21"/>
        </w:rPr>
        <w:t>九、</w:t>
      </w:r>
      <w:r>
        <w:rPr>
          <w:rFonts w:hint="eastAsia" w:asciiTheme="minorEastAsia" w:hAnsiTheme="minorEastAsia" w:cstheme="minorEastAsia"/>
          <w:sz w:val="21"/>
          <w:szCs w:val="21"/>
        </w:rPr>
        <w:t>目标</w:t>
      </w:r>
      <w:r>
        <w:rPr>
          <w:rFonts w:asciiTheme="minorEastAsia" w:hAnsiTheme="minorEastAsia" w:cstheme="minorEastAsia"/>
          <w:sz w:val="21"/>
          <w:szCs w:val="21"/>
        </w:rPr>
        <w:t>ETF</w:t>
      </w:r>
      <w:r>
        <w:rPr>
          <w:rFonts w:hint="eastAsia" w:asciiTheme="minorEastAsia" w:hAnsiTheme="minorEastAsia" w:cstheme="minorEastAsia"/>
          <w:sz w:val="21"/>
          <w:szCs w:val="21"/>
        </w:rPr>
        <w:t>发生相关变更情形时的处理</w:t>
      </w:r>
    </w:p>
    <w:p w14:paraId="714BB6D6">
      <w:pPr>
        <w:pStyle w:val="4"/>
        <w:spacing w:line="360" w:lineRule="auto"/>
        <w:ind w:left="181" w:leftChars="86" w:firstLine="420" w:firstLineChars="200"/>
        <w:rPr>
          <w:rFonts w:hint="eastAsia" w:asciiTheme="minorEastAsia" w:hAnsiTheme="minorEastAsia" w:cstheme="minorEastAsia"/>
          <w:sz w:val="21"/>
          <w:szCs w:val="21"/>
        </w:rPr>
      </w:pPr>
      <w:r>
        <w:rPr>
          <w:rFonts w:hint="eastAsia" w:asciiTheme="minorEastAsia" w:hAnsiTheme="minorEastAsia" w:cstheme="minorEastAsia"/>
          <w:sz w:val="21"/>
          <w:szCs w:val="21"/>
        </w:rPr>
        <w:t>除标的指数不符合要求（因成份股价格波动等指数编制方法变动之外的因素致使标的指数不符合要求以及法律法规、监管机构另有规定的情形除外）、指数编制机构退出等原因外，目标</w:t>
      </w:r>
      <w:r>
        <w:rPr>
          <w:rFonts w:asciiTheme="minorEastAsia" w:hAnsiTheme="minorEastAsia" w:cstheme="minorEastAsia"/>
          <w:sz w:val="21"/>
          <w:szCs w:val="21"/>
        </w:rPr>
        <w:t>ETF</w:t>
      </w:r>
      <w:r>
        <w:rPr>
          <w:rFonts w:hint="eastAsia" w:asciiTheme="minorEastAsia" w:hAnsiTheme="minorEastAsia" w:cstheme="minorEastAsia"/>
          <w:sz w:val="21"/>
          <w:szCs w:val="21"/>
        </w:rPr>
        <w:t>出现下述情形之一的，本基金将在履行适当程序后由投资于目标</w:t>
      </w:r>
      <w:r>
        <w:rPr>
          <w:rFonts w:asciiTheme="minorEastAsia" w:hAnsiTheme="minorEastAsia" w:cstheme="minorEastAsia"/>
          <w:sz w:val="21"/>
          <w:szCs w:val="21"/>
        </w:rPr>
        <w:t>ETF</w:t>
      </w:r>
      <w:r>
        <w:rPr>
          <w:rFonts w:hint="eastAsia" w:asciiTheme="minorEastAsia" w:hAnsiTheme="minorEastAsia" w:cstheme="minorEastAsia"/>
          <w:sz w:val="21"/>
          <w:szCs w:val="21"/>
        </w:rPr>
        <w:t>的联接基金变更为直接投资标的指数的指数基金，无需召开基金份额持有人大会；若届时本基金管理人已有以该指数作为标的指数的指数基金，基金管理人应本着维护投资人合法权益的原则，提出解决方案，并相应履行适当程序，届时将由基金管理人另行公告。相应地，本基金基金合同中将删除关于目标</w:t>
      </w:r>
      <w:r>
        <w:rPr>
          <w:rFonts w:asciiTheme="minorEastAsia" w:hAnsiTheme="minorEastAsia" w:cstheme="minorEastAsia"/>
          <w:sz w:val="21"/>
          <w:szCs w:val="21"/>
        </w:rPr>
        <w:t>ETF</w:t>
      </w:r>
      <w:r>
        <w:rPr>
          <w:rFonts w:hint="eastAsia" w:asciiTheme="minorEastAsia" w:hAnsiTheme="minorEastAsia" w:cstheme="minorEastAsia"/>
          <w:sz w:val="21"/>
          <w:szCs w:val="21"/>
        </w:rPr>
        <w:t>的表述部分，届时将由基金管理人另行公告。</w:t>
      </w:r>
    </w:p>
    <w:p w14:paraId="60E529EC">
      <w:pPr>
        <w:pStyle w:val="4"/>
        <w:spacing w:line="360" w:lineRule="auto"/>
        <w:ind w:left="0" w:leftChars="0" w:firstLine="420" w:firstLineChars="200"/>
        <w:rPr>
          <w:rFonts w:hint="eastAsia" w:asciiTheme="minorEastAsia" w:hAnsiTheme="minorEastAsia" w:cstheme="minorEastAsia"/>
          <w:sz w:val="21"/>
          <w:szCs w:val="21"/>
        </w:rPr>
      </w:pPr>
      <w:r>
        <w:rPr>
          <w:rFonts w:asciiTheme="minorEastAsia" w:hAnsiTheme="minorEastAsia" w:cstheme="minorEastAsia"/>
          <w:sz w:val="21"/>
          <w:szCs w:val="21"/>
        </w:rPr>
        <w:t>1</w:t>
      </w:r>
      <w:r>
        <w:rPr>
          <w:rFonts w:hint="eastAsia" w:asciiTheme="minorEastAsia" w:hAnsiTheme="minorEastAsia" w:cstheme="minorEastAsia"/>
          <w:sz w:val="21"/>
          <w:szCs w:val="21"/>
        </w:rPr>
        <w:t>、目标</w:t>
      </w:r>
      <w:r>
        <w:rPr>
          <w:rFonts w:asciiTheme="minorEastAsia" w:hAnsiTheme="minorEastAsia" w:cstheme="minorEastAsia"/>
          <w:sz w:val="21"/>
          <w:szCs w:val="21"/>
        </w:rPr>
        <w:t>ETF</w:t>
      </w:r>
      <w:r>
        <w:rPr>
          <w:rFonts w:hint="eastAsia" w:asciiTheme="minorEastAsia" w:hAnsiTheme="minorEastAsia" w:cstheme="minorEastAsia"/>
          <w:sz w:val="21"/>
          <w:szCs w:val="21"/>
        </w:rPr>
        <w:t>交易方式发生重大变更致使本基金的投资策略难以实现；</w:t>
      </w:r>
    </w:p>
    <w:p w14:paraId="40666E7B">
      <w:pPr>
        <w:pStyle w:val="4"/>
        <w:spacing w:line="360" w:lineRule="auto"/>
        <w:ind w:left="0" w:leftChars="0" w:firstLine="420" w:firstLineChars="200"/>
        <w:rPr>
          <w:rFonts w:hint="eastAsia" w:asciiTheme="minorEastAsia" w:hAnsiTheme="minorEastAsia" w:cstheme="minorEastAsia"/>
          <w:sz w:val="21"/>
          <w:szCs w:val="21"/>
        </w:rPr>
      </w:pPr>
      <w:r>
        <w:rPr>
          <w:rFonts w:asciiTheme="minorEastAsia" w:hAnsiTheme="minorEastAsia" w:cstheme="minorEastAsia"/>
          <w:sz w:val="21"/>
          <w:szCs w:val="21"/>
        </w:rPr>
        <w:t>2</w:t>
      </w:r>
      <w:r>
        <w:rPr>
          <w:rFonts w:hint="eastAsia" w:asciiTheme="minorEastAsia" w:hAnsiTheme="minorEastAsia" w:cstheme="minorEastAsia"/>
          <w:sz w:val="21"/>
          <w:szCs w:val="21"/>
        </w:rPr>
        <w:t>、目标</w:t>
      </w:r>
      <w:r>
        <w:rPr>
          <w:rFonts w:asciiTheme="minorEastAsia" w:hAnsiTheme="minorEastAsia" w:cstheme="minorEastAsia"/>
          <w:sz w:val="21"/>
          <w:szCs w:val="21"/>
        </w:rPr>
        <w:t>ETF</w:t>
      </w:r>
      <w:r>
        <w:rPr>
          <w:rFonts w:hint="eastAsia" w:asciiTheme="minorEastAsia" w:hAnsiTheme="minorEastAsia" w:cstheme="minorEastAsia"/>
          <w:sz w:val="21"/>
          <w:szCs w:val="21"/>
        </w:rPr>
        <w:t>终止上市；</w:t>
      </w:r>
    </w:p>
    <w:p w14:paraId="4266588C">
      <w:pPr>
        <w:pStyle w:val="4"/>
        <w:spacing w:line="360" w:lineRule="auto"/>
        <w:ind w:left="0" w:leftChars="0" w:firstLine="420" w:firstLineChars="200"/>
        <w:rPr>
          <w:rFonts w:hint="eastAsia" w:asciiTheme="minorEastAsia" w:hAnsiTheme="minorEastAsia" w:cstheme="minorEastAsia"/>
          <w:sz w:val="21"/>
          <w:szCs w:val="21"/>
        </w:rPr>
      </w:pPr>
      <w:r>
        <w:rPr>
          <w:rFonts w:asciiTheme="minorEastAsia" w:hAnsiTheme="minorEastAsia" w:cstheme="minorEastAsia"/>
          <w:sz w:val="21"/>
          <w:szCs w:val="21"/>
        </w:rPr>
        <w:t>3</w:t>
      </w:r>
      <w:r>
        <w:rPr>
          <w:rFonts w:hint="eastAsia" w:asciiTheme="minorEastAsia" w:hAnsiTheme="minorEastAsia" w:cstheme="minorEastAsia"/>
          <w:sz w:val="21"/>
          <w:szCs w:val="21"/>
        </w:rPr>
        <w:t>、目标</w:t>
      </w:r>
      <w:r>
        <w:rPr>
          <w:rFonts w:asciiTheme="minorEastAsia" w:hAnsiTheme="minorEastAsia" w:cstheme="minorEastAsia"/>
          <w:sz w:val="21"/>
          <w:szCs w:val="21"/>
        </w:rPr>
        <w:t>ETF</w:t>
      </w:r>
      <w:r>
        <w:rPr>
          <w:rFonts w:hint="eastAsia" w:asciiTheme="minorEastAsia" w:hAnsiTheme="minorEastAsia" w:cstheme="minorEastAsia"/>
          <w:sz w:val="21"/>
          <w:szCs w:val="21"/>
        </w:rPr>
        <w:t>基金合同终止；</w:t>
      </w:r>
    </w:p>
    <w:p w14:paraId="0791410E">
      <w:pPr>
        <w:pStyle w:val="4"/>
        <w:spacing w:line="360" w:lineRule="auto"/>
        <w:ind w:left="0" w:leftChars="0" w:firstLine="420" w:firstLineChars="200"/>
        <w:rPr>
          <w:rFonts w:hint="eastAsia" w:asciiTheme="minorEastAsia" w:hAnsiTheme="minorEastAsia" w:cstheme="minorEastAsia"/>
          <w:sz w:val="21"/>
          <w:szCs w:val="21"/>
        </w:rPr>
      </w:pPr>
      <w:r>
        <w:rPr>
          <w:rFonts w:asciiTheme="minorEastAsia" w:hAnsiTheme="minorEastAsia" w:cstheme="minorEastAsia"/>
          <w:sz w:val="21"/>
          <w:szCs w:val="21"/>
        </w:rPr>
        <w:t>4</w:t>
      </w:r>
      <w:r>
        <w:rPr>
          <w:rFonts w:hint="eastAsia" w:asciiTheme="minorEastAsia" w:hAnsiTheme="minorEastAsia" w:cstheme="minorEastAsia"/>
          <w:sz w:val="21"/>
          <w:szCs w:val="21"/>
        </w:rPr>
        <w:t>、目标</w:t>
      </w:r>
      <w:r>
        <w:rPr>
          <w:rFonts w:asciiTheme="minorEastAsia" w:hAnsiTheme="minorEastAsia" w:cstheme="minorEastAsia"/>
          <w:sz w:val="21"/>
          <w:szCs w:val="21"/>
        </w:rPr>
        <w:t>ETF</w:t>
      </w:r>
      <w:r>
        <w:rPr>
          <w:rFonts w:hint="eastAsia" w:asciiTheme="minorEastAsia" w:hAnsiTheme="minorEastAsia" w:cstheme="minorEastAsia"/>
          <w:sz w:val="21"/>
          <w:szCs w:val="21"/>
        </w:rPr>
        <w:t>与其他基金进行合并；</w:t>
      </w:r>
    </w:p>
    <w:p w14:paraId="6BCE06D3">
      <w:pPr>
        <w:pStyle w:val="4"/>
        <w:spacing w:line="360" w:lineRule="auto"/>
        <w:ind w:left="0" w:leftChars="0" w:firstLine="420" w:firstLineChars="200"/>
        <w:rPr>
          <w:rFonts w:hint="eastAsia" w:asciiTheme="minorEastAsia" w:hAnsiTheme="minorEastAsia" w:cstheme="minorEastAsia"/>
          <w:sz w:val="21"/>
          <w:szCs w:val="21"/>
        </w:rPr>
      </w:pPr>
      <w:r>
        <w:rPr>
          <w:rFonts w:asciiTheme="minorEastAsia" w:hAnsiTheme="minorEastAsia" w:cstheme="minorEastAsia"/>
          <w:sz w:val="21"/>
          <w:szCs w:val="21"/>
        </w:rPr>
        <w:t>5</w:t>
      </w:r>
      <w:r>
        <w:rPr>
          <w:rFonts w:hint="eastAsia" w:asciiTheme="minorEastAsia" w:hAnsiTheme="minorEastAsia" w:cstheme="minorEastAsia"/>
          <w:sz w:val="21"/>
          <w:szCs w:val="21"/>
        </w:rPr>
        <w:t>、目标</w:t>
      </w:r>
      <w:r>
        <w:rPr>
          <w:rFonts w:asciiTheme="minorEastAsia" w:hAnsiTheme="minorEastAsia" w:cstheme="minorEastAsia"/>
          <w:sz w:val="21"/>
          <w:szCs w:val="21"/>
        </w:rPr>
        <w:t>ETF</w:t>
      </w:r>
      <w:r>
        <w:rPr>
          <w:rFonts w:hint="eastAsia" w:asciiTheme="minorEastAsia" w:hAnsiTheme="minorEastAsia" w:cstheme="minorEastAsia"/>
          <w:sz w:val="21"/>
          <w:szCs w:val="21"/>
        </w:rPr>
        <w:t>的基金管理人发生变更（但变更后的本基金与目标</w:t>
      </w:r>
      <w:r>
        <w:rPr>
          <w:rFonts w:asciiTheme="minorEastAsia" w:hAnsiTheme="minorEastAsia" w:cstheme="minorEastAsia"/>
          <w:sz w:val="21"/>
          <w:szCs w:val="21"/>
        </w:rPr>
        <w:t>ETF</w:t>
      </w:r>
      <w:r>
        <w:rPr>
          <w:rFonts w:hint="eastAsia" w:asciiTheme="minorEastAsia" w:hAnsiTheme="minorEastAsia" w:cstheme="minorEastAsia"/>
          <w:sz w:val="21"/>
          <w:szCs w:val="21"/>
        </w:rPr>
        <w:t>的基金管理人相同的除外）；</w:t>
      </w:r>
    </w:p>
    <w:p w14:paraId="5DCDBE92">
      <w:pPr>
        <w:pStyle w:val="8"/>
        <w:spacing w:before="0" w:beforeAutospacing="0" w:after="0" w:afterAutospacing="0" w:line="360" w:lineRule="auto"/>
        <w:ind w:firstLine="420" w:firstLineChars="200"/>
        <w:rPr>
          <w:rFonts w:hint="eastAsia" w:asciiTheme="minorEastAsia" w:hAnsiTheme="minorEastAsia" w:cstheme="minorEastAsia"/>
          <w:sz w:val="21"/>
          <w:szCs w:val="21"/>
        </w:rPr>
      </w:pPr>
      <w:r>
        <w:rPr>
          <w:rFonts w:asciiTheme="minorEastAsia" w:hAnsiTheme="minorEastAsia" w:cstheme="minorEastAsia"/>
          <w:sz w:val="21"/>
          <w:szCs w:val="21"/>
        </w:rPr>
        <w:t>6</w:t>
      </w:r>
      <w:r>
        <w:rPr>
          <w:rFonts w:hint="eastAsia" w:asciiTheme="minorEastAsia" w:hAnsiTheme="minorEastAsia" w:cstheme="minorEastAsia"/>
          <w:sz w:val="21"/>
          <w:szCs w:val="21"/>
        </w:rPr>
        <w:t>、中国证监会规定的其他情形。</w:t>
      </w:r>
    </w:p>
    <w:p w14:paraId="2574B1EF">
      <w:pPr>
        <w:pStyle w:val="8"/>
        <w:spacing w:before="0" w:beforeAutospacing="0" w:after="0" w:afterAutospacing="0" w:line="360" w:lineRule="auto"/>
        <w:ind w:firstLine="420"/>
        <w:rPr>
          <w:sz w:val="21"/>
          <w:szCs w:val="21"/>
        </w:rPr>
      </w:pPr>
      <w:r>
        <w:rPr>
          <w:rStyle w:val="12"/>
          <w:rFonts w:hint="eastAsia"/>
          <w:sz w:val="21"/>
          <w:szCs w:val="21"/>
          <w:lang w:val="en-US" w:eastAsia="zh-CN"/>
        </w:rPr>
        <w:t>十、</w:t>
      </w:r>
      <w:r>
        <w:rPr>
          <w:rStyle w:val="12"/>
          <w:rFonts w:hint="eastAsia"/>
          <w:sz w:val="21"/>
          <w:szCs w:val="21"/>
        </w:rPr>
        <w:t>基金投资组合报告</w:t>
      </w:r>
    </w:p>
    <w:p w14:paraId="09F3E4D5">
      <w:pPr>
        <w:pStyle w:val="8"/>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44FDDC1E">
      <w:pPr>
        <w:pStyle w:val="8"/>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66CD5356">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93" w:name="field_2343_financeendday_2"/>
      <w:r>
        <w:rPr>
          <w:sz w:val="21"/>
          <w:szCs w:val="21"/>
        </w:rPr>
        <w:t>2025年6月30日</w:t>
      </w:r>
      <w:bookmarkEnd w:id="93"/>
      <w:r>
        <w:rPr>
          <w:rFonts w:hint="eastAsia"/>
          <w:sz w:val="21"/>
          <w:szCs w:val="21"/>
        </w:rPr>
        <w:t xml:space="preserve">，本报告中所列财务数据未经审计。 </w:t>
      </w:r>
    </w:p>
    <w:p w14:paraId="63CA7773">
      <w:pPr>
        <w:pStyle w:val="8"/>
        <w:spacing w:before="0" w:beforeAutospacing="0" w:after="0" w:afterAutospacing="0" w:line="360" w:lineRule="auto"/>
        <w:ind w:firstLine="420"/>
        <w:rPr>
          <w:sz w:val="21"/>
          <w:szCs w:val="21"/>
        </w:rPr>
      </w:pPr>
      <w:bookmarkStart w:id="94" w:name="field_0_fundportfolio_1_start"/>
      <w:bookmarkEnd w:id="94"/>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14:paraId="67EDC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E1140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50D1C63">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5B712C04">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735A30D9">
            <w:pPr>
              <w:jc w:val="center"/>
              <w:rPr>
                <w:rFonts w:ascii="宋体" w:hAnsi="宋体" w:eastAsia="宋体" w:cs="宋体"/>
                <w:sz w:val="24"/>
                <w:szCs w:val="24"/>
              </w:rPr>
            </w:pPr>
            <w:r>
              <w:rPr>
                <w:rFonts w:hint="eastAsia" w:ascii="宋体" w:hAnsi="宋体" w:eastAsia="宋体"/>
              </w:rPr>
              <w:t>占基金总资产的比例(%)</w:t>
            </w:r>
          </w:p>
        </w:tc>
      </w:tr>
      <w:tr w14:paraId="13B99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82A81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D6A9B8B">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40DB6144">
            <w:pPr>
              <w:jc w:val="right"/>
              <w:rPr>
                <w:rFonts w:ascii="宋体" w:hAnsi="宋体" w:eastAsia="宋体" w:cs="宋体"/>
                <w:sz w:val="24"/>
                <w:szCs w:val="24"/>
              </w:rPr>
            </w:pPr>
            <w:r>
              <w:rPr>
                <w:rFonts w:hint="eastAsia" w:ascii="宋体" w:hAnsi="宋体" w:eastAsia="宋体"/>
              </w:rPr>
              <w:t>47,352,823.30</w:t>
            </w:r>
          </w:p>
        </w:tc>
        <w:tc>
          <w:tcPr>
            <w:tcW w:w="0" w:type="auto"/>
            <w:shd w:val="clear" w:color="auto" w:fill="auto"/>
          </w:tcPr>
          <w:p w14:paraId="5DDDF0F3">
            <w:pPr>
              <w:jc w:val="right"/>
              <w:rPr>
                <w:rFonts w:ascii="宋体" w:hAnsi="宋体" w:eastAsia="宋体" w:cs="宋体"/>
                <w:sz w:val="24"/>
                <w:szCs w:val="24"/>
              </w:rPr>
            </w:pPr>
            <w:r>
              <w:rPr>
                <w:rFonts w:hint="eastAsia" w:ascii="宋体" w:hAnsi="宋体" w:eastAsia="宋体"/>
              </w:rPr>
              <w:t>91.72</w:t>
            </w:r>
          </w:p>
        </w:tc>
      </w:tr>
      <w:tr w14:paraId="61CC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F13101">
            <w:pPr>
              <w:jc w:val="center"/>
              <w:rPr>
                <w:rFonts w:ascii="宋体" w:hAnsi="宋体" w:eastAsia="宋体" w:cs="宋体"/>
                <w:sz w:val="24"/>
                <w:szCs w:val="24"/>
              </w:rPr>
            </w:pPr>
          </w:p>
        </w:tc>
        <w:tc>
          <w:tcPr>
            <w:tcW w:w="0" w:type="auto"/>
            <w:shd w:val="clear" w:color="auto" w:fill="auto"/>
          </w:tcPr>
          <w:p w14:paraId="79D73872">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29F99ADE">
            <w:pPr>
              <w:jc w:val="right"/>
              <w:rPr>
                <w:rFonts w:ascii="宋体" w:hAnsi="宋体" w:eastAsia="宋体" w:cs="宋体"/>
                <w:sz w:val="24"/>
                <w:szCs w:val="24"/>
              </w:rPr>
            </w:pPr>
            <w:r>
              <w:rPr>
                <w:rFonts w:hint="eastAsia" w:ascii="宋体" w:hAnsi="宋体" w:eastAsia="宋体"/>
              </w:rPr>
              <w:t>47,352,823.30</w:t>
            </w:r>
          </w:p>
        </w:tc>
        <w:tc>
          <w:tcPr>
            <w:tcW w:w="0" w:type="auto"/>
            <w:shd w:val="clear" w:color="auto" w:fill="auto"/>
          </w:tcPr>
          <w:p w14:paraId="1E221E0B">
            <w:pPr>
              <w:jc w:val="right"/>
              <w:rPr>
                <w:rFonts w:ascii="宋体" w:hAnsi="宋体" w:eastAsia="宋体" w:cs="宋体"/>
                <w:sz w:val="24"/>
                <w:szCs w:val="24"/>
              </w:rPr>
            </w:pPr>
            <w:r>
              <w:rPr>
                <w:rFonts w:hint="eastAsia" w:ascii="宋体" w:hAnsi="宋体" w:eastAsia="宋体"/>
              </w:rPr>
              <w:t>91.72</w:t>
            </w:r>
          </w:p>
        </w:tc>
      </w:tr>
      <w:tr w14:paraId="7669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C7E22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55B7FF9">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12C5606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A0E154E">
            <w:pPr>
              <w:jc w:val="right"/>
              <w:rPr>
                <w:rFonts w:ascii="宋体" w:hAnsi="宋体" w:eastAsia="宋体" w:cs="宋体"/>
                <w:sz w:val="24"/>
                <w:szCs w:val="24"/>
              </w:rPr>
            </w:pPr>
            <w:r>
              <w:rPr>
                <w:rFonts w:hint="eastAsia" w:ascii="宋体" w:hAnsi="宋体" w:eastAsia="宋体"/>
              </w:rPr>
              <w:t>-</w:t>
            </w:r>
          </w:p>
        </w:tc>
      </w:tr>
      <w:tr w14:paraId="5C20B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CD1A7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F921104">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101E74FC">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14:paraId="6D472248">
            <w:pPr>
              <w:jc w:val="right"/>
              <w:rPr>
                <w:rFonts w:ascii="宋体" w:hAnsi="宋体" w:eastAsia="宋体" w:cs="宋体"/>
                <w:sz w:val="24"/>
                <w:szCs w:val="24"/>
              </w:rPr>
            </w:pPr>
            <w:r>
              <w:rPr>
                <w:rFonts w:hint="eastAsia" w:ascii="宋体" w:hAnsi="宋体" w:eastAsia="宋体"/>
              </w:rPr>
              <w:t>0.59</w:t>
            </w:r>
          </w:p>
        </w:tc>
      </w:tr>
      <w:tr w14:paraId="059ED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B499E6">
            <w:pPr>
              <w:jc w:val="center"/>
              <w:rPr>
                <w:rFonts w:ascii="宋体" w:hAnsi="宋体" w:eastAsia="宋体" w:cs="宋体"/>
                <w:sz w:val="24"/>
                <w:szCs w:val="24"/>
              </w:rPr>
            </w:pPr>
          </w:p>
        </w:tc>
        <w:tc>
          <w:tcPr>
            <w:tcW w:w="0" w:type="auto"/>
            <w:shd w:val="clear" w:color="auto" w:fill="auto"/>
          </w:tcPr>
          <w:p w14:paraId="1672D55D">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78EC8F61">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14:paraId="0722FF42">
            <w:pPr>
              <w:jc w:val="right"/>
              <w:rPr>
                <w:rFonts w:ascii="宋体" w:hAnsi="宋体" w:eastAsia="宋体" w:cs="宋体"/>
                <w:sz w:val="24"/>
                <w:szCs w:val="24"/>
              </w:rPr>
            </w:pPr>
            <w:r>
              <w:rPr>
                <w:rFonts w:hint="eastAsia" w:ascii="宋体" w:hAnsi="宋体" w:eastAsia="宋体"/>
              </w:rPr>
              <w:t>0.59</w:t>
            </w:r>
          </w:p>
        </w:tc>
      </w:tr>
      <w:tr w14:paraId="2D91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2EBBCD">
            <w:pPr>
              <w:jc w:val="center"/>
              <w:rPr>
                <w:rFonts w:ascii="宋体" w:hAnsi="宋体" w:eastAsia="宋体" w:cs="宋体"/>
                <w:sz w:val="24"/>
                <w:szCs w:val="24"/>
              </w:rPr>
            </w:pPr>
          </w:p>
        </w:tc>
        <w:tc>
          <w:tcPr>
            <w:tcW w:w="0" w:type="auto"/>
            <w:shd w:val="clear" w:color="auto" w:fill="auto"/>
          </w:tcPr>
          <w:p w14:paraId="53BC15FD">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210448B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C9DA7A5">
            <w:pPr>
              <w:jc w:val="right"/>
              <w:rPr>
                <w:rFonts w:ascii="宋体" w:hAnsi="宋体" w:eastAsia="宋体" w:cs="宋体"/>
                <w:sz w:val="24"/>
                <w:szCs w:val="24"/>
              </w:rPr>
            </w:pPr>
            <w:r>
              <w:rPr>
                <w:rFonts w:hint="eastAsia" w:ascii="宋体" w:hAnsi="宋体" w:eastAsia="宋体"/>
              </w:rPr>
              <w:t>-</w:t>
            </w:r>
          </w:p>
        </w:tc>
      </w:tr>
      <w:tr w14:paraId="29975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FFD1B2">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F2E96F1">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65A04EF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4943647">
            <w:pPr>
              <w:jc w:val="right"/>
              <w:rPr>
                <w:rFonts w:ascii="宋体" w:hAnsi="宋体" w:eastAsia="宋体" w:cs="宋体"/>
                <w:sz w:val="24"/>
                <w:szCs w:val="24"/>
              </w:rPr>
            </w:pPr>
            <w:r>
              <w:rPr>
                <w:rFonts w:hint="eastAsia" w:ascii="宋体" w:hAnsi="宋体" w:eastAsia="宋体"/>
              </w:rPr>
              <w:t>-</w:t>
            </w:r>
          </w:p>
        </w:tc>
      </w:tr>
      <w:tr w14:paraId="7937A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C2F3B8">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C9F4541">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0BA02A4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D6DC3D">
            <w:pPr>
              <w:jc w:val="right"/>
              <w:rPr>
                <w:rFonts w:ascii="宋体" w:hAnsi="宋体" w:eastAsia="宋体" w:cs="宋体"/>
                <w:sz w:val="24"/>
                <w:szCs w:val="24"/>
              </w:rPr>
            </w:pPr>
            <w:r>
              <w:rPr>
                <w:rFonts w:hint="eastAsia" w:ascii="宋体" w:hAnsi="宋体" w:eastAsia="宋体"/>
              </w:rPr>
              <w:t>-</w:t>
            </w:r>
          </w:p>
        </w:tc>
      </w:tr>
      <w:tr w14:paraId="6C908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233C21">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704D381">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2AFFC4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AED3BA8">
            <w:pPr>
              <w:jc w:val="right"/>
              <w:rPr>
                <w:rFonts w:ascii="宋体" w:hAnsi="宋体" w:eastAsia="宋体" w:cs="宋体"/>
                <w:sz w:val="24"/>
                <w:szCs w:val="24"/>
              </w:rPr>
            </w:pPr>
            <w:r>
              <w:rPr>
                <w:rFonts w:hint="eastAsia" w:ascii="宋体" w:hAnsi="宋体" w:eastAsia="宋体"/>
              </w:rPr>
              <w:t>-</w:t>
            </w:r>
          </w:p>
        </w:tc>
      </w:tr>
      <w:tr w14:paraId="0D5A5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4DB9F8">
            <w:pPr>
              <w:jc w:val="center"/>
              <w:rPr>
                <w:rFonts w:ascii="宋体" w:hAnsi="宋体" w:eastAsia="宋体" w:cs="宋体"/>
                <w:sz w:val="24"/>
                <w:szCs w:val="24"/>
              </w:rPr>
            </w:pPr>
          </w:p>
        </w:tc>
        <w:tc>
          <w:tcPr>
            <w:tcW w:w="0" w:type="auto"/>
            <w:shd w:val="clear" w:color="auto" w:fill="auto"/>
          </w:tcPr>
          <w:p w14:paraId="35E37164">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3389BF6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956DBA1">
            <w:pPr>
              <w:jc w:val="right"/>
              <w:rPr>
                <w:rFonts w:ascii="宋体" w:hAnsi="宋体" w:eastAsia="宋体" w:cs="宋体"/>
                <w:sz w:val="24"/>
                <w:szCs w:val="24"/>
              </w:rPr>
            </w:pPr>
            <w:r>
              <w:rPr>
                <w:rFonts w:hint="eastAsia" w:ascii="宋体" w:hAnsi="宋体" w:eastAsia="宋体"/>
              </w:rPr>
              <w:t>-</w:t>
            </w:r>
          </w:p>
        </w:tc>
      </w:tr>
      <w:tr w14:paraId="794D9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1F6E0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82A88D7">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4EC0DE10">
            <w:pPr>
              <w:jc w:val="right"/>
              <w:rPr>
                <w:rFonts w:ascii="宋体" w:hAnsi="宋体" w:eastAsia="宋体" w:cs="宋体"/>
                <w:sz w:val="24"/>
                <w:szCs w:val="24"/>
              </w:rPr>
            </w:pPr>
            <w:r>
              <w:rPr>
                <w:rFonts w:hint="eastAsia" w:ascii="宋体" w:hAnsi="宋体" w:eastAsia="宋体"/>
              </w:rPr>
              <w:t>3,587,699.61</w:t>
            </w:r>
          </w:p>
        </w:tc>
        <w:tc>
          <w:tcPr>
            <w:tcW w:w="0" w:type="auto"/>
            <w:shd w:val="clear" w:color="auto" w:fill="auto"/>
          </w:tcPr>
          <w:p w14:paraId="5CAC2793">
            <w:pPr>
              <w:jc w:val="right"/>
              <w:rPr>
                <w:rFonts w:ascii="宋体" w:hAnsi="宋体" w:eastAsia="宋体" w:cs="宋体"/>
                <w:sz w:val="24"/>
                <w:szCs w:val="24"/>
              </w:rPr>
            </w:pPr>
            <w:r>
              <w:rPr>
                <w:rFonts w:hint="eastAsia" w:ascii="宋体" w:hAnsi="宋体" w:eastAsia="宋体"/>
              </w:rPr>
              <w:t>6.95</w:t>
            </w:r>
          </w:p>
        </w:tc>
      </w:tr>
      <w:tr w14:paraId="6E804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43AB3D">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971DB30">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52523825">
            <w:pPr>
              <w:jc w:val="right"/>
              <w:rPr>
                <w:rFonts w:ascii="宋体" w:hAnsi="宋体" w:eastAsia="宋体" w:cs="宋体"/>
                <w:sz w:val="24"/>
                <w:szCs w:val="24"/>
              </w:rPr>
            </w:pPr>
            <w:r>
              <w:rPr>
                <w:rFonts w:hint="eastAsia" w:ascii="宋体" w:hAnsi="宋体" w:eastAsia="宋体"/>
              </w:rPr>
              <w:t>381,312.06</w:t>
            </w:r>
          </w:p>
        </w:tc>
        <w:tc>
          <w:tcPr>
            <w:tcW w:w="0" w:type="auto"/>
            <w:shd w:val="clear" w:color="auto" w:fill="auto"/>
          </w:tcPr>
          <w:p w14:paraId="472544E1">
            <w:pPr>
              <w:jc w:val="right"/>
              <w:rPr>
                <w:rFonts w:ascii="宋体" w:hAnsi="宋体" w:eastAsia="宋体" w:cs="宋体"/>
                <w:sz w:val="24"/>
                <w:szCs w:val="24"/>
              </w:rPr>
            </w:pPr>
            <w:r>
              <w:rPr>
                <w:rFonts w:hint="eastAsia" w:ascii="宋体" w:hAnsi="宋体" w:eastAsia="宋体"/>
              </w:rPr>
              <w:t>0.74</w:t>
            </w:r>
          </w:p>
        </w:tc>
      </w:tr>
      <w:tr w14:paraId="672F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B39935">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A1C9266">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94B489A">
            <w:pPr>
              <w:jc w:val="right"/>
              <w:rPr>
                <w:rFonts w:ascii="宋体" w:hAnsi="宋体" w:eastAsia="宋体" w:cs="宋体"/>
                <w:sz w:val="24"/>
                <w:szCs w:val="24"/>
              </w:rPr>
            </w:pPr>
            <w:r>
              <w:rPr>
                <w:rFonts w:hint="eastAsia" w:ascii="宋体" w:hAnsi="宋体" w:eastAsia="宋体"/>
              </w:rPr>
              <w:t>51,625,646.70</w:t>
            </w:r>
          </w:p>
        </w:tc>
        <w:tc>
          <w:tcPr>
            <w:tcW w:w="0" w:type="auto"/>
            <w:shd w:val="clear" w:color="auto" w:fill="auto"/>
          </w:tcPr>
          <w:p w14:paraId="1B805A73">
            <w:pPr>
              <w:jc w:val="right"/>
              <w:rPr>
                <w:rFonts w:ascii="宋体" w:hAnsi="宋体" w:eastAsia="宋体" w:cs="宋体"/>
                <w:sz w:val="24"/>
                <w:szCs w:val="24"/>
              </w:rPr>
            </w:pPr>
            <w:r>
              <w:rPr>
                <w:rFonts w:hint="eastAsia" w:ascii="宋体" w:hAnsi="宋体" w:eastAsia="宋体"/>
              </w:rPr>
              <w:t>100.00</w:t>
            </w:r>
          </w:p>
        </w:tc>
      </w:tr>
    </w:tbl>
    <w:p w14:paraId="322B051F">
      <w:pPr>
        <w:pStyle w:val="8"/>
        <w:spacing w:before="0" w:beforeAutospacing="0" w:after="0" w:afterAutospacing="0" w:line="360" w:lineRule="auto"/>
        <w:ind w:firstLine="420"/>
        <w:rPr>
          <w:sz w:val="21"/>
          <w:szCs w:val="21"/>
        </w:rPr>
      </w:pPr>
      <w:r>
        <w:rPr>
          <w:rStyle w:val="12"/>
          <w:rFonts w:hint="eastAsia"/>
          <w:sz w:val="21"/>
          <w:szCs w:val="21"/>
        </w:rPr>
        <w:t>2报告期末按行业分类的股票投资组合</w:t>
      </w:r>
    </w:p>
    <w:p w14:paraId="7A3B4A64">
      <w:pPr>
        <w:pStyle w:val="8"/>
        <w:spacing w:before="0" w:beforeAutospacing="0" w:after="0" w:afterAutospacing="0" w:line="360" w:lineRule="auto"/>
        <w:ind w:firstLine="420"/>
        <w:rPr>
          <w:sz w:val="21"/>
          <w:szCs w:val="21"/>
        </w:rPr>
      </w:pPr>
      <w:r>
        <w:rPr>
          <w:rStyle w:val="12"/>
          <w:rFonts w:hint="eastAsia"/>
          <w:sz w:val="21"/>
          <w:szCs w:val="21"/>
        </w:rPr>
        <w:t>2.1报告期末按行业分类的境内股票投资组合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1B31A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B380F4">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450C286A">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09C88152">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0798717">
            <w:pPr>
              <w:jc w:val="center"/>
              <w:rPr>
                <w:rFonts w:ascii="宋体" w:hAnsi="宋体" w:eastAsia="宋体" w:cs="宋体"/>
                <w:sz w:val="24"/>
                <w:szCs w:val="24"/>
              </w:rPr>
            </w:pPr>
            <w:r>
              <w:rPr>
                <w:rFonts w:hint="eastAsia" w:ascii="宋体" w:hAnsi="宋体" w:eastAsia="宋体"/>
              </w:rPr>
              <w:t>占基金资产净值比例（％）</w:t>
            </w:r>
          </w:p>
        </w:tc>
      </w:tr>
      <w:tr w14:paraId="25308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485648">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59228D63">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392D938E">
            <w:pPr>
              <w:jc w:val="right"/>
              <w:rPr>
                <w:rFonts w:ascii="宋体" w:hAnsi="宋体" w:eastAsia="宋体" w:cs="宋体"/>
                <w:sz w:val="24"/>
                <w:szCs w:val="24"/>
              </w:rPr>
            </w:pPr>
            <w:r>
              <w:rPr>
                <w:rFonts w:hint="eastAsia" w:ascii="宋体" w:hAnsi="宋体" w:eastAsia="宋体"/>
              </w:rPr>
              <w:t>19,196,722.00</w:t>
            </w:r>
          </w:p>
        </w:tc>
        <w:tc>
          <w:tcPr>
            <w:tcW w:w="0" w:type="auto"/>
            <w:shd w:val="clear" w:color="auto" w:fill="auto"/>
          </w:tcPr>
          <w:p w14:paraId="36E147B4">
            <w:pPr>
              <w:jc w:val="right"/>
              <w:rPr>
                <w:rFonts w:ascii="宋体" w:hAnsi="宋体" w:eastAsia="宋体" w:cs="宋体"/>
                <w:sz w:val="24"/>
                <w:szCs w:val="24"/>
              </w:rPr>
            </w:pPr>
            <w:r>
              <w:rPr>
                <w:rFonts w:hint="eastAsia" w:ascii="宋体" w:hAnsi="宋体" w:eastAsia="宋体"/>
              </w:rPr>
              <w:t>38.04</w:t>
            </w:r>
          </w:p>
        </w:tc>
      </w:tr>
      <w:tr w14:paraId="4A93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400687">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4C287883">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79367FA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905A440">
            <w:pPr>
              <w:jc w:val="right"/>
              <w:rPr>
                <w:rFonts w:ascii="宋体" w:hAnsi="宋体" w:eastAsia="宋体" w:cs="宋体"/>
                <w:sz w:val="24"/>
                <w:szCs w:val="24"/>
              </w:rPr>
            </w:pPr>
            <w:r>
              <w:rPr>
                <w:rFonts w:hint="eastAsia" w:ascii="宋体" w:hAnsi="宋体" w:eastAsia="宋体"/>
              </w:rPr>
              <w:t>-</w:t>
            </w:r>
          </w:p>
        </w:tc>
      </w:tr>
      <w:tr w14:paraId="30B4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31F320">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4E8C0F8F">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380498F9">
            <w:pPr>
              <w:jc w:val="right"/>
              <w:rPr>
                <w:rFonts w:ascii="宋体" w:hAnsi="宋体" w:eastAsia="宋体" w:cs="宋体"/>
                <w:sz w:val="24"/>
                <w:szCs w:val="24"/>
              </w:rPr>
            </w:pPr>
            <w:r>
              <w:rPr>
                <w:rFonts w:hint="eastAsia" w:ascii="宋体" w:hAnsi="宋体" w:eastAsia="宋体"/>
              </w:rPr>
              <w:t>26,027,579.30</w:t>
            </w:r>
          </w:p>
        </w:tc>
        <w:tc>
          <w:tcPr>
            <w:tcW w:w="0" w:type="auto"/>
            <w:shd w:val="clear" w:color="auto" w:fill="auto"/>
          </w:tcPr>
          <w:p w14:paraId="54ECFCB8">
            <w:pPr>
              <w:jc w:val="right"/>
              <w:rPr>
                <w:rFonts w:ascii="宋体" w:hAnsi="宋体" w:eastAsia="宋体" w:cs="宋体"/>
                <w:sz w:val="24"/>
                <w:szCs w:val="24"/>
              </w:rPr>
            </w:pPr>
            <w:r>
              <w:rPr>
                <w:rFonts w:hint="eastAsia" w:ascii="宋体" w:hAnsi="宋体" w:eastAsia="宋体"/>
              </w:rPr>
              <w:t>51.57</w:t>
            </w:r>
          </w:p>
        </w:tc>
      </w:tr>
      <w:tr w14:paraId="2146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F84D8D">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00325DA4">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3FB93E1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0D83349">
            <w:pPr>
              <w:jc w:val="right"/>
              <w:rPr>
                <w:rFonts w:ascii="宋体" w:hAnsi="宋体" w:eastAsia="宋体" w:cs="宋体"/>
                <w:sz w:val="24"/>
                <w:szCs w:val="24"/>
              </w:rPr>
            </w:pPr>
            <w:r>
              <w:rPr>
                <w:rFonts w:hint="eastAsia" w:ascii="宋体" w:hAnsi="宋体" w:eastAsia="宋体"/>
              </w:rPr>
              <w:t>-</w:t>
            </w:r>
          </w:p>
        </w:tc>
      </w:tr>
      <w:tr w14:paraId="3CDB0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64592F">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7CB0F472">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5DB3024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E7A29C6">
            <w:pPr>
              <w:jc w:val="right"/>
              <w:rPr>
                <w:rFonts w:ascii="宋体" w:hAnsi="宋体" w:eastAsia="宋体" w:cs="宋体"/>
                <w:sz w:val="24"/>
                <w:szCs w:val="24"/>
              </w:rPr>
            </w:pPr>
            <w:r>
              <w:rPr>
                <w:rFonts w:hint="eastAsia" w:ascii="宋体" w:hAnsi="宋体" w:eastAsia="宋体"/>
              </w:rPr>
              <w:t>-</w:t>
            </w:r>
          </w:p>
        </w:tc>
      </w:tr>
      <w:tr w14:paraId="4D7EB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5AC2D1">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5C669594">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625BCAD4">
            <w:pPr>
              <w:jc w:val="right"/>
              <w:rPr>
                <w:rFonts w:ascii="宋体" w:hAnsi="宋体" w:eastAsia="宋体" w:cs="宋体"/>
                <w:sz w:val="24"/>
                <w:szCs w:val="24"/>
              </w:rPr>
            </w:pPr>
            <w:r>
              <w:rPr>
                <w:rFonts w:hint="eastAsia" w:ascii="宋体" w:hAnsi="宋体" w:eastAsia="宋体"/>
              </w:rPr>
              <w:t>1,565,000.00</w:t>
            </w:r>
          </w:p>
        </w:tc>
        <w:tc>
          <w:tcPr>
            <w:tcW w:w="0" w:type="auto"/>
            <w:shd w:val="clear" w:color="auto" w:fill="auto"/>
          </w:tcPr>
          <w:p w14:paraId="0DC707C7">
            <w:pPr>
              <w:jc w:val="right"/>
              <w:rPr>
                <w:rFonts w:ascii="宋体" w:hAnsi="宋体" w:eastAsia="宋体" w:cs="宋体"/>
                <w:sz w:val="24"/>
                <w:szCs w:val="24"/>
              </w:rPr>
            </w:pPr>
            <w:r>
              <w:rPr>
                <w:rFonts w:hint="eastAsia" w:ascii="宋体" w:hAnsi="宋体" w:eastAsia="宋体"/>
              </w:rPr>
              <w:t>3.10</w:t>
            </w:r>
          </w:p>
        </w:tc>
      </w:tr>
      <w:tr w14:paraId="5948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794F9D">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6D760DC1">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51412AB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B940871">
            <w:pPr>
              <w:jc w:val="right"/>
              <w:rPr>
                <w:rFonts w:ascii="宋体" w:hAnsi="宋体" w:eastAsia="宋体" w:cs="宋体"/>
                <w:sz w:val="24"/>
                <w:szCs w:val="24"/>
              </w:rPr>
            </w:pPr>
            <w:r>
              <w:rPr>
                <w:rFonts w:hint="eastAsia" w:ascii="宋体" w:hAnsi="宋体" w:eastAsia="宋体"/>
              </w:rPr>
              <w:t>-</w:t>
            </w:r>
          </w:p>
        </w:tc>
      </w:tr>
      <w:tr w14:paraId="319D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09F16E">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5AEE4447">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15AAF69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C82CA81">
            <w:pPr>
              <w:jc w:val="right"/>
              <w:rPr>
                <w:rFonts w:ascii="宋体" w:hAnsi="宋体" w:eastAsia="宋体" w:cs="宋体"/>
                <w:sz w:val="24"/>
                <w:szCs w:val="24"/>
              </w:rPr>
            </w:pPr>
            <w:r>
              <w:rPr>
                <w:rFonts w:hint="eastAsia" w:ascii="宋体" w:hAnsi="宋体" w:eastAsia="宋体"/>
              </w:rPr>
              <w:t>-</w:t>
            </w:r>
          </w:p>
        </w:tc>
      </w:tr>
      <w:tr w14:paraId="3416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D6080E">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431D3E19">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4A5690F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7B7407F">
            <w:pPr>
              <w:jc w:val="right"/>
              <w:rPr>
                <w:rFonts w:ascii="宋体" w:hAnsi="宋体" w:eastAsia="宋体" w:cs="宋体"/>
                <w:sz w:val="24"/>
                <w:szCs w:val="24"/>
              </w:rPr>
            </w:pPr>
            <w:r>
              <w:rPr>
                <w:rFonts w:hint="eastAsia" w:ascii="宋体" w:hAnsi="宋体" w:eastAsia="宋体"/>
              </w:rPr>
              <w:t>-</w:t>
            </w:r>
          </w:p>
        </w:tc>
      </w:tr>
      <w:tr w14:paraId="30CA4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8FB264">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761C1018">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1A18E47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F001BAD">
            <w:pPr>
              <w:jc w:val="right"/>
              <w:rPr>
                <w:rFonts w:ascii="宋体" w:hAnsi="宋体" w:eastAsia="宋体" w:cs="宋体"/>
                <w:sz w:val="24"/>
                <w:szCs w:val="24"/>
              </w:rPr>
            </w:pPr>
            <w:r>
              <w:rPr>
                <w:rFonts w:hint="eastAsia" w:ascii="宋体" w:hAnsi="宋体" w:eastAsia="宋体"/>
              </w:rPr>
              <w:t>-</w:t>
            </w:r>
          </w:p>
        </w:tc>
      </w:tr>
      <w:tr w14:paraId="5BF8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5C8620">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04F41D6E">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03CD8DE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FF466B">
            <w:pPr>
              <w:jc w:val="right"/>
              <w:rPr>
                <w:rFonts w:ascii="宋体" w:hAnsi="宋体" w:eastAsia="宋体" w:cs="宋体"/>
                <w:sz w:val="24"/>
                <w:szCs w:val="24"/>
              </w:rPr>
            </w:pPr>
            <w:r>
              <w:rPr>
                <w:rFonts w:hint="eastAsia" w:ascii="宋体" w:hAnsi="宋体" w:eastAsia="宋体"/>
              </w:rPr>
              <w:t>-</w:t>
            </w:r>
          </w:p>
        </w:tc>
      </w:tr>
      <w:tr w14:paraId="3032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CA088A">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7242A463">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6E320025">
            <w:pPr>
              <w:jc w:val="right"/>
              <w:rPr>
                <w:rFonts w:ascii="宋体" w:hAnsi="宋体" w:eastAsia="宋体" w:cs="宋体"/>
                <w:sz w:val="24"/>
                <w:szCs w:val="24"/>
              </w:rPr>
            </w:pPr>
            <w:r>
              <w:rPr>
                <w:rFonts w:hint="eastAsia" w:ascii="宋体" w:hAnsi="宋体" w:eastAsia="宋体"/>
              </w:rPr>
              <w:t>563,522.00</w:t>
            </w:r>
          </w:p>
        </w:tc>
        <w:tc>
          <w:tcPr>
            <w:tcW w:w="0" w:type="auto"/>
            <w:shd w:val="clear" w:color="auto" w:fill="auto"/>
          </w:tcPr>
          <w:p w14:paraId="06200D53">
            <w:pPr>
              <w:jc w:val="right"/>
              <w:rPr>
                <w:rFonts w:ascii="宋体" w:hAnsi="宋体" w:eastAsia="宋体" w:cs="宋体"/>
                <w:sz w:val="24"/>
                <w:szCs w:val="24"/>
              </w:rPr>
            </w:pPr>
            <w:r>
              <w:rPr>
                <w:rFonts w:hint="eastAsia" w:ascii="宋体" w:hAnsi="宋体" w:eastAsia="宋体"/>
              </w:rPr>
              <w:t>1.12</w:t>
            </w:r>
          </w:p>
        </w:tc>
      </w:tr>
      <w:tr w14:paraId="40060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2D013D">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09858268">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115DFC5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312F4D2">
            <w:pPr>
              <w:jc w:val="right"/>
              <w:rPr>
                <w:rFonts w:ascii="宋体" w:hAnsi="宋体" w:eastAsia="宋体" w:cs="宋体"/>
                <w:sz w:val="24"/>
                <w:szCs w:val="24"/>
              </w:rPr>
            </w:pPr>
            <w:r>
              <w:rPr>
                <w:rFonts w:hint="eastAsia" w:ascii="宋体" w:hAnsi="宋体" w:eastAsia="宋体"/>
              </w:rPr>
              <w:t>-</w:t>
            </w:r>
          </w:p>
        </w:tc>
      </w:tr>
      <w:tr w14:paraId="00814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1988D4">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7742A799">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512B60C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B23C166">
            <w:pPr>
              <w:jc w:val="right"/>
              <w:rPr>
                <w:rFonts w:ascii="宋体" w:hAnsi="宋体" w:eastAsia="宋体" w:cs="宋体"/>
                <w:sz w:val="24"/>
                <w:szCs w:val="24"/>
              </w:rPr>
            </w:pPr>
            <w:r>
              <w:rPr>
                <w:rFonts w:hint="eastAsia" w:ascii="宋体" w:hAnsi="宋体" w:eastAsia="宋体"/>
              </w:rPr>
              <w:t>-</w:t>
            </w:r>
          </w:p>
        </w:tc>
      </w:tr>
      <w:tr w14:paraId="46F0F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5AF89D">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126013B7">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6475AF4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F0631C5">
            <w:pPr>
              <w:jc w:val="right"/>
              <w:rPr>
                <w:rFonts w:ascii="宋体" w:hAnsi="宋体" w:eastAsia="宋体" w:cs="宋体"/>
                <w:sz w:val="24"/>
                <w:szCs w:val="24"/>
              </w:rPr>
            </w:pPr>
            <w:r>
              <w:rPr>
                <w:rFonts w:hint="eastAsia" w:ascii="宋体" w:hAnsi="宋体" w:eastAsia="宋体"/>
              </w:rPr>
              <w:t>-</w:t>
            </w:r>
          </w:p>
        </w:tc>
      </w:tr>
      <w:tr w14:paraId="710C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6BF38A">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1DB721A7">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0B14BE6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CD07FCC">
            <w:pPr>
              <w:jc w:val="right"/>
              <w:rPr>
                <w:rFonts w:ascii="宋体" w:hAnsi="宋体" w:eastAsia="宋体" w:cs="宋体"/>
                <w:sz w:val="24"/>
                <w:szCs w:val="24"/>
              </w:rPr>
            </w:pPr>
            <w:r>
              <w:rPr>
                <w:rFonts w:hint="eastAsia" w:ascii="宋体" w:hAnsi="宋体" w:eastAsia="宋体"/>
              </w:rPr>
              <w:t>-</w:t>
            </w:r>
          </w:p>
        </w:tc>
      </w:tr>
      <w:tr w14:paraId="11943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5524B6">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252D86FE">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6F7E536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6391166">
            <w:pPr>
              <w:jc w:val="right"/>
              <w:rPr>
                <w:rFonts w:ascii="宋体" w:hAnsi="宋体" w:eastAsia="宋体" w:cs="宋体"/>
                <w:sz w:val="24"/>
                <w:szCs w:val="24"/>
              </w:rPr>
            </w:pPr>
            <w:r>
              <w:rPr>
                <w:rFonts w:hint="eastAsia" w:ascii="宋体" w:hAnsi="宋体" w:eastAsia="宋体"/>
              </w:rPr>
              <w:t>-</w:t>
            </w:r>
          </w:p>
        </w:tc>
      </w:tr>
      <w:tr w14:paraId="1DDC5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01DB0F">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72EFB42F">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2731729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37AEB41">
            <w:pPr>
              <w:jc w:val="right"/>
              <w:rPr>
                <w:rFonts w:ascii="宋体" w:hAnsi="宋体" w:eastAsia="宋体" w:cs="宋体"/>
                <w:sz w:val="24"/>
                <w:szCs w:val="24"/>
              </w:rPr>
            </w:pPr>
            <w:r>
              <w:rPr>
                <w:rFonts w:hint="eastAsia" w:ascii="宋体" w:hAnsi="宋体" w:eastAsia="宋体"/>
              </w:rPr>
              <w:t>-</w:t>
            </w:r>
          </w:p>
        </w:tc>
      </w:tr>
      <w:tr w14:paraId="586EC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2225F0">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79CE5B3C">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0584FBF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0AD375B">
            <w:pPr>
              <w:jc w:val="right"/>
              <w:rPr>
                <w:rFonts w:ascii="宋体" w:hAnsi="宋体" w:eastAsia="宋体" w:cs="宋体"/>
                <w:sz w:val="24"/>
                <w:szCs w:val="24"/>
              </w:rPr>
            </w:pPr>
            <w:r>
              <w:rPr>
                <w:rFonts w:hint="eastAsia" w:ascii="宋体" w:hAnsi="宋体" w:eastAsia="宋体"/>
              </w:rPr>
              <w:t>-</w:t>
            </w:r>
          </w:p>
        </w:tc>
      </w:tr>
      <w:tr w14:paraId="0690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3982B7">
            <w:pPr>
              <w:jc w:val="center"/>
              <w:rPr>
                <w:rFonts w:ascii="宋体" w:hAnsi="宋体" w:eastAsia="宋体" w:cs="宋体"/>
                <w:sz w:val="24"/>
                <w:szCs w:val="24"/>
              </w:rPr>
            </w:pPr>
          </w:p>
        </w:tc>
        <w:tc>
          <w:tcPr>
            <w:tcW w:w="0" w:type="auto"/>
            <w:shd w:val="clear" w:color="auto" w:fill="auto"/>
          </w:tcPr>
          <w:p w14:paraId="4F63D69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7C8ED55">
            <w:pPr>
              <w:jc w:val="right"/>
              <w:rPr>
                <w:rFonts w:ascii="宋体" w:hAnsi="宋体" w:eastAsia="宋体" w:cs="宋体"/>
                <w:sz w:val="24"/>
                <w:szCs w:val="24"/>
              </w:rPr>
            </w:pPr>
            <w:r>
              <w:rPr>
                <w:rFonts w:hint="eastAsia" w:ascii="宋体" w:hAnsi="宋体" w:eastAsia="宋体"/>
              </w:rPr>
              <w:t>47,352,823.30</w:t>
            </w:r>
          </w:p>
        </w:tc>
        <w:tc>
          <w:tcPr>
            <w:tcW w:w="0" w:type="auto"/>
            <w:shd w:val="clear" w:color="auto" w:fill="auto"/>
          </w:tcPr>
          <w:p w14:paraId="33D6A43B">
            <w:pPr>
              <w:jc w:val="right"/>
              <w:rPr>
                <w:rFonts w:ascii="宋体" w:hAnsi="宋体" w:eastAsia="宋体" w:cs="宋体"/>
                <w:sz w:val="24"/>
                <w:szCs w:val="24"/>
              </w:rPr>
            </w:pPr>
            <w:r>
              <w:rPr>
                <w:rFonts w:hint="eastAsia" w:ascii="宋体" w:hAnsi="宋体" w:eastAsia="宋体"/>
              </w:rPr>
              <w:t>93.83</w:t>
            </w:r>
          </w:p>
        </w:tc>
      </w:tr>
    </w:tbl>
    <w:p w14:paraId="22944211">
      <w:pPr>
        <w:pStyle w:val="8"/>
        <w:spacing w:before="0" w:beforeAutospacing="0" w:after="0" w:afterAutospacing="0" w:line="360" w:lineRule="auto"/>
        <w:ind w:firstLine="420"/>
        <w:rPr>
          <w:sz w:val="21"/>
          <w:szCs w:val="21"/>
        </w:rPr>
      </w:pPr>
      <w:r>
        <w:rPr>
          <w:rStyle w:val="12"/>
          <w:rFonts w:hint="eastAsia"/>
          <w:sz w:val="21"/>
          <w:szCs w:val="21"/>
        </w:rPr>
        <w:t>2.2报告期末按行业分类的港股通投资股票投资组合</w:t>
      </w:r>
    </w:p>
    <w:p w14:paraId="553F2DCB">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70364E4F">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37"/>
        <w:gridCol w:w="1137"/>
        <w:gridCol w:w="1250"/>
        <w:gridCol w:w="1589"/>
        <w:gridCol w:w="2719"/>
      </w:tblGrid>
      <w:tr w14:paraId="1636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3CB83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0535CB1">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54C321A1">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3F1D0DA6">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526DB11F">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2A57BAF7">
            <w:pPr>
              <w:jc w:val="center"/>
              <w:rPr>
                <w:rFonts w:ascii="宋体" w:hAnsi="宋体" w:eastAsia="宋体" w:cs="宋体"/>
                <w:sz w:val="24"/>
                <w:szCs w:val="24"/>
              </w:rPr>
            </w:pPr>
            <w:r>
              <w:rPr>
                <w:rFonts w:hint="eastAsia" w:ascii="宋体" w:hAnsi="宋体" w:eastAsia="宋体"/>
              </w:rPr>
              <w:t>占基金资产净值比例(％)</w:t>
            </w:r>
          </w:p>
        </w:tc>
      </w:tr>
      <w:tr w14:paraId="2362A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8018D0">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CE20706">
            <w:pPr>
              <w:jc w:val="center"/>
              <w:rPr>
                <w:rFonts w:ascii="宋体" w:hAnsi="宋体" w:eastAsia="宋体" w:cs="宋体"/>
                <w:sz w:val="24"/>
                <w:szCs w:val="24"/>
              </w:rPr>
            </w:pPr>
            <w:r>
              <w:rPr>
                <w:rFonts w:hint="eastAsia" w:ascii="宋体" w:hAnsi="宋体" w:eastAsia="宋体"/>
              </w:rPr>
              <w:t>002385</w:t>
            </w:r>
          </w:p>
        </w:tc>
        <w:tc>
          <w:tcPr>
            <w:tcW w:w="0" w:type="auto"/>
            <w:shd w:val="clear" w:color="auto" w:fill="auto"/>
          </w:tcPr>
          <w:p w14:paraId="570654D1">
            <w:pPr>
              <w:jc w:val="center"/>
              <w:rPr>
                <w:rFonts w:ascii="宋体" w:hAnsi="宋体" w:eastAsia="宋体" w:cs="宋体"/>
                <w:sz w:val="24"/>
                <w:szCs w:val="24"/>
              </w:rPr>
            </w:pPr>
            <w:r>
              <w:rPr>
                <w:rFonts w:hint="eastAsia" w:ascii="宋体" w:hAnsi="宋体" w:eastAsia="宋体"/>
              </w:rPr>
              <w:t>大北农</w:t>
            </w:r>
          </w:p>
        </w:tc>
        <w:tc>
          <w:tcPr>
            <w:tcW w:w="0" w:type="auto"/>
            <w:shd w:val="clear" w:color="auto" w:fill="auto"/>
          </w:tcPr>
          <w:p w14:paraId="1B9CC263">
            <w:pPr>
              <w:jc w:val="right"/>
              <w:rPr>
                <w:rFonts w:ascii="宋体" w:hAnsi="宋体" w:eastAsia="宋体" w:cs="宋体"/>
                <w:sz w:val="24"/>
                <w:szCs w:val="24"/>
              </w:rPr>
            </w:pPr>
            <w:r>
              <w:rPr>
                <w:rFonts w:hint="eastAsia" w:ascii="宋体" w:hAnsi="宋体" w:eastAsia="宋体"/>
              </w:rPr>
              <w:t>1,268,700</w:t>
            </w:r>
          </w:p>
        </w:tc>
        <w:tc>
          <w:tcPr>
            <w:tcW w:w="0" w:type="auto"/>
            <w:shd w:val="clear" w:color="auto" w:fill="auto"/>
          </w:tcPr>
          <w:p w14:paraId="53655476">
            <w:pPr>
              <w:jc w:val="right"/>
              <w:rPr>
                <w:rFonts w:ascii="宋体" w:hAnsi="宋体" w:eastAsia="宋体" w:cs="宋体"/>
                <w:sz w:val="24"/>
                <w:szCs w:val="24"/>
              </w:rPr>
            </w:pPr>
            <w:r>
              <w:rPr>
                <w:rFonts w:hint="eastAsia" w:ascii="宋体" w:hAnsi="宋体" w:eastAsia="宋体"/>
              </w:rPr>
              <w:t>5,125,548.00</w:t>
            </w:r>
          </w:p>
        </w:tc>
        <w:tc>
          <w:tcPr>
            <w:tcW w:w="0" w:type="auto"/>
            <w:shd w:val="clear" w:color="auto" w:fill="auto"/>
          </w:tcPr>
          <w:p w14:paraId="3E8B0B41">
            <w:pPr>
              <w:jc w:val="right"/>
              <w:rPr>
                <w:rFonts w:ascii="宋体" w:hAnsi="宋体" w:eastAsia="宋体" w:cs="宋体"/>
                <w:sz w:val="24"/>
                <w:szCs w:val="24"/>
              </w:rPr>
            </w:pPr>
            <w:r>
              <w:rPr>
                <w:rFonts w:hint="eastAsia" w:ascii="宋体" w:hAnsi="宋体" w:eastAsia="宋体"/>
              </w:rPr>
              <w:t>10.16</w:t>
            </w:r>
          </w:p>
        </w:tc>
      </w:tr>
      <w:tr w14:paraId="10253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D8FB1F">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11CFA12">
            <w:pPr>
              <w:jc w:val="center"/>
              <w:rPr>
                <w:rFonts w:ascii="宋体" w:hAnsi="宋体" w:eastAsia="宋体" w:cs="宋体"/>
                <w:sz w:val="24"/>
                <w:szCs w:val="24"/>
              </w:rPr>
            </w:pPr>
            <w:r>
              <w:rPr>
                <w:rFonts w:hint="eastAsia" w:ascii="宋体" w:hAnsi="宋体" w:eastAsia="宋体"/>
              </w:rPr>
              <w:t>000998</w:t>
            </w:r>
          </w:p>
        </w:tc>
        <w:tc>
          <w:tcPr>
            <w:tcW w:w="0" w:type="auto"/>
            <w:shd w:val="clear" w:color="auto" w:fill="auto"/>
          </w:tcPr>
          <w:p w14:paraId="1F6561F5">
            <w:pPr>
              <w:jc w:val="center"/>
              <w:rPr>
                <w:rFonts w:ascii="宋体" w:hAnsi="宋体" w:eastAsia="宋体" w:cs="宋体"/>
                <w:sz w:val="24"/>
                <w:szCs w:val="24"/>
              </w:rPr>
            </w:pPr>
            <w:r>
              <w:rPr>
                <w:rFonts w:hint="eastAsia" w:ascii="宋体" w:hAnsi="宋体" w:eastAsia="宋体"/>
              </w:rPr>
              <w:t>隆平高科</w:t>
            </w:r>
          </w:p>
        </w:tc>
        <w:tc>
          <w:tcPr>
            <w:tcW w:w="0" w:type="auto"/>
            <w:shd w:val="clear" w:color="auto" w:fill="auto"/>
          </w:tcPr>
          <w:p w14:paraId="257254FC">
            <w:pPr>
              <w:jc w:val="right"/>
              <w:rPr>
                <w:rFonts w:ascii="宋体" w:hAnsi="宋体" w:eastAsia="宋体" w:cs="宋体"/>
                <w:sz w:val="24"/>
                <w:szCs w:val="24"/>
              </w:rPr>
            </w:pPr>
            <w:r>
              <w:rPr>
                <w:rFonts w:hint="eastAsia" w:ascii="宋体" w:hAnsi="宋体" w:eastAsia="宋体"/>
              </w:rPr>
              <w:t>416,700</w:t>
            </w:r>
          </w:p>
        </w:tc>
        <w:tc>
          <w:tcPr>
            <w:tcW w:w="0" w:type="auto"/>
            <w:shd w:val="clear" w:color="auto" w:fill="auto"/>
          </w:tcPr>
          <w:p w14:paraId="05B3D9B9">
            <w:pPr>
              <w:jc w:val="right"/>
              <w:rPr>
                <w:rFonts w:ascii="宋体" w:hAnsi="宋体" w:eastAsia="宋体" w:cs="宋体"/>
                <w:sz w:val="24"/>
                <w:szCs w:val="24"/>
              </w:rPr>
            </w:pPr>
            <w:r>
              <w:rPr>
                <w:rFonts w:hint="eastAsia" w:ascii="宋体" w:hAnsi="宋体" w:eastAsia="宋体"/>
              </w:rPr>
              <w:t>4,104,495.00</w:t>
            </w:r>
          </w:p>
        </w:tc>
        <w:tc>
          <w:tcPr>
            <w:tcW w:w="0" w:type="auto"/>
            <w:shd w:val="clear" w:color="auto" w:fill="auto"/>
          </w:tcPr>
          <w:p w14:paraId="331229B3">
            <w:pPr>
              <w:jc w:val="right"/>
              <w:rPr>
                <w:rFonts w:ascii="宋体" w:hAnsi="宋体" w:eastAsia="宋体" w:cs="宋体"/>
                <w:sz w:val="24"/>
                <w:szCs w:val="24"/>
              </w:rPr>
            </w:pPr>
            <w:r>
              <w:rPr>
                <w:rFonts w:hint="eastAsia" w:ascii="宋体" w:hAnsi="宋体" w:eastAsia="宋体"/>
              </w:rPr>
              <w:t>8.13</w:t>
            </w:r>
          </w:p>
        </w:tc>
      </w:tr>
      <w:tr w14:paraId="2B1BC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01E2A3">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EE52878">
            <w:pPr>
              <w:jc w:val="center"/>
              <w:rPr>
                <w:rFonts w:ascii="宋体" w:hAnsi="宋体" w:eastAsia="宋体" w:cs="宋体"/>
                <w:sz w:val="24"/>
                <w:szCs w:val="24"/>
              </w:rPr>
            </w:pPr>
            <w:r>
              <w:rPr>
                <w:rFonts w:hint="eastAsia" w:ascii="宋体" w:hAnsi="宋体" w:eastAsia="宋体"/>
              </w:rPr>
              <w:t>600598</w:t>
            </w:r>
          </w:p>
        </w:tc>
        <w:tc>
          <w:tcPr>
            <w:tcW w:w="0" w:type="auto"/>
            <w:shd w:val="clear" w:color="auto" w:fill="auto"/>
          </w:tcPr>
          <w:p w14:paraId="5ABC9AAE">
            <w:pPr>
              <w:jc w:val="center"/>
              <w:rPr>
                <w:rFonts w:ascii="宋体" w:hAnsi="宋体" w:eastAsia="宋体" w:cs="宋体"/>
                <w:sz w:val="24"/>
                <w:szCs w:val="24"/>
              </w:rPr>
            </w:pPr>
            <w:r>
              <w:rPr>
                <w:rFonts w:hint="eastAsia" w:ascii="宋体" w:hAnsi="宋体" w:eastAsia="宋体"/>
              </w:rPr>
              <w:t>北大荒</w:t>
            </w:r>
          </w:p>
        </w:tc>
        <w:tc>
          <w:tcPr>
            <w:tcW w:w="0" w:type="auto"/>
            <w:shd w:val="clear" w:color="auto" w:fill="auto"/>
          </w:tcPr>
          <w:p w14:paraId="0E152BE1">
            <w:pPr>
              <w:jc w:val="right"/>
              <w:rPr>
                <w:rFonts w:ascii="宋体" w:hAnsi="宋体" w:eastAsia="宋体" w:cs="宋体"/>
                <w:sz w:val="24"/>
                <w:szCs w:val="24"/>
              </w:rPr>
            </w:pPr>
            <w:r>
              <w:rPr>
                <w:rFonts w:hint="eastAsia" w:ascii="宋体" w:hAnsi="宋体" w:eastAsia="宋体"/>
              </w:rPr>
              <w:t>244,500</w:t>
            </w:r>
          </w:p>
        </w:tc>
        <w:tc>
          <w:tcPr>
            <w:tcW w:w="0" w:type="auto"/>
            <w:shd w:val="clear" w:color="auto" w:fill="auto"/>
          </w:tcPr>
          <w:p w14:paraId="10C4BCD8">
            <w:pPr>
              <w:jc w:val="right"/>
              <w:rPr>
                <w:rFonts w:ascii="宋体" w:hAnsi="宋体" w:eastAsia="宋体" w:cs="宋体"/>
                <w:sz w:val="24"/>
                <w:szCs w:val="24"/>
              </w:rPr>
            </w:pPr>
            <w:r>
              <w:rPr>
                <w:rFonts w:hint="eastAsia" w:ascii="宋体" w:hAnsi="宋体" w:eastAsia="宋体"/>
              </w:rPr>
              <w:t>3,525,690.00</w:t>
            </w:r>
          </w:p>
        </w:tc>
        <w:tc>
          <w:tcPr>
            <w:tcW w:w="0" w:type="auto"/>
            <w:shd w:val="clear" w:color="auto" w:fill="auto"/>
          </w:tcPr>
          <w:p w14:paraId="3930450A">
            <w:pPr>
              <w:jc w:val="right"/>
              <w:rPr>
                <w:rFonts w:ascii="宋体" w:hAnsi="宋体" w:eastAsia="宋体" w:cs="宋体"/>
                <w:sz w:val="24"/>
                <w:szCs w:val="24"/>
              </w:rPr>
            </w:pPr>
            <w:r>
              <w:rPr>
                <w:rFonts w:hint="eastAsia" w:ascii="宋体" w:hAnsi="宋体" w:eastAsia="宋体"/>
              </w:rPr>
              <w:t>6.99</w:t>
            </w:r>
          </w:p>
        </w:tc>
      </w:tr>
      <w:tr w14:paraId="6A096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F1109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F9ED900">
            <w:pPr>
              <w:jc w:val="center"/>
              <w:rPr>
                <w:rFonts w:ascii="宋体" w:hAnsi="宋体" w:eastAsia="宋体" w:cs="宋体"/>
                <w:sz w:val="24"/>
                <w:szCs w:val="24"/>
              </w:rPr>
            </w:pPr>
            <w:r>
              <w:rPr>
                <w:rFonts w:hint="eastAsia" w:ascii="宋体" w:hAnsi="宋体" w:eastAsia="宋体"/>
              </w:rPr>
              <w:t>300087</w:t>
            </w:r>
          </w:p>
        </w:tc>
        <w:tc>
          <w:tcPr>
            <w:tcW w:w="0" w:type="auto"/>
            <w:shd w:val="clear" w:color="auto" w:fill="auto"/>
          </w:tcPr>
          <w:p w14:paraId="62D18B24">
            <w:pPr>
              <w:jc w:val="center"/>
              <w:rPr>
                <w:rFonts w:ascii="宋体" w:hAnsi="宋体" w:eastAsia="宋体" w:cs="宋体"/>
                <w:sz w:val="24"/>
                <w:szCs w:val="24"/>
              </w:rPr>
            </w:pPr>
            <w:r>
              <w:rPr>
                <w:rFonts w:hint="eastAsia" w:ascii="宋体" w:hAnsi="宋体" w:eastAsia="宋体"/>
              </w:rPr>
              <w:t>荃银高科</w:t>
            </w:r>
          </w:p>
        </w:tc>
        <w:tc>
          <w:tcPr>
            <w:tcW w:w="0" w:type="auto"/>
            <w:shd w:val="clear" w:color="auto" w:fill="auto"/>
          </w:tcPr>
          <w:p w14:paraId="3A22F8C8">
            <w:pPr>
              <w:jc w:val="right"/>
              <w:rPr>
                <w:rFonts w:ascii="宋体" w:hAnsi="宋体" w:eastAsia="宋体" w:cs="宋体"/>
                <w:sz w:val="24"/>
                <w:szCs w:val="24"/>
              </w:rPr>
            </w:pPr>
            <w:r>
              <w:rPr>
                <w:rFonts w:hint="eastAsia" w:ascii="宋体" w:hAnsi="宋体" w:eastAsia="宋体"/>
              </w:rPr>
              <w:t>243,100</w:t>
            </w:r>
          </w:p>
        </w:tc>
        <w:tc>
          <w:tcPr>
            <w:tcW w:w="0" w:type="auto"/>
            <w:shd w:val="clear" w:color="auto" w:fill="auto"/>
          </w:tcPr>
          <w:p w14:paraId="27DD995F">
            <w:pPr>
              <w:jc w:val="right"/>
              <w:rPr>
                <w:rFonts w:ascii="宋体" w:hAnsi="宋体" w:eastAsia="宋体" w:cs="宋体"/>
                <w:sz w:val="24"/>
                <w:szCs w:val="24"/>
              </w:rPr>
            </w:pPr>
            <w:r>
              <w:rPr>
                <w:rFonts w:hint="eastAsia" w:ascii="宋体" w:hAnsi="宋体" w:eastAsia="宋体"/>
              </w:rPr>
              <w:t>2,175,745.00</w:t>
            </w:r>
          </w:p>
        </w:tc>
        <w:tc>
          <w:tcPr>
            <w:tcW w:w="0" w:type="auto"/>
            <w:shd w:val="clear" w:color="auto" w:fill="auto"/>
          </w:tcPr>
          <w:p w14:paraId="72265FC4">
            <w:pPr>
              <w:jc w:val="right"/>
              <w:rPr>
                <w:rFonts w:ascii="宋体" w:hAnsi="宋体" w:eastAsia="宋体" w:cs="宋体"/>
                <w:sz w:val="24"/>
                <w:szCs w:val="24"/>
              </w:rPr>
            </w:pPr>
            <w:r>
              <w:rPr>
                <w:rFonts w:hint="eastAsia" w:ascii="宋体" w:hAnsi="宋体" w:eastAsia="宋体"/>
              </w:rPr>
              <w:t>4.31</w:t>
            </w:r>
          </w:p>
        </w:tc>
      </w:tr>
      <w:tr w14:paraId="70A4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2D54A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5E062EF">
            <w:pPr>
              <w:jc w:val="center"/>
              <w:rPr>
                <w:rFonts w:ascii="宋体" w:hAnsi="宋体" w:eastAsia="宋体" w:cs="宋体"/>
                <w:sz w:val="24"/>
                <w:szCs w:val="24"/>
              </w:rPr>
            </w:pPr>
            <w:r>
              <w:rPr>
                <w:rFonts w:hint="eastAsia" w:ascii="宋体" w:hAnsi="宋体" w:eastAsia="宋体"/>
              </w:rPr>
              <w:t>601952</w:t>
            </w:r>
          </w:p>
        </w:tc>
        <w:tc>
          <w:tcPr>
            <w:tcW w:w="0" w:type="auto"/>
            <w:shd w:val="clear" w:color="auto" w:fill="auto"/>
          </w:tcPr>
          <w:p w14:paraId="5A7BDA33">
            <w:pPr>
              <w:jc w:val="center"/>
              <w:rPr>
                <w:rFonts w:ascii="宋体" w:hAnsi="宋体" w:eastAsia="宋体" w:cs="宋体"/>
                <w:sz w:val="24"/>
                <w:szCs w:val="24"/>
              </w:rPr>
            </w:pPr>
            <w:r>
              <w:rPr>
                <w:rFonts w:hint="eastAsia" w:ascii="宋体" w:hAnsi="宋体" w:eastAsia="宋体"/>
              </w:rPr>
              <w:t>苏垦农发</w:t>
            </w:r>
          </w:p>
        </w:tc>
        <w:tc>
          <w:tcPr>
            <w:tcW w:w="0" w:type="auto"/>
            <w:shd w:val="clear" w:color="auto" w:fill="auto"/>
          </w:tcPr>
          <w:p w14:paraId="3280AC10">
            <w:pPr>
              <w:jc w:val="right"/>
              <w:rPr>
                <w:rFonts w:ascii="宋体" w:hAnsi="宋体" w:eastAsia="宋体" w:cs="宋体"/>
                <w:sz w:val="24"/>
                <w:szCs w:val="24"/>
              </w:rPr>
            </w:pPr>
            <w:r>
              <w:rPr>
                <w:rFonts w:hint="eastAsia" w:ascii="宋体" w:hAnsi="宋体" w:eastAsia="宋体"/>
              </w:rPr>
              <w:t>170,000</w:t>
            </w:r>
          </w:p>
        </w:tc>
        <w:tc>
          <w:tcPr>
            <w:tcW w:w="0" w:type="auto"/>
            <w:shd w:val="clear" w:color="auto" w:fill="auto"/>
          </w:tcPr>
          <w:p w14:paraId="530C44E3">
            <w:pPr>
              <w:jc w:val="right"/>
              <w:rPr>
                <w:rFonts w:ascii="宋体" w:hAnsi="宋体" w:eastAsia="宋体" w:cs="宋体"/>
                <w:sz w:val="24"/>
                <w:szCs w:val="24"/>
              </w:rPr>
            </w:pPr>
            <w:r>
              <w:rPr>
                <w:rFonts w:hint="eastAsia" w:ascii="宋体" w:hAnsi="宋体" w:eastAsia="宋体"/>
              </w:rPr>
              <w:t>1,677,900.00</w:t>
            </w:r>
          </w:p>
        </w:tc>
        <w:tc>
          <w:tcPr>
            <w:tcW w:w="0" w:type="auto"/>
            <w:shd w:val="clear" w:color="auto" w:fill="auto"/>
          </w:tcPr>
          <w:p w14:paraId="53C7C4E4">
            <w:pPr>
              <w:jc w:val="right"/>
              <w:rPr>
                <w:rFonts w:ascii="宋体" w:hAnsi="宋体" w:eastAsia="宋体" w:cs="宋体"/>
                <w:sz w:val="24"/>
                <w:szCs w:val="24"/>
              </w:rPr>
            </w:pPr>
            <w:r>
              <w:rPr>
                <w:rFonts w:hint="eastAsia" w:ascii="宋体" w:hAnsi="宋体" w:eastAsia="宋体"/>
              </w:rPr>
              <w:t>3.32</w:t>
            </w:r>
          </w:p>
        </w:tc>
      </w:tr>
      <w:tr w14:paraId="2A22C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783064">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A9D35B5">
            <w:pPr>
              <w:jc w:val="center"/>
              <w:rPr>
                <w:rFonts w:ascii="宋体" w:hAnsi="宋体" w:eastAsia="宋体" w:cs="宋体"/>
                <w:sz w:val="24"/>
                <w:szCs w:val="24"/>
              </w:rPr>
            </w:pPr>
            <w:r>
              <w:rPr>
                <w:rFonts w:hint="eastAsia" w:ascii="宋体" w:hAnsi="宋体" w:eastAsia="宋体"/>
              </w:rPr>
              <w:t>600108</w:t>
            </w:r>
          </w:p>
        </w:tc>
        <w:tc>
          <w:tcPr>
            <w:tcW w:w="0" w:type="auto"/>
            <w:shd w:val="clear" w:color="auto" w:fill="auto"/>
          </w:tcPr>
          <w:p w14:paraId="56FE12E0">
            <w:pPr>
              <w:jc w:val="center"/>
              <w:rPr>
                <w:rFonts w:ascii="宋体" w:hAnsi="宋体" w:eastAsia="宋体" w:cs="宋体"/>
                <w:sz w:val="24"/>
                <w:szCs w:val="24"/>
              </w:rPr>
            </w:pPr>
            <w:r>
              <w:rPr>
                <w:rFonts w:hint="eastAsia" w:ascii="宋体" w:hAnsi="宋体" w:eastAsia="宋体"/>
              </w:rPr>
              <w:t>亚盛集团</w:t>
            </w:r>
          </w:p>
        </w:tc>
        <w:tc>
          <w:tcPr>
            <w:tcW w:w="0" w:type="auto"/>
            <w:shd w:val="clear" w:color="auto" w:fill="auto"/>
          </w:tcPr>
          <w:p w14:paraId="35F24E37">
            <w:pPr>
              <w:jc w:val="right"/>
              <w:rPr>
                <w:rFonts w:ascii="宋体" w:hAnsi="宋体" w:eastAsia="宋体" w:cs="宋体"/>
                <w:sz w:val="24"/>
                <w:szCs w:val="24"/>
              </w:rPr>
            </w:pPr>
            <w:r>
              <w:rPr>
                <w:rFonts w:hint="eastAsia" w:ascii="宋体" w:hAnsi="宋体" w:eastAsia="宋体"/>
              </w:rPr>
              <w:t>537,100</w:t>
            </w:r>
          </w:p>
        </w:tc>
        <w:tc>
          <w:tcPr>
            <w:tcW w:w="0" w:type="auto"/>
            <w:shd w:val="clear" w:color="auto" w:fill="auto"/>
          </w:tcPr>
          <w:p w14:paraId="6165B469">
            <w:pPr>
              <w:jc w:val="right"/>
              <w:rPr>
                <w:rFonts w:ascii="宋体" w:hAnsi="宋体" w:eastAsia="宋体" w:cs="宋体"/>
                <w:sz w:val="24"/>
                <w:szCs w:val="24"/>
              </w:rPr>
            </w:pPr>
            <w:r>
              <w:rPr>
                <w:rFonts w:hint="eastAsia" w:ascii="宋体" w:hAnsi="宋体" w:eastAsia="宋体"/>
              </w:rPr>
              <w:t>1,589,816.00</w:t>
            </w:r>
          </w:p>
        </w:tc>
        <w:tc>
          <w:tcPr>
            <w:tcW w:w="0" w:type="auto"/>
            <w:shd w:val="clear" w:color="auto" w:fill="auto"/>
          </w:tcPr>
          <w:p w14:paraId="29D5591F">
            <w:pPr>
              <w:jc w:val="right"/>
              <w:rPr>
                <w:rFonts w:ascii="宋体" w:hAnsi="宋体" w:eastAsia="宋体" w:cs="宋体"/>
                <w:sz w:val="24"/>
                <w:szCs w:val="24"/>
              </w:rPr>
            </w:pPr>
            <w:r>
              <w:rPr>
                <w:rFonts w:hint="eastAsia" w:ascii="宋体" w:hAnsi="宋体" w:eastAsia="宋体"/>
              </w:rPr>
              <w:t>3.15</w:t>
            </w:r>
          </w:p>
        </w:tc>
      </w:tr>
      <w:tr w14:paraId="7DB2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B6929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1294C21">
            <w:pPr>
              <w:jc w:val="center"/>
              <w:rPr>
                <w:rFonts w:ascii="宋体" w:hAnsi="宋体" w:eastAsia="宋体" w:cs="宋体"/>
                <w:sz w:val="24"/>
                <w:szCs w:val="24"/>
              </w:rPr>
            </w:pPr>
            <w:r>
              <w:rPr>
                <w:rFonts w:hint="eastAsia" w:ascii="宋体" w:hAnsi="宋体" w:eastAsia="宋体"/>
              </w:rPr>
              <w:t>600313</w:t>
            </w:r>
          </w:p>
        </w:tc>
        <w:tc>
          <w:tcPr>
            <w:tcW w:w="0" w:type="auto"/>
            <w:shd w:val="clear" w:color="auto" w:fill="auto"/>
          </w:tcPr>
          <w:p w14:paraId="7E978E65">
            <w:pPr>
              <w:jc w:val="center"/>
              <w:rPr>
                <w:rFonts w:ascii="宋体" w:hAnsi="宋体" w:eastAsia="宋体" w:cs="宋体"/>
                <w:sz w:val="24"/>
                <w:szCs w:val="24"/>
              </w:rPr>
            </w:pPr>
            <w:r>
              <w:rPr>
                <w:rFonts w:hint="eastAsia" w:ascii="宋体" w:hAnsi="宋体" w:eastAsia="宋体"/>
              </w:rPr>
              <w:t>农发种业</w:t>
            </w:r>
          </w:p>
        </w:tc>
        <w:tc>
          <w:tcPr>
            <w:tcW w:w="0" w:type="auto"/>
            <w:shd w:val="clear" w:color="auto" w:fill="auto"/>
          </w:tcPr>
          <w:p w14:paraId="63B5B87B">
            <w:pPr>
              <w:jc w:val="right"/>
              <w:rPr>
                <w:rFonts w:ascii="宋体" w:hAnsi="宋体" w:eastAsia="宋体" w:cs="宋体"/>
                <w:sz w:val="24"/>
                <w:szCs w:val="24"/>
              </w:rPr>
            </w:pPr>
            <w:r>
              <w:rPr>
                <w:rFonts w:hint="eastAsia" w:ascii="宋体" w:hAnsi="宋体" w:eastAsia="宋体"/>
              </w:rPr>
              <w:t>250,000</w:t>
            </w:r>
          </w:p>
        </w:tc>
        <w:tc>
          <w:tcPr>
            <w:tcW w:w="0" w:type="auto"/>
            <w:shd w:val="clear" w:color="auto" w:fill="auto"/>
          </w:tcPr>
          <w:p w14:paraId="6AFD23F1">
            <w:pPr>
              <w:jc w:val="right"/>
              <w:rPr>
                <w:rFonts w:ascii="宋体" w:hAnsi="宋体" w:eastAsia="宋体" w:cs="宋体"/>
                <w:sz w:val="24"/>
                <w:szCs w:val="24"/>
              </w:rPr>
            </w:pPr>
            <w:r>
              <w:rPr>
                <w:rFonts w:hint="eastAsia" w:ascii="宋体" w:hAnsi="宋体" w:eastAsia="宋体"/>
              </w:rPr>
              <w:t>1,565,000.00</w:t>
            </w:r>
          </w:p>
        </w:tc>
        <w:tc>
          <w:tcPr>
            <w:tcW w:w="0" w:type="auto"/>
            <w:shd w:val="clear" w:color="auto" w:fill="auto"/>
          </w:tcPr>
          <w:p w14:paraId="27A2DADB">
            <w:pPr>
              <w:jc w:val="right"/>
              <w:rPr>
                <w:rFonts w:ascii="宋体" w:hAnsi="宋体" w:eastAsia="宋体" w:cs="宋体"/>
                <w:sz w:val="24"/>
                <w:szCs w:val="24"/>
              </w:rPr>
            </w:pPr>
            <w:r>
              <w:rPr>
                <w:rFonts w:hint="eastAsia" w:ascii="宋体" w:hAnsi="宋体" w:eastAsia="宋体"/>
              </w:rPr>
              <w:t>3.10</w:t>
            </w:r>
          </w:p>
        </w:tc>
      </w:tr>
      <w:tr w14:paraId="1C87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64FC7A">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1FCBE38">
            <w:pPr>
              <w:jc w:val="center"/>
              <w:rPr>
                <w:rFonts w:ascii="宋体" w:hAnsi="宋体" w:eastAsia="宋体" w:cs="宋体"/>
                <w:sz w:val="24"/>
                <w:szCs w:val="24"/>
              </w:rPr>
            </w:pPr>
            <w:r>
              <w:rPr>
                <w:rFonts w:hint="eastAsia" w:ascii="宋体" w:hAnsi="宋体" w:eastAsia="宋体"/>
              </w:rPr>
              <w:t>000408</w:t>
            </w:r>
          </w:p>
        </w:tc>
        <w:tc>
          <w:tcPr>
            <w:tcW w:w="0" w:type="auto"/>
            <w:shd w:val="clear" w:color="auto" w:fill="auto"/>
          </w:tcPr>
          <w:p w14:paraId="2BCA07F5">
            <w:pPr>
              <w:jc w:val="center"/>
              <w:rPr>
                <w:rFonts w:ascii="宋体" w:hAnsi="宋体" w:eastAsia="宋体" w:cs="宋体"/>
                <w:sz w:val="24"/>
                <w:szCs w:val="24"/>
              </w:rPr>
            </w:pPr>
            <w:r>
              <w:rPr>
                <w:rFonts w:hint="eastAsia" w:ascii="宋体" w:hAnsi="宋体" w:eastAsia="宋体"/>
              </w:rPr>
              <w:t>藏格矿业</w:t>
            </w:r>
          </w:p>
        </w:tc>
        <w:tc>
          <w:tcPr>
            <w:tcW w:w="0" w:type="auto"/>
            <w:shd w:val="clear" w:color="auto" w:fill="auto"/>
          </w:tcPr>
          <w:p w14:paraId="4F24201B">
            <w:pPr>
              <w:jc w:val="right"/>
              <w:rPr>
                <w:rFonts w:ascii="宋体" w:hAnsi="宋体" w:eastAsia="宋体" w:cs="宋体"/>
                <w:sz w:val="24"/>
                <w:szCs w:val="24"/>
              </w:rPr>
            </w:pPr>
            <w:r>
              <w:rPr>
                <w:rFonts w:hint="eastAsia" w:ascii="宋体" w:hAnsi="宋体" w:eastAsia="宋体"/>
              </w:rPr>
              <w:t>35,200</w:t>
            </w:r>
          </w:p>
        </w:tc>
        <w:tc>
          <w:tcPr>
            <w:tcW w:w="0" w:type="auto"/>
            <w:shd w:val="clear" w:color="auto" w:fill="auto"/>
          </w:tcPr>
          <w:p w14:paraId="0351289C">
            <w:pPr>
              <w:jc w:val="right"/>
              <w:rPr>
                <w:rFonts w:ascii="宋体" w:hAnsi="宋体" w:eastAsia="宋体" w:cs="宋体"/>
                <w:sz w:val="24"/>
                <w:szCs w:val="24"/>
              </w:rPr>
            </w:pPr>
            <w:r>
              <w:rPr>
                <w:rFonts w:hint="eastAsia" w:ascii="宋体" w:hAnsi="宋体" w:eastAsia="宋体"/>
              </w:rPr>
              <w:t>1,501,984.00</w:t>
            </w:r>
          </w:p>
        </w:tc>
        <w:tc>
          <w:tcPr>
            <w:tcW w:w="0" w:type="auto"/>
            <w:shd w:val="clear" w:color="auto" w:fill="auto"/>
          </w:tcPr>
          <w:p w14:paraId="05A68E96">
            <w:pPr>
              <w:jc w:val="right"/>
              <w:rPr>
                <w:rFonts w:ascii="宋体" w:hAnsi="宋体" w:eastAsia="宋体" w:cs="宋体"/>
                <w:sz w:val="24"/>
                <w:szCs w:val="24"/>
              </w:rPr>
            </w:pPr>
            <w:r>
              <w:rPr>
                <w:rFonts w:hint="eastAsia" w:ascii="宋体" w:hAnsi="宋体" w:eastAsia="宋体"/>
              </w:rPr>
              <w:t>2.98</w:t>
            </w:r>
          </w:p>
        </w:tc>
      </w:tr>
      <w:tr w14:paraId="146D8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961D36">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DABCEFF">
            <w:pPr>
              <w:jc w:val="center"/>
              <w:rPr>
                <w:rFonts w:ascii="宋体" w:hAnsi="宋体" w:eastAsia="宋体" w:cs="宋体"/>
                <w:sz w:val="24"/>
                <w:szCs w:val="24"/>
              </w:rPr>
            </w:pPr>
            <w:r>
              <w:rPr>
                <w:rFonts w:hint="eastAsia" w:ascii="宋体" w:hAnsi="宋体" w:eastAsia="宋体"/>
              </w:rPr>
              <w:t>000792</w:t>
            </w:r>
          </w:p>
        </w:tc>
        <w:tc>
          <w:tcPr>
            <w:tcW w:w="0" w:type="auto"/>
            <w:shd w:val="clear" w:color="auto" w:fill="auto"/>
          </w:tcPr>
          <w:p w14:paraId="4B9B8EEF">
            <w:pPr>
              <w:jc w:val="center"/>
              <w:rPr>
                <w:rFonts w:ascii="宋体" w:hAnsi="宋体" w:eastAsia="宋体" w:cs="宋体"/>
                <w:sz w:val="24"/>
                <w:szCs w:val="24"/>
              </w:rPr>
            </w:pPr>
            <w:r>
              <w:rPr>
                <w:rFonts w:hint="eastAsia" w:ascii="宋体" w:hAnsi="宋体" w:eastAsia="宋体"/>
              </w:rPr>
              <w:t>盐湖股份</w:t>
            </w:r>
          </w:p>
        </w:tc>
        <w:tc>
          <w:tcPr>
            <w:tcW w:w="0" w:type="auto"/>
            <w:shd w:val="clear" w:color="auto" w:fill="auto"/>
          </w:tcPr>
          <w:p w14:paraId="7967E347">
            <w:pPr>
              <w:jc w:val="right"/>
              <w:rPr>
                <w:rFonts w:ascii="宋体" w:hAnsi="宋体" w:eastAsia="宋体" w:cs="宋体"/>
                <w:sz w:val="24"/>
                <w:szCs w:val="24"/>
              </w:rPr>
            </w:pPr>
            <w:r>
              <w:rPr>
                <w:rFonts w:hint="eastAsia" w:ascii="宋体" w:hAnsi="宋体" w:eastAsia="宋体"/>
              </w:rPr>
              <w:t>87,200</w:t>
            </w:r>
          </w:p>
        </w:tc>
        <w:tc>
          <w:tcPr>
            <w:tcW w:w="0" w:type="auto"/>
            <w:shd w:val="clear" w:color="auto" w:fill="auto"/>
          </w:tcPr>
          <w:p w14:paraId="6F40B992">
            <w:pPr>
              <w:jc w:val="right"/>
              <w:rPr>
                <w:rFonts w:ascii="宋体" w:hAnsi="宋体" w:eastAsia="宋体" w:cs="宋体"/>
                <w:sz w:val="24"/>
                <w:szCs w:val="24"/>
              </w:rPr>
            </w:pPr>
            <w:r>
              <w:rPr>
                <w:rFonts w:hint="eastAsia" w:ascii="宋体" w:hAnsi="宋体" w:eastAsia="宋体"/>
              </w:rPr>
              <w:t>1,489,376.00</w:t>
            </w:r>
          </w:p>
        </w:tc>
        <w:tc>
          <w:tcPr>
            <w:tcW w:w="0" w:type="auto"/>
            <w:shd w:val="clear" w:color="auto" w:fill="auto"/>
          </w:tcPr>
          <w:p w14:paraId="71C80C7E">
            <w:pPr>
              <w:jc w:val="right"/>
              <w:rPr>
                <w:rFonts w:ascii="宋体" w:hAnsi="宋体" w:eastAsia="宋体" w:cs="宋体"/>
                <w:sz w:val="24"/>
                <w:szCs w:val="24"/>
              </w:rPr>
            </w:pPr>
            <w:r>
              <w:rPr>
                <w:rFonts w:hint="eastAsia" w:ascii="宋体" w:hAnsi="宋体" w:eastAsia="宋体"/>
              </w:rPr>
              <w:t>2.95</w:t>
            </w:r>
          </w:p>
        </w:tc>
      </w:tr>
      <w:tr w14:paraId="6A72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23FC2A">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47C80BA4">
            <w:pPr>
              <w:jc w:val="center"/>
              <w:rPr>
                <w:rFonts w:ascii="宋体" w:hAnsi="宋体" w:eastAsia="宋体" w:cs="宋体"/>
                <w:sz w:val="24"/>
                <w:szCs w:val="24"/>
              </w:rPr>
            </w:pPr>
            <w:r>
              <w:rPr>
                <w:rFonts w:hint="eastAsia" w:ascii="宋体" w:hAnsi="宋体" w:eastAsia="宋体"/>
              </w:rPr>
              <w:t>300189</w:t>
            </w:r>
          </w:p>
        </w:tc>
        <w:tc>
          <w:tcPr>
            <w:tcW w:w="0" w:type="auto"/>
            <w:shd w:val="clear" w:color="auto" w:fill="auto"/>
          </w:tcPr>
          <w:p w14:paraId="2839602D">
            <w:pPr>
              <w:jc w:val="center"/>
              <w:rPr>
                <w:rFonts w:ascii="宋体" w:hAnsi="宋体" w:eastAsia="宋体" w:cs="宋体"/>
                <w:sz w:val="24"/>
                <w:szCs w:val="24"/>
              </w:rPr>
            </w:pPr>
            <w:r>
              <w:rPr>
                <w:rFonts w:hint="eastAsia" w:ascii="宋体" w:hAnsi="宋体" w:eastAsia="宋体"/>
              </w:rPr>
              <w:t>神农种业</w:t>
            </w:r>
          </w:p>
        </w:tc>
        <w:tc>
          <w:tcPr>
            <w:tcW w:w="0" w:type="auto"/>
            <w:shd w:val="clear" w:color="auto" w:fill="auto"/>
          </w:tcPr>
          <w:p w14:paraId="6A7C10C6">
            <w:pPr>
              <w:jc w:val="right"/>
              <w:rPr>
                <w:rFonts w:ascii="宋体" w:hAnsi="宋体" w:eastAsia="宋体" w:cs="宋体"/>
                <w:sz w:val="24"/>
                <w:szCs w:val="24"/>
              </w:rPr>
            </w:pPr>
            <w:r>
              <w:rPr>
                <w:rFonts w:hint="eastAsia" w:ascii="宋体" w:hAnsi="宋体" w:eastAsia="宋体"/>
              </w:rPr>
              <w:t>322,300</w:t>
            </w:r>
          </w:p>
        </w:tc>
        <w:tc>
          <w:tcPr>
            <w:tcW w:w="0" w:type="auto"/>
            <w:shd w:val="clear" w:color="auto" w:fill="auto"/>
          </w:tcPr>
          <w:p w14:paraId="1B9CB08A">
            <w:pPr>
              <w:jc w:val="right"/>
              <w:rPr>
                <w:rFonts w:ascii="宋体" w:hAnsi="宋体" w:eastAsia="宋体" w:cs="宋体"/>
                <w:sz w:val="24"/>
                <w:szCs w:val="24"/>
              </w:rPr>
            </w:pPr>
            <w:r>
              <w:rPr>
                <w:rFonts w:hint="eastAsia" w:ascii="宋体" w:hAnsi="宋体" w:eastAsia="宋体"/>
              </w:rPr>
              <w:t>1,424,566.00</w:t>
            </w:r>
          </w:p>
        </w:tc>
        <w:tc>
          <w:tcPr>
            <w:tcW w:w="0" w:type="auto"/>
            <w:shd w:val="clear" w:color="auto" w:fill="auto"/>
          </w:tcPr>
          <w:p w14:paraId="716F074A">
            <w:pPr>
              <w:jc w:val="right"/>
              <w:rPr>
                <w:rFonts w:ascii="宋体" w:hAnsi="宋体" w:eastAsia="宋体" w:cs="宋体"/>
                <w:sz w:val="24"/>
                <w:szCs w:val="24"/>
              </w:rPr>
            </w:pPr>
            <w:r>
              <w:rPr>
                <w:rFonts w:hint="eastAsia" w:ascii="宋体" w:hAnsi="宋体" w:eastAsia="宋体"/>
              </w:rPr>
              <w:t>2.82</w:t>
            </w:r>
          </w:p>
        </w:tc>
      </w:tr>
    </w:tbl>
    <w:p w14:paraId="4FCFD5A0">
      <w:pPr>
        <w:pStyle w:val="8"/>
        <w:spacing w:before="0" w:beforeAutospacing="0" w:after="0" w:afterAutospacing="0" w:line="360" w:lineRule="auto"/>
        <w:ind w:firstLine="420"/>
        <w:rPr>
          <w:sz w:val="21"/>
          <w:szCs w:val="21"/>
        </w:rPr>
      </w:pPr>
      <w:r>
        <w:rPr>
          <w:rStyle w:val="12"/>
          <w:rFonts w:hint="eastAsia"/>
          <w:sz w:val="21"/>
          <w:szCs w:val="21"/>
        </w:rPr>
        <w:t>4报告期末按债券品种分类的债券投资组合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14:paraId="47B0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72A6C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04F7B0F">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1B7DD11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159AF9B">
            <w:pPr>
              <w:jc w:val="center"/>
              <w:rPr>
                <w:rFonts w:ascii="宋体" w:hAnsi="宋体" w:eastAsia="宋体" w:cs="宋体"/>
                <w:sz w:val="24"/>
                <w:szCs w:val="24"/>
              </w:rPr>
            </w:pPr>
            <w:r>
              <w:rPr>
                <w:rFonts w:hint="eastAsia" w:ascii="宋体" w:hAnsi="宋体" w:eastAsia="宋体"/>
              </w:rPr>
              <w:t>占基金资产净值比例(％)</w:t>
            </w:r>
          </w:p>
        </w:tc>
      </w:tr>
      <w:tr w14:paraId="61C5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95527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715DA87">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2E6FC3A3">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14:paraId="1681DDE5">
            <w:pPr>
              <w:jc w:val="right"/>
              <w:rPr>
                <w:rFonts w:ascii="宋体" w:hAnsi="宋体" w:eastAsia="宋体" w:cs="宋体"/>
                <w:sz w:val="24"/>
                <w:szCs w:val="24"/>
              </w:rPr>
            </w:pPr>
            <w:r>
              <w:rPr>
                <w:rFonts w:hint="eastAsia" w:ascii="宋体" w:hAnsi="宋体" w:eastAsia="宋体"/>
              </w:rPr>
              <w:t>0.60</w:t>
            </w:r>
          </w:p>
        </w:tc>
      </w:tr>
      <w:tr w14:paraId="5D40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E2422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0F8A2FF">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15F19C9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016480F">
            <w:pPr>
              <w:jc w:val="right"/>
              <w:rPr>
                <w:rFonts w:ascii="宋体" w:hAnsi="宋体" w:eastAsia="宋体" w:cs="宋体"/>
                <w:sz w:val="24"/>
                <w:szCs w:val="24"/>
              </w:rPr>
            </w:pPr>
            <w:r>
              <w:rPr>
                <w:rFonts w:hint="eastAsia" w:ascii="宋体" w:hAnsi="宋体" w:eastAsia="宋体"/>
              </w:rPr>
              <w:t>-</w:t>
            </w:r>
          </w:p>
        </w:tc>
      </w:tr>
      <w:tr w14:paraId="0A3AE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6746E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997E0B9">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1217422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BC9A653">
            <w:pPr>
              <w:jc w:val="right"/>
              <w:rPr>
                <w:rFonts w:ascii="宋体" w:hAnsi="宋体" w:eastAsia="宋体" w:cs="宋体"/>
                <w:sz w:val="24"/>
                <w:szCs w:val="24"/>
              </w:rPr>
            </w:pPr>
            <w:r>
              <w:rPr>
                <w:rFonts w:hint="eastAsia" w:ascii="宋体" w:hAnsi="宋体" w:eastAsia="宋体"/>
              </w:rPr>
              <w:t>-</w:t>
            </w:r>
          </w:p>
        </w:tc>
      </w:tr>
      <w:tr w14:paraId="5925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4C3BCC">
            <w:pPr>
              <w:jc w:val="center"/>
              <w:rPr>
                <w:rFonts w:ascii="宋体" w:hAnsi="宋体" w:eastAsia="宋体" w:cs="宋体"/>
                <w:sz w:val="24"/>
                <w:szCs w:val="24"/>
              </w:rPr>
            </w:pPr>
          </w:p>
        </w:tc>
        <w:tc>
          <w:tcPr>
            <w:tcW w:w="0" w:type="auto"/>
            <w:shd w:val="clear" w:color="auto" w:fill="auto"/>
          </w:tcPr>
          <w:p w14:paraId="2DA5FC7C">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072B12A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DC1D495">
            <w:pPr>
              <w:jc w:val="right"/>
              <w:rPr>
                <w:rFonts w:ascii="宋体" w:hAnsi="宋体" w:eastAsia="宋体" w:cs="宋体"/>
                <w:sz w:val="24"/>
                <w:szCs w:val="24"/>
              </w:rPr>
            </w:pPr>
            <w:r>
              <w:rPr>
                <w:rFonts w:hint="eastAsia" w:ascii="宋体" w:hAnsi="宋体" w:eastAsia="宋体"/>
              </w:rPr>
              <w:t>-</w:t>
            </w:r>
          </w:p>
        </w:tc>
      </w:tr>
      <w:tr w14:paraId="6C64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3D8281">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271EAE0">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571F502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99DBA44">
            <w:pPr>
              <w:jc w:val="right"/>
              <w:rPr>
                <w:rFonts w:ascii="宋体" w:hAnsi="宋体" w:eastAsia="宋体" w:cs="宋体"/>
                <w:sz w:val="24"/>
                <w:szCs w:val="24"/>
              </w:rPr>
            </w:pPr>
            <w:r>
              <w:rPr>
                <w:rFonts w:hint="eastAsia" w:ascii="宋体" w:hAnsi="宋体" w:eastAsia="宋体"/>
              </w:rPr>
              <w:t>-</w:t>
            </w:r>
          </w:p>
        </w:tc>
      </w:tr>
      <w:tr w14:paraId="72CE4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28353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0BBB00B">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613E22B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C8288BB">
            <w:pPr>
              <w:jc w:val="right"/>
              <w:rPr>
                <w:rFonts w:ascii="宋体" w:hAnsi="宋体" w:eastAsia="宋体" w:cs="宋体"/>
                <w:sz w:val="24"/>
                <w:szCs w:val="24"/>
              </w:rPr>
            </w:pPr>
            <w:r>
              <w:rPr>
                <w:rFonts w:hint="eastAsia" w:ascii="宋体" w:hAnsi="宋体" w:eastAsia="宋体"/>
              </w:rPr>
              <w:t>-</w:t>
            </w:r>
          </w:p>
        </w:tc>
      </w:tr>
      <w:tr w14:paraId="2B129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DB7251">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B73F156">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020467F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28FA2DB">
            <w:pPr>
              <w:jc w:val="right"/>
              <w:rPr>
                <w:rFonts w:ascii="宋体" w:hAnsi="宋体" w:eastAsia="宋体" w:cs="宋体"/>
                <w:sz w:val="24"/>
                <w:szCs w:val="24"/>
              </w:rPr>
            </w:pPr>
            <w:r>
              <w:rPr>
                <w:rFonts w:hint="eastAsia" w:ascii="宋体" w:hAnsi="宋体" w:eastAsia="宋体"/>
              </w:rPr>
              <w:t>-</w:t>
            </w:r>
          </w:p>
        </w:tc>
      </w:tr>
      <w:tr w14:paraId="0A526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D07DBB">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7C11EE6">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0505841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889179B">
            <w:pPr>
              <w:jc w:val="right"/>
              <w:rPr>
                <w:rFonts w:ascii="宋体" w:hAnsi="宋体" w:eastAsia="宋体" w:cs="宋体"/>
                <w:sz w:val="24"/>
                <w:szCs w:val="24"/>
              </w:rPr>
            </w:pPr>
            <w:r>
              <w:rPr>
                <w:rFonts w:hint="eastAsia" w:ascii="宋体" w:hAnsi="宋体" w:eastAsia="宋体"/>
              </w:rPr>
              <w:t>-</w:t>
            </w:r>
          </w:p>
        </w:tc>
      </w:tr>
      <w:tr w14:paraId="4894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6CEE8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EA5094D">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77D2AC4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086625F">
            <w:pPr>
              <w:jc w:val="right"/>
              <w:rPr>
                <w:rFonts w:ascii="宋体" w:hAnsi="宋体" w:eastAsia="宋体" w:cs="宋体"/>
                <w:sz w:val="24"/>
                <w:szCs w:val="24"/>
              </w:rPr>
            </w:pPr>
            <w:r>
              <w:rPr>
                <w:rFonts w:hint="eastAsia" w:ascii="宋体" w:hAnsi="宋体" w:eastAsia="宋体"/>
              </w:rPr>
              <w:t>-</w:t>
            </w:r>
          </w:p>
        </w:tc>
      </w:tr>
      <w:tr w14:paraId="230D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EEBDCB">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3C0B45B">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7F56701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5FF21D1">
            <w:pPr>
              <w:jc w:val="right"/>
              <w:rPr>
                <w:rFonts w:ascii="宋体" w:hAnsi="宋体" w:eastAsia="宋体" w:cs="宋体"/>
                <w:sz w:val="24"/>
                <w:szCs w:val="24"/>
              </w:rPr>
            </w:pPr>
            <w:r>
              <w:rPr>
                <w:rFonts w:hint="eastAsia" w:ascii="宋体" w:hAnsi="宋体" w:eastAsia="宋体"/>
              </w:rPr>
              <w:t>-</w:t>
            </w:r>
          </w:p>
        </w:tc>
      </w:tr>
      <w:tr w14:paraId="471ED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5FDE3C">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A4F3B2B">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755CDAF">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14:paraId="655F8606">
            <w:pPr>
              <w:jc w:val="right"/>
              <w:rPr>
                <w:rFonts w:ascii="宋体" w:hAnsi="宋体" w:eastAsia="宋体" w:cs="宋体"/>
                <w:sz w:val="24"/>
                <w:szCs w:val="24"/>
              </w:rPr>
            </w:pPr>
            <w:r>
              <w:rPr>
                <w:rFonts w:hint="eastAsia" w:ascii="宋体" w:hAnsi="宋体" w:eastAsia="宋体"/>
              </w:rPr>
              <w:t>0.60</w:t>
            </w:r>
          </w:p>
        </w:tc>
      </w:tr>
    </w:tbl>
    <w:p w14:paraId="25052C7A">
      <w:pPr>
        <w:pStyle w:val="8"/>
        <w:spacing w:before="0" w:beforeAutospacing="0" w:after="0" w:afterAutospacing="0" w:line="360" w:lineRule="auto"/>
        <w:ind w:firstLine="420"/>
        <w:rPr>
          <w:sz w:val="21"/>
          <w:szCs w:val="21"/>
        </w:rPr>
      </w:pPr>
      <w:r>
        <w:rPr>
          <w:rStyle w:val="12"/>
          <w:rFonts w:hint="eastAsia"/>
          <w:sz w:val="21"/>
          <w:szCs w:val="21"/>
        </w:rPr>
        <w:t>5报告期末按公允价值占基金资产净值比例大小排序的前五名债券投资明细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187"/>
        <w:gridCol w:w="1294"/>
        <w:gridCol w:w="1509"/>
        <w:gridCol w:w="2797"/>
      </w:tblGrid>
      <w:tr w14:paraId="4CE9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C420C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CDB7835">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00E3FF4B">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02E55F41">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7D77E735">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AC4A923">
            <w:pPr>
              <w:jc w:val="center"/>
              <w:rPr>
                <w:rFonts w:ascii="宋体" w:hAnsi="宋体" w:eastAsia="宋体" w:cs="宋体"/>
                <w:sz w:val="24"/>
                <w:szCs w:val="24"/>
              </w:rPr>
            </w:pPr>
            <w:r>
              <w:rPr>
                <w:rFonts w:hint="eastAsia" w:ascii="宋体" w:hAnsi="宋体" w:eastAsia="宋体"/>
              </w:rPr>
              <w:t>占基金资产净值比例（％）</w:t>
            </w:r>
          </w:p>
        </w:tc>
      </w:tr>
      <w:tr w14:paraId="7745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78EBA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EBCEE93">
            <w:pPr>
              <w:jc w:val="center"/>
              <w:rPr>
                <w:rFonts w:ascii="宋体" w:hAnsi="宋体" w:eastAsia="宋体" w:cs="宋体"/>
                <w:sz w:val="24"/>
                <w:szCs w:val="24"/>
              </w:rPr>
            </w:pPr>
            <w:r>
              <w:rPr>
                <w:rFonts w:hint="eastAsia" w:ascii="宋体" w:hAnsi="宋体" w:eastAsia="宋体"/>
              </w:rPr>
              <w:t>019749</w:t>
            </w:r>
          </w:p>
        </w:tc>
        <w:tc>
          <w:tcPr>
            <w:tcW w:w="0" w:type="auto"/>
            <w:shd w:val="clear" w:color="auto" w:fill="auto"/>
          </w:tcPr>
          <w:p w14:paraId="44BA997E">
            <w:pPr>
              <w:jc w:val="center"/>
              <w:rPr>
                <w:rFonts w:ascii="宋体" w:hAnsi="宋体" w:eastAsia="宋体" w:cs="宋体"/>
                <w:sz w:val="24"/>
                <w:szCs w:val="24"/>
              </w:rPr>
            </w:pPr>
            <w:r>
              <w:rPr>
                <w:rFonts w:hint="eastAsia" w:ascii="宋体" w:hAnsi="宋体" w:eastAsia="宋体"/>
              </w:rPr>
              <w:t>24国债15</w:t>
            </w:r>
          </w:p>
        </w:tc>
        <w:tc>
          <w:tcPr>
            <w:tcW w:w="0" w:type="auto"/>
            <w:shd w:val="clear" w:color="auto" w:fill="auto"/>
          </w:tcPr>
          <w:p w14:paraId="29A532E3">
            <w:pPr>
              <w:jc w:val="right"/>
              <w:rPr>
                <w:rFonts w:ascii="宋体" w:hAnsi="宋体" w:eastAsia="宋体" w:cs="宋体"/>
                <w:sz w:val="24"/>
                <w:szCs w:val="24"/>
              </w:rPr>
            </w:pPr>
            <w:r>
              <w:rPr>
                <w:rFonts w:hint="eastAsia" w:ascii="宋体" w:hAnsi="宋体" w:eastAsia="宋体"/>
              </w:rPr>
              <w:t>3,000</w:t>
            </w:r>
          </w:p>
        </w:tc>
        <w:tc>
          <w:tcPr>
            <w:tcW w:w="0" w:type="auto"/>
            <w:shd w:val="clear" w:color="auto" w:fill="auto"/>
          </w:tcPr>
          <w:p w14:paraId="29CE6A0C">
            <w:pPr>
              <w:jc w:val="right"/>
              <w:rPr>
                <w:rFonts w:ascii="宋体" w:hAnsi="宋体" w:eastAsia="宋体" w:cs="宋体"/>
                <w:sz w:val="24"/>
                <w:szCs w:val="24"/>
              </w:rPr>
            </w:pPr>
            <w:r>
              <w:rPr>
                <w:rFonts w:hint="eastAsia" w:ascii="宋体" w:hAnsi="宋体" w:eastAsia="宋体"/>
              </w:rPr>
              <w:t>303,811.73</w:t>
            </w:r>
          </w:p>
        </w:tc>
        <w:tc>
          <w:tcPr>
            <w:tcW w:w="0" w:type="auto"/>
            <w:shd w:val="clear" w:color="auto" w:fill="auto"/>
          </w:tcPr>
          <w:p w14:paraId="5868F4CA">
            <w:pPr>
              <w:jc w:val="right"/>
              <w:rPr>
                <w:rFonts w:ascii="宋体" w:hAnsi="宋体" w:eastAsia="宋体" w:cs="宋体"/>
                <w:sz w:val="24"/>
                <w:szCs w:val="24"/>
              </w:rPr>
            </w:pPr>
            <w:r>
              <w:rPr>
                <w:rFonts w:hint="eastAsia" w:ascii="宋体" w:hAnsi="宋体" w:eastAsia="宋体"/>
              </w:rPr>
              <w:t>0.60</w:t>
            </w:r>
          </w:p>
        </w:tc>
      </w:tr>
    </w:tbl>
    <w:p w14:paraId="12503BC6">
      <w:pPr>
        <w:pStyle w:val="8"/>
        <w:spacing w:before="0" w:beforeAutospacing="0" w:after="0" w:afterAutospacing="0" w:line="360" w:lineRule="auto"/>
        <w:ind w:firstLine="420"/>
        <w:rPr>
          <w:sz w:val="21"/>
          <w:szCs w:val="21"/>
        </w:rPr>
      </w:pPr>
      <w:r>
        <w:rPr>
          <w:rStyle w:val="12"/>
          <w:rFonts w:hint="eastAsia"/>
          <w:sz w:val="21"/>
          <w:szCs w:val="21"/>
        </w:rPr>
        <w:t>6报告期末按公允价值占基金资产净值比例大小排序的前十名资产支持证券投资明细</w:t>
      </w:r>
    </w:p>
    <w:p w14:paraId="634815FF">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33DA8C36">
      <w:pPr>
        <w:pStyle w:val="8"/>
        <w:spacing w:before="0" w:beforeAutospacing="0" w:after="0" w:afterAutospacing="0" w:line="360" w:lineRule="auto"/>
        <w:ind w:firstLine="420"/>
        <w:rPr>
          <w:sz w:val="21"/>
          <w:szCs w:val="21"/>
        </w:rPr>
      </w:pPr>
      <w:r>
        <w:rPr>
          <w:rStyle w:val="12"/>
          <w:rFonts w:hint="eastAsia"/>
          <w:sz w:val="21"/>
          <w:szCs w:val="21"/>
        </w:rPr>
        <w:t>7报告期末按公允价值占基金资产净值比例大小排序的前五名贵金属投资明细</w:t>
      </w:r>
    </w:p>
    <w:p w14:paraId="7F1FD104">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04739941">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32E1D91F">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634590D0">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21EBBE51">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19971CDE">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23C68F07">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621DC184">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5DAEF7DE">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40C468EE">
      <w:pPr>
        <w:pStyle w:val="8"/>
        <w:spacing w:before="0" w:beforeAutospacing="0" w:after="0" w:afterAutospacing="0" w:line="360" w:lineRule="auto"/>
        <w:ind w:firstLine="420"/>
        <w:rPr>
          <w:sz w:val="21"/>
          <w:szCs w:val="21"/>
        </w:rPr>
      </w:pPr>
      <w:r>
        <w:rPr>
          <w:rStyle w:val="12"/>
          <w:rFonts w:hint="eastAsia"/>
          <w:sz w:val="21"/>
          <w:szCs w:val="21"/>
        </w:rPr>
        <w:t>10.1本期国债期货投资政策</w:t>
      </w:r>
    </w:p>
    <w:p w14:paraId="48688A73">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3DBFACAF">
      <w:pPr>
        <w:pStyle w:val="8"/>
        <w:spacing w:before="0" w:beforeAutospacing="0" w:after="0" w:afterAutospacing="0" w:line="360" w:lineRule="auto"/>
        <w:ind w:firstLine="420"/>
        <w:rPr>
          <w:sz w:val="21"/>
          <w:szCs w:val="21"/>
        </w:rPr>
      </w:pPr>
      <w:r>
        <w:rPr>
          <w:rStyle w:val="12"/>
          <w:rFonts w:hint="eastAsia"/>
          <w:sz w:val="21"/>
          <w:szCs w:val="21"/>
        </w:rPr>
        <w:t>10.2报告期末本基金投资的国债期货持仓和损益明细</w:t>
      </w:r>
    </w:p>
    <w:p w14:paraId="748E27ED">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394F76FD">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3E37FB51">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5847673D">
      <w:pPr>
        <w:pStyle w:val="8"/>
        <w:spacing w:before="0" w:beforeAutospacing="0" w:after="0" w:afterAutospacing="0" w:line="360" w:lineRule="auto"/>
        <w:ind w:firstLine="420"/>
        <w:rPr>
          <w:sz w:val="21"/>
          <w:szCs w:val="21"/>
        </w:rPr>
      </w:pPr>
      <w:r>
        <w:rPr>
          <w:rFonts w:hint="eastAsia"/>
          <w:sz w:val="21"/>
          <w:szCs w:val="21"/>
        </w:rPr>
        <w:t>本基金投资的前十名证券的发行主体中，青海盐湖工业股份有限公司在报告编制前一年受到格尔木市察尔汗消防救援大队的处罚。黑龙江北大荒农业股份有限公司在报告编制前一年受到双鸭山市自然资源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74F20A49">
      <w:pPr>
        <w:pStyle w:val="8"/>
        <w:spacing w:before="0" w:beforeAutospacing="0" w:after="0" w:afterAutospacing="0" w:line="360" w:lineRule="auto"/>
        <w:ind w:firstLine="420"/>
        <w:rPr>
          <w:sz w:val="21"/>
          <w:szCs w:val="21"/>
        </w:rPr>
      </w:pPr>
      <w:r>
        <w:rPr>
          <w:rStyle w:val="12"/>
          <w:rFonts w:hint="eastAsia"/>
          <w:sz w:val="21"/>
          <w:szCs w:val="21"/>
        </w:rPr>
        <w:t>11.2报告期内基金投资的前十名股票中，没有投资超出基金合同规定备选股票库之外的股票。本基金管理人从制度和流程上要求股票必须先入库再买入。</w:t>
      </w:r>
    </w:p>
    <w:p w14:paraId="51B99967">
      <w:pPr>
        <w:pStyle w:val="8"/>
        <w:spacing w:before="0" w:beforeAutospacing="0" w:after="0" w:afterAutospacing="0" w:line="360" w:lineRule="auto"/>
        <w:ind w:firstLine="420"/>
        <w:rPr>
          <w:sz w:val="21"/>
          <w:szCs w:val="21"/>
        </w:rPr>
      </w:pPr>
      <w:r>
        <w:rPr>
          <w:rStyle w:val="12"/>
          <w:rFonts w:hint="eastAsia"/>
          <w:sz w:val="21"/>
          <w:szCs w:val="21"/>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16284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F45C8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FE8E49A">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5E75AF9A">
            <w:pPr>
              <w:jc w:val="center"/>
              <w:rPr>
                <w:rFonts w:ascii="宋体" w:hAnsi="宋体" w:eastAsia="宋体" w:cs="宋体"/>
                <w:sz w:val="24"/>
                <w:szCs w:val="24"/>
              </w:rPr>
            </w:pPr>
            <w:r>
              <w:rPr>
                <w:rFonts w:hint="eastAsia" w:ascii="宋体" w:hAnsi="宋体" w:eastAsia="宋体"/>
              </w:rPr>
              <w:t>金额(元)</w:t>
            </w:r>
          </w:p>
        </w:tc>
      </w:tr>
      <w:tr w14:paraId="5D12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5CC4A9">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791912D">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4BE05F61">
            <w:pPr>
              <w:jc w:val="right"/>
              <w:rPr>
                <w:rFonts w:ascii="宋体" w:hAnsi="宋体" w:eastAsia="宋体" w:cs="宋体"/>
                <w:sz w:val="24"/>
                <w:szCs w:val="24"/>
              </w:rPr>
            </w:pPr>
            <w:r>
              <w:rPr>
                <w:rFonts w:hint="eastAsia" w:ascii="宋体" w:hAnsi="宋体" w:eastAsia="宋体"/>
              </w:rPr>
              <w:t>70,418.46</w:t>
            </w:r>
          </w:p>
        </w:tc>
      </w:tr>
      <w:tr w14:paraId="684B0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4067C3">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AEE3C75">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588DB5E2">
            <w:pPr>
              <w:jc w:val="right"/>
              <w:rPr>
                <w:rFonts w:ascii="宋体" w:hAnsi="宋体" w:eastAsia="宋体" w:cs="宋体"/>
                <w:sz w:val="24"/>
                <w:szCs w:val="24"/>
              </w:rPr>
            </w:pPr>
            <w:r>
              <w:rPr>
                <w:rFonts w:hint="eastAsia" w:ascii="宋体" w:hAnsi="宋体" w:eastAsia="宋体"/>
              </w:rPr>
              <w:t>-</w:t>
            </w:r>
          </w:p>
        </w:tc>
      </w:tr>
      <w:tr w14:paraId="0345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1A294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950E06B">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79B9B4C5">
            <w:pPr>
              <w:jc w:val="right"/>
              <w:rPr>
                <w:rFonts w:ascii="宋体" w:hAnsi="宋体" w:eastAsia="宋体" w:cs="宋体"/>
                <w:sz w:val="24"/>
                <w:szCs w:val="24"/>
              </w:rPr>
            </w:pPr>
            <w:r>
              <w:rPr>
                <w:rFonts w:hint="eastAsia" w:ascii="宋体" w:hAnsi="宋体" w:eastAsia="宋体"/>
              </w:rPr>
              <w:t>-</w:t>
            </w:r>
          </w:p>
        </w:tc>
      </w:tr>
      <w:tr w14:paraId="58CAA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5E3EC3">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02A6C44">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0E2648B7">
            <w:pPr>
              <w:jc w:val="right"/>
              <w:rPr>
                <w:rFonts w:ascii="宋体" w:hAnsi="宋体" w:eastAsia="宋体" w:cs="宋体"/>
                <w:sz w:val="24"/>
                <w:szCs w:val="24"/>
              </w:rPr>
            </w:pPr>
            <w:r>
              <w:rPr>
                <w:rFonts w:hint="eastAsia" w:ascii="宋体" w:hAnsi="宋体" w:eastAsia="宋体"/>
              </w:rPr>
              <w:t>-</w:t>
            </w:r>
          </w:p>
        </w:tc>
      </w:tr>
      <w:tr w14:paraId="1A43A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692BE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2A7FC50">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27AE99B1">
            <w:pPr>
              <w:jc w:val="right"/>
              <w:rPr>
                <w:rFonts w:ascii="宋体" w:hAnsi="宋体" w:eastAsia="宋体" w:cs="宋体"/>
                <w:sz w:val="24"/>
                <w:szCs w:val="24"/>
              </w:rPr>
            </w:pPr>
            <w:r>
              <w:rPr>
                <w:rFonts w:hint="eastAsia" w:ascii="宋体" w:hAnsi="宋体" w:eastAsia="宋体"/>
              </w:rPr>
              <w:t>310,893.60</w:t>
            </w:r>
          </w:p>
        </w:tc>
      </w:tr>
      <w:tr w14:paraId="622E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4D262E">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486E868">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32956713">
            <w:pPr>
              <w:jc w:val="right"/>
              <w:rPr>
                <w:rFonts w:ascii="宋体" w:hAnsi="宋体" w:eastAsia="宋体" w:cs="宋体"/>
                <w:sz w:val="24"/>
                <w:szCs w:val="24"/>
              </w:rPr>
            </w:pPr>
            <w:r>
              <w:rPr>
                <w:rFonts w:hint="eastAsia" w:ascii="宋体" w:hAnsi="宋体" w:eastAsia="宋体"/>
              </w:rPr>
              <w:t>-</w:t>
            </w:r>
          </w:p>
        </w:tc>
      </w:tr>
      <w:tr w14:paraId="0BAE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8BE586">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C7B225F">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5CDDE935">
            <w:pPr>
              <w:jc w:val="right"/>
              <w:rPr>
                <w:rFonts w:ascii="宋体" w:hAnsi="宋体" w:eastAsia="宋体" w:cs="宋体"/>
                <w:sz w:val="24"/>
                <w:szCs w:val="24"/>
              </w:rPr>
            </w:pPr>
            <w:r>
              <w:rPr>
                <w:rFonts w:hint="eastAsia" w:ascii="宋体" w:hAnsi="宋体" w:eastAsia="宋体"/>
              </w:rPr>
              <w:t>-</w:t>
            </w:r>
          </w:p>
        </w:tc>
      </w:tr>
      <w:tr w14:paraId="71E38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FD790E">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3F48AC5">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2BAC123D">
            <w:pPr>
              <w:jc w:val="right"/>
              <w:rPr>
                <w:rFonts w:ascii="宋体" w:hAnsi="宋体" w:eastAsia="宋体" w:cs="宋体"/>
                <w:sz w:val="24"/>
                <w:szCs w:val="24"/>
              </w:rPr>
            </w:pPr>
            <w:r>
              <w:rPr>
                <w:rFonts w:hint="eastAsia" w:ascii="宋体" w:hAnsi="宋体" w:eastAsia="宋体"/>
              </w:rPr>
              <w:t>-</w:t>
            </w:r>
          </w:p>
        </w:tc>
      </w:tr>
      <w:tr w14:paraId="292F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DA1C0E">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E46433D">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E2E0AC5">
            <w:pPr>
              <w:jc w:val="right"/>
              <w:rPr>
                <w:rFonts w:ascii="宋体" w:hAnsi="宋体" w:eastAsia="宋体" w:cs="宋体"/>
                <w:sz w:val="24"/>
                <w:szCs w:val="24"/>
              </w:rPr>
            </w:pPr>
            <w:r>
              <w:rPr>
                <w:rFonts w:hint="eastAsia" w:ascii="宋体" w:hAnsi="宋体" w:eastAsia="宋体"/>
              </w:rPr>
              <w:t>381,312.06</w:t>
            </w:r>
          </w:p>
        </w:tc>
      </w:tr>
    </w:tbl>
    <w:p w14:paraId="419F2CED">
      <w:pPr>
        <w:pStyle w:val="8"/>
        <w:spacing w:before="0" w:beforeAutospacing="0" w:after="0" w:afterAutospacing="0" w:line="360" w:lineRule="auto"/>
        <w:ind w:firstLine="420"/>
        <w:rPr>
          <w:sz w:val="21"/>
          <w:szCs w:val="21"/>
        </w:rPr>
      </w:pPr>
      <w:r>
        <w:rPr>
          <w:rStyle w:val="12"/>
          <w:rFonts w:hint="eastAsia"/>
          <w:sz w:val="21"/>
          <w:szCs w:val="21"/>
        </w:rPr>
        <w:t>11.4报告期末持有的处于转股期的可转换债券明细</w:t>
      </w:r>
    </w:p>
    <w:p w14:paraId="32C93C8D">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1C9F06BF">
      <w:pPr>
        <w:pStyle w:val="8"/>
        <w:spacing w:before="0" w:beforeAutospacing="0" w:after="0" w:afterAutospacing="0" w:line="360" w:lineRule="auto"/>
        <w:ind w:firstLine="420"/>
        <w:rPr>
          <w:sz w:val="21"/>
          <w:szCs w:val="21"/>
        </w:rPr>
      </w:pPr>
      <w:r>
        <w:rPr>
          <w:rStyle w:val="12"/>
          <w:rFonts w:hint="eastAsia"/>
          <w:sz w:val="21"/>
          <w:szCs w:val="21"/>
        </w:rPr>
        <w:t>11.5报告期末前十名股票中存在流通受限情况的说明</w:t>
      </w:r>
    </w:p>
    <w:p w14:paraId="640C2AFF">
      <w:pPr>
        <w:pStyle w:val="8"/>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0B6DE681">
      <w:pPr>
        <w:pStyle w:val="8"/>
        <w:spacing w:before="0" w:beforeAutospacing="0" w:after="0" w:afterAutospacing="0" w:line="360" w:lineRule="auto"/>
        <w:ind w:firstLine="420"/>
        <w:rPr>
          <w:sz w:val="21"/>
          <w:szCs w:val="21"/>
        </w:rPr>
      </w:pPr>
      <w:r>
        <w:rPr>
          <w:rStyle w:val="12"/>
          <w:rFonts w:hint="eastAsia"/>
          <w:sz w:val="21"/>
          <w:szCs w:val="21"/>
        </w:rPr>
        <w:t>11.6投资组合报告附注的其他文字描述部分</w:t>
      </w:r>
    </w:p>
    <w:p w14:paraId="3FF8F215">
      <w:pPr>
        <w:pStyle w:val="8"/>
        <w:spacing w:before="0" w:beforeAutospacing="0" w:after="0" w:afterAutospacing="0" w:line="360" w:lineRule="auto"/>
        <w:ind w:firstLine="420"/>
        <w:rPr>
          <w:sz w:val="21"/>
          <w:szCs w:val="21"/>
        </w:rPr>
      </w:pPr>
      <w:bookmarkStart w:id="95" w:name="chapter_level1_11_60_section_2_end"/>
      <w:bookmarkEnd w:id="95"/>
      <w:r>
        <w:rPr>
          <w:rFonts w:hint="eastAsia"/>
          <w:sz w:val="21"/>
          <w:szCs w:val="21"/>
        </w:rPr>
        <w:t>由于四舍五入的原因，分项之和与合计项之间可能存在尾差。</w:t>
      </w:r>
      <w:bookmarkStart w:id="96" w:name="field_0_fundportfolio_1_end"/>
      <w:bookmarkEnd w:id="96"/>
      <w:r>
        <w:rPr>
          <w:rFonts w:hint="eastAsia"/>
          <w:sz w:val="21"/>
          <w:szCs w:val="21"/>
        </w:rPr>
        <w:t xml:space="preserve">  </w:t>
      </w:r>
    </w:p>
    <w:p w14:paraId="79BB02B5">
      <w:pPr>
        <w:widowControl/>
        <w:jc w:val="left"/>
        <w:rPr>
          <w:rFonts w:ascii="宋体" w:hAnsi="宋体" w:eastAsia="宋体"/>
        </w:rPr>
      </w:pPr>
      <w:r>
        <w:rPr>
          <w:rFonts w:ascii="宋体" w:hAnsi="宋体" w:eastAsia="宋体"/>
        </w:rPr>
        <w:br w:type="page"/>
      </w:r>
    </w:p>
    <w:p w14:paraId="629158E7">
      <w:pPr>
        <w:pStyle w:val="2"/>
        <w:jc w:val="center"/>
        <w:rPr>
          <w:rFonts w:ascii="宋体" w:hAnsi="宋体" w:eastAsia="宋体"/>
          <w:sz w:val="30"/>
        </w:rPr>
      </w:pPr>
      <w:bookmarkStart w:id="97" w:name="_Toc207939905"/>
      <w:bookmarkStart w:id="98" w:name="chapter_level1_12_3500"/>
      <w:r>
        <w:rPr>
          <w:rFonts w:hint="eastAsia" w:ascii="宋体" w:hAnsi="宋体" w:eastAsia="宋体"/>
          <w:sz w:val="30"/>
        </w:rPr>
        <w:t>第</w:t>
      </w:r>
      <w:r>
        <w:rPr>
          <w:rFonts w:hint="eastAsia" w:ascii="宋体" w:hAnsi="宋体" w:eastAsia="宋体"/>
          <w:sz w:val="30"/>
          <w:lang w:val="en-US" w:eastAsia="zh-CN"/>
        </w:rPr>
        <w:t>十</w:t>
      </w:r>
      <w:r>
        <w:rPr>
          <w:rFonts w:hint="eastAsia" w:ascii="宋体" w:hAnsi="宋体" w:eastAsia="宋体"/>
          <w:sz w:val="30"/>
        </w:rPr>
        <w:t xml:space="preserve">部分 </w:t>
      </w:r>
      <w:r>
        <w:rPr>
          <w:rFonts w:hint="eastAsia" w:ascii="宋体" w:hAnsi="宋体" w:eastAsia="宋体"/>
          <w:sz w:val="30"/>
          <w:lang w:val="en-US" w:eastAsia="zh-CN"/>
        </w:rPr>
        <w:t xml:space="preserve"> </w:t>
      </w:r>
      <w:r>
        <w:rPr>
          <w:rFonts w:hint="eastAsia" w:ascii="宋体" w:hAnsi="宋体" w:eastAsia="宋体"/>
          <w:sz w:val="30"/>
        </w:rPr>
        <w:t>基金的业绩</w:t>
      </w:r>
      <w:bookmarkEnd w:id="97"/>
      <w:bookmarkEnd w:id="98"/>
    </w:p>
    <w:p w14:paraId="46882A45">
      <w:pPr>
        <w:pStyle w:val="8"/>
        <w:spacing w:before="0" w:beforeAutospacing="0" w:after="0" w:afterAutospacing="0" w:line="360" w:lineRule="auto"/>
        <w:ind w:firstLine="420"/>
        <w:rPr>
          <w:sz w:val="21"/>
          <w:szCs w:val="21"/>
        </w:rPr>
      </w:pPr>
      <w:bookmarkStart w:id="99" w:name="chapter_level1_12_3500_section_1"/>
      <w:bookmarkEnd w:id="99"/>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10483EF2">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3D7BD0F8">
      <w:pPr>
        <w:pStyle w:val="8"/>
        <w:spacing w:before="0" w:beforeAutospacing="0" w:after="0" w:afterAutospacing="0" w:line="360" w:lineRule="auto"/>
        <w:ind w:firstLine="420"/>
        <w:rPr>
          <w:sz w:val="21"/>
          <w:szCs w:val="21"/>
        </w:rPr>
      </w:pPr>
      <w:bookmarkStart w:id="100" w:name="field_0_indatatable_1_start"/>
      <w:bookmarkEnd w:id="100"/>
      <w:r>
        <w:rPr>
          <w:rFonts w:hint="eastAsia"/>
          <w:sz w:val="21"/>
          <w:szCs w:val="21"/>
        </w:rPr>
        <w:t>博时国证粮食产业指数发起式A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3EF4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5AEE6F">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6599A110">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50B83633">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27E468C2">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320EB53">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372FE65E">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1838F98">
            <w:pPr>
              <w:jc w:val="center"/>
              <w:rPr>
                <w:rFonts w:ascii="宋体" w:hAnsi="宋体" w:eastAsia="宋体" w:cs="宋体"/>
                <w:sz w:val="24"/>
                <w:szCs w:val="24"/>
              </w:rPr>
            </w:pPr>
            <w:r>
              <w:rPr>
                <w:rFonts w:hint="eastAsia" w:ascii="宋体" w:hAnsi="宋体" w:eastAsia="宋体"/>
              </w:rPr>
              <w:t>②-④</w:t>
            </w:r>
          </w:p>
        </w:tc>
      </w:tr>
      <w:tr w14:paraId="16B19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364123">
            <w:pPr>
              <w:jc w:val="center"/>
              <w:rPr>
                <w:rFonts w:ascii="宋体" w:hAnsi="宋体" w:eastAsia="宋体" w:cs="宋体"/>
                <w:sz w:val="24"/>
                <w:szCs w:val="24"/>
              </w:rPr>
            </w:pPr>
            <w:r>
              <w:rPr>
                <w:rFonts w:hint="eastAsia" w:ascii="宋体" w:hAnsi="宋体" w:eastAsia="宋体"/>
              </w:rPr>
              <w:t>2024.04.09-2024.12.31</w:t>
            </w:r>
          </w:p>
        </w:tc>
        <w:tc>
          <w:tcPr>
            <w:tcW w:w="0" w:type="auto"/>
            <w:shd w:val="clear" w:color="auto" w:fill="auto"/>
          </w:tcPr>
          <w:p w14:paraId="201D865A">
            <w:pPr>
              <w:jc w:val="center"/>
              <w:rPr>
                <w:rFonts w:ascii="宋体" w:hAnsi="宋体" w:eastAsia="宋体" w:cs="宋体"/>
                <w:sz w:val="24"/>
                <w:szCs w:val="24"/>
              </w:rPr>
            </w:pPr>
            <w:r>
              <w:rPr>
                <w:rFonts w:hint="eastAsia" w:ascii="宋体" w:hAnsi="宋体" w:eastAsia="宋体"/>
              </w:rPr>
              <w:t>2.12%</w:t>
            </w:r>
          </w:p>
        </w:tc>
        <w:tc>
          <w:tcPr>
            <w:tcW w:w="0" w:type="auto"/>
            <w:shd w:val="clear" w:color="auto" w:fill="auto"/>
          </w:tcPr>
          <w:p w14:paraId="53D80F1C">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0A8F59E8">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14:paraId="0A3B8D40">
            <w:pPr>
              <w:jc w:val="center"/>
              <w:rPr>
                <w:rFonts w:ascii="宋体" w:hAnsi="宋体" w:eastAsia="宋体" w:cs="宋体"/>
                <w:sz w:val="24"/>
                <w:szCs w:val="24"/>
              </w:rPr>
            </w:pPr>
            <w:r>
              <w:rPr>
                <w:rFonts w:hint="eastAsia" w:ascii="宋体" w:hAnsi="宋体" w:eastAsia="宋体"/>
              </w:rPr>
              <w:t>1.59%</w:t>
            </w:r>
          </w:p>
        </w:tc>
        <w:tc>
          <w:tcPr>
            <w:tcW w:w="0" w:type="auto"/>
            <w:shd w:val="clear" w:color="auto" w:fill="auto"/>
          </w:tcPr>
          <w:p w14:paraId="6D80C56B">
            <w:pPr>
              <w:jc w:val="center"/>
              <w:rPr>
                <w:rFonts w:ascii="宋体" w:hAnsi="宋体" w:eastAsia="宋体" w:cs="宋体"/>
                <w:sz w:val="24"/>
                <w:szCs w:val="24"/>
              </w:rPr>
            </w:pPr>
            <w:r>
              <w:rPr>
                <w:rFonts w:hint="eastAsia" w:ascii="宋体" w:hAnsi="宋体" w:eastAsia="宋体"/>
              </w:rPr>
              <w:t>1.65%</w:t>
            </w:r>
          </w:p>
        </w:tc>
        <w:tc>
          <w:tcPr>
            <w:tcW w:w="0" w:type="auto"/>
            <w:shd w:val="clear" w:color="auto" w:fill="auto"/>
          </w:tcPr>
          <w:p w14:paraId="69BE50DD">
            <w:pPr>
              <w:jc w:val="center"/>
              <w:rPr>
                <w:rFonts w:ascii="宋体" w:hAnsi="宋体" w:eastAsia="宋体" w:cs="宋体"/>
                <w:sz w:val="24"/>
                <w:szCs w:val="24"/>
              </w:rPr>
            </w:pPr>
            <w:r>
              <w:rPr>
                <w:rFonts w:hint="eastAsia" w:ascii="宋体" w:hAnsi="宋体" w:eastAsia="宋体"/>
              </w:rPr>
              <w:t>-0.06%</w:t>
            </w:r>
          </w:p>
        </w:tc>
      </w:tr>
      <w:tr w14:paraId="69BC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BEF71F">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590C9946">
            <w:pPr>
              <w:jc w:val="center"/>
              <w:rPr>
                <w:rFonts w:ascii="宋体" w:hAnsi="宋体" w:eastAsia="宋体" w:cs="宋体"/>
                <w:sz w:val="24"/>
                <w:szCs w:val="24"/>
              </w:rPr>
            </w:pPr>
            <w:r>
              <w:rPr>
                <w:rFonts w:hint="eastAsia" w:ascii="宋体" w:hAnsi="宋体" w:eastAsia="宋体"/>
              </w:rPr>
              <w:t>-4.13%</w:t>
            </w:r>
          </w:p>
        </w:tc>
        <w:tc>
          <w:tcPr>
            <w:tcW w:w="0" w:type="auto"/>
            <w:shd w:val="clear" w:color="auto" w:fill="auto"/>
          </w:tcPr>
          <w:p w14:paraId="3F50F629">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14:paraId="4EC66164">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6FA0C3F7">
            <w:pPr>
              <w:jc w:val="center"/>
              <w:rPr>
                <w:rFonts w:ascii="宋体" w:hAnsi="宋体" w:eastAsia="宋体" w:cs="宋体"/>
                <w:sz w:val="24"/>
                <w:szCs w:val="24"/>
              </w:rPr>
            </w:pPr>
            <w:r>
              <w:rPr>
                <w:rFonts w:hint="eastAsia" w:ascii="宋体" w:hAnsi="宋体" w:eastAsia="宋体"/>
              </w:rPr>
              <w:t>1.28%</w:t>
            </w:r>
          </w:p>
        </w:tc>
        <w:tc>
          <w:tcPr>
            <w:tcW w:w="0" w:type="auto"/>
            <w:shd w:val="clear" w:color="auto" w:fill="auto"/>
          </w:tcPr>
          <w:p w14:paraId="68FA186B">
            <w:pPr>
              <w:jc w:val="center"/>
              <w:rPr>
                <w:rFonts w:ascii="宋体" w:hAnsi="宋体" w:eastAsia="宋体" w:cs="宋体"/>
                <w:sz w:val="24"/>
                <w:szCs w:val="24"/>
              </w:rPr>
            </w:pPr>
            <w:r>
              <w:rPr>
                <w:rFonts w:hint="eastAsia" w:ascii="宋体" w:hAnsi="宋体" w:eastAsia="宋体"/>
              </w:rPr>
              <w:t>-3.08%</w:t>
            </w:r>
          </w:p>
        </w:tc>
        <w:tc>
          <w:tcPr>
            <w:tcW w:w="0" w:type="auto"/>
            <w:shd w:val="clear" w:color="auto" w:fill="auto"/>
          </w:tcPr>
          <w:p w14:paraId="13B0F053">
            <w:pPr>
              <w:jc w:val="center"/>
              <w:rPr>
                <w:rFonts w:ascii="宋体" w:hAnsi="宋体" w:eastAsia="宋体" w:cs="宋体"/>
                <w:sz w:val="24"/>
                <w:szCs w:val="24"/>
              </w:rPr>
            </w:pPr>
            <w:r>
              <w:rPr>
                <w:rFonts w:hint="eastAsia" w:ascii="宋体" w:hAnsi="宋体" w:eastAsia="宋体"/>
              </w:rPr>
              <w:t>-0.24%</w:t>
            </w:r>
          </w:p>
        </w:tc>
      </w:tr>
      <w:tr w14:paraId="6F4E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B239BA">
            <w:pPr>
              <w:jc w:val="center"/>
              <w:rPr>
                <w:rFonts w:ascii="宋体" w:hAnsi="宋体" w:eastAsia="宋体" w:cs="宋体"/>
                <w:sz w:val="24"/>
                <w:szCs w:val="24"/>
              </w:rPr>
            </w:pPr>
            <w:r>
              <w:rPr>
                <w:rFonts w:hint="eastAsia" w:ascii="宋体" w:hAnsi="宋体" w:eastAsia="宋体"/>
              </w:rPr>
              <w:t>2024.04.09-2025.06.30</w:t>
            </w:r>
          </w:p>
        </w:tc>
        <w:tc>
          <w:tcPr>
            <w:tcW w:w="0" w:type="auto"/>
            <w:shd w:val="clear" w:color="auto" w:fill="auto"/>
          </w:tcPr>
          <w:p w14:paraId="00FE2A77">
            <w:pPr>
              <w:jc w:val="center"/>
              <w:rPr>
                <w:rFonts w:ascii="宋体" w:hAnsi="宋体" w:eastAsia="宋体" w:cs="宋体"/>
                <w:sz w:val="24"/>
                <w:szCs w:val="24"/>
              </w:rPr>
            </w:pPr>
            <w:r>
              <w:rPr>
                <w:rFonts w:hint="eastAsia" w:ascii="宋体" w:hAnsi="宋体" w:eastAsia="宋体"/>
              </w:rPr>
              <w:t>-2.10%</w:t>
            </w:r>
          </w:p>
        </w:tc>
        <w:tc>
          <w:tcPr>
            <w:tcW w:w="0" w:type="auto"/>
            <w:shd w:val="clear" w:color="auto" w:fill="auto"/>
          </w:tcPr>
          <w:p w14:paraId="283AE643">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14:paraId="13DC96B5">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14:paraId="00BA5565">
            <w:pPr>
              <w:jc w:val="center"/>
              <w:rPr>
                <w:rFonts w:ascii="宋体" w:hAnsi="宋体" w:eastAsia="宋体" w:cs="宋体"/>
                <w:sz w:val="24"/>
                <w:szCs w:val="24"/>
              </w:rPr>
            </w:pPr>
            <w:r>
              <w:rPr>
                <w:rFonts w:hint="eastAsia" w:ascii="宋体" w:hAnsi="宋体" w:eastAsia="宋体"/>
              </w:rPr>
              <w:t>1.48%</w:t>
            </w:r>
          </w:p>
        </w:tc>
        <w:tc>
          <w:tcPr>
            <w:tcW w:w="0" w:type="auto"/>
            <w:shd w:val="clear" w:color="auto" w:fill="auto"/>
          </w:tcPr>
          <w:p w14:paraId="4F3589AB">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14:paraId="6831345F">
            <w:pPr>
              <w:jc w:val="center"/>
              <w:rPr>
                <w:rFonts w:ascii="宋体" w:hAnsi="宋体" w:eastAsia="宋体" w:cs="宋体"/>
                <w:sz w:val="24"/>
                <w:szCs w:val="24"/>
              </w:rPr>
            </w:pPr>
            <w:r>
              <w:rPr>
                <w:rFonts w:hint="eastAsia" w:ascii="宋体" w:hAnsi="宋体" w:eastAsia="宋体"/>
              </w:rPr>
              <w:t>-0.12%</w:t>
            </w:r>
          </w:p>
        </w:tc>
      </w:tr>
    </w:tbl>
    <w:p w14:paraId="45A2759A">
      <w:pPr>
        <w:pStyle w:val="8"/>
        <w:spacing w:before="0" w:beforeAutospacing="0" w:after="0" w:afterAutospacing="0" w:line="360" w:lineRule="auto"/>
        <w:ind w:firstLine="420"/>
        <w:rPr>
          <w:sz w:val="21"/>
          <w:szCs w:val="21"/>
        </w:rPr>
      </w:pPr>
      <w:r>
        <w:rPr>
          <w:rFonts w:hint="eastAsia"/>
          <w:sz w:val="21"/>
          <w:szCs w:val="21"/>
        </w:rPr>
        <w:t>博时国证粮食产业指数发起式C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6591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993453">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39666CAF">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10156B98">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407F4058">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03CA198F">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3CE55C09">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434EE403">
            <w:pPr>
              <w:jc w:val="center"/>
              <w:rPr>
                <w:rFonts w:ascii="宋体" w:hAnsi="宋体" w:eastAsia="宋体" w:cs="宋体"/>
                <w:sz w:val="24"/>
                <w:szCs w:val="24"/>
              </w:rPr>
            </w:pPr>
            <w:r>
              <w:rPr>
                <w:rFonts w:hint="eastAsia" w:ascii="宋体" w:hAnsi="宋体" w:eastAsia="宋体"/>
              </w:rPr>
              <w:t>②-④</w:t>
            </w:r>
          </w:p>
        </w:tc>
      </w:tr>
      <w:tr w14:paraId="5558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DC0211">
            <w:pPr>
              <w:jc w:val="center"/>
              <w:rPr>
                <w:rFonts w:ascii="宋体" w:hAnsi="宋体" w:eastAsia="宋体" w:cs="宋体"/>
                <w:sz w:val="24"/>
                <w:szCs w:val="24"/>
              </w:rPr>
            </w:pPr>
            <w:r>
              <w:rPr>
                <w:rFonts w:hint="eastAsia" w:ascii="宋体" w:hAnsi="宋体" w:eastAsia="宋体"/>
              </w:rPr>
              <w:t>2024.04.09-2024.12.31</w:t>
            </w:r>
          </w:p>
        </w:tc>
        <w:tc>
          <w:tcPr>
            <w:tcW w:w="0" w:type="auto"/>
            <w:shd w:val="clear" w:color="auto" w:fill="auto"/>
          </w:tcPr>
          <w:p w14:paraId="2440D1BC">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64FFE2B0">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37D94C55">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14:paraId="5E9EF05C">
            <w:pPr>
              <w:jc w:val="center"/>
              <w:rPr>
                <w:rFonts w:ascii="宋体" w:hAnsi="宋体" w:eastAsia="宋体" w:cs="宋体"/>
                <w:sz w:val="24"/>
                <w:szCs w:val="24"/>
              </w:rPr>
            </w:pPr>
            <w:r>
              <w:rPr>
                <w:rFonts w:hint="eastAsia" w:ascii="宋体" w:hAnsi="宋体" w:eastAsia="宋体"/>
              </w:rPr>
              <w:t>1.59%</w:t>
            </w:r>
          </w:p>
        </w:tc>
        <w:tc>
          <w:tcPr>
            <w:tcW w:w="0" w:type="auto"/>
            <w:shd w:val="clear" w:color="auto" w:fill="auto"/>
          </w:tcPr>
          <w:p w14:paraId="3F2C7E36">
            <w:pPr>
              <w:jc w:val="center"/>
              <w:rPr>
                <w:rFonts w:ascii="宋体" w:hAnsi="宋体" w:eastAsia="宋体" w:cs="宋体"/>
                <w:sz w:val="24"/>
                <w:szCs w:val="24"/>
              </w:rPr>
            </w:pPr>
            <w:r>
              <w:rPr>
                <w:rFonts w:hint="eastAsia" w:ascii="宋体" w:hAnsi="宋体" w:eastAsia="宋体"/>
              </w:rPr>
              <w:t>1.43%</w:t>
            </w:r>
          </w:p>
        </w:tc>
        <w:tc>
          <w:tcPr>
            <w:tcW w:w="0" w:type="auto"/>
            <w:shd w:val="clear" w:color="auto" w:fill="auto"/>
          </w:tcPr>
          <w:p w14:paraId="2D3E037D">
            <w:pPr>
              <w:jc w:val="center"/>
              <w:rPr>
                <w:rFonts w:ascii="宋体" w:hAnsi="宋体" w:eastAsia="宋体" w:cs="宋体"/>
                <w:sz w:val="24"/>
                <w:szCs w:val="24"/>
              </w:rPr>
            </w:pPr>
            <w:r>
              <w:rPr>
                <w:rFonts w:hint="eastAsia" w:ascii="宋体" w:hAnsi="宋体" w:eastAsia="宋体"/>
              </w:rPr>
              <w:t>-0.06%</w:t>
            </w:r>
          </w:p>
        </w:tc>
      </w:tr>
      <w:tr w14:paraId="36BE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5A2096">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71912F6C">
            <w:pPr>
              <w:jc w:val="center"/>
              <w:rPr>
                <w:rFonts w:ascii="宋体" w:hAnsi="宋体" w:eastAsia="宋体" w:cs="宋体"/>
                <w:sz w:val="24"/>
                <w:szCs w:val="24"/>
              </w:rPr>
            </w:pPr>
            <w:r>
              <w:rPr>
                <w:rFonts w:hint="eastAsia" w:ascii="宋体" w:hAnsi="宋体" w:eastAsia="宋体"/>
              </w:rPr>
              <w:t>-4.30%</w:t>
            </w:r>
          </w:p>
        </w:tc>
        <w:tc>
          <w:tcPr>
            <w:tcW w:w="0" w:type="auto"/>
            <w:shd w:val="clear" w:color="auto" w:fill="auto"/>
          </w:tcPr>
          <w:p w14:paraId="68552380">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14:paraId="26806DE1">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3BCD143F">
            <w:pPr>
              <w:jc w:val="center"/>
              <w:rPr>
                <w:rFonts w:ascii="宋体" w:hAnsi="宋体" w:eastAsia="宋体" w:cs="宋体"/>
                <w:sz w:val="24"/>
                <w:szCs w:val="24"/>
              </w:rPr>
            </w:pPr>
            <w:r>
              <w:rPr>
                <w:rFonts w:hint="eastAsia" w:ascii="宋体" w:hAnsi="宋体" w:eastAsia="宋体"/>
              </w:rPr>
              <w:t>1.28%</w:t>
            </w:r>
          </w:p>
        </w:tc>
        <w:tc>
          <w:tcPr>
            <w:tcW w:w="0" w:type="auto"/>
            <w:shd w:val="clear" w:color="auto" w:fill="auto"/>
          </w:tcPr>
          <w:p w14:paraId="4BFAFC2D">
            <w:pPr>
              <w:jc w:val="center"/>
              <w:rPr>
                <w:rFonts w:ascii="宋体" w:hAnsi="宋体" w:eastAsia="宋体" w:cs="宋体"/>
                <w:sz w:val="24"/>
                <w:szCs w:val="24"/>
              </w:rPr>
            </w:pPr>
            <w:r>
              <w:rPr>
                <w:rFonts w:hint="eastAsia" w:ascii="宋体" w:hAnsi="宋体" w:eastAsia="宋体"/>
              </w:rPr>
              <w:t>-3.25%</w:t>
            </w:r>
          </w:p>
        </w:tc>
        <w:tc>
          <w:tcPr>
            <w:tcW w:w="0" w:type="auto"/>
            <w:shd w:val="clear" w:color="auto" w:fill="auto"/>
          </w:tcPr>
          <w:p w14:paraId="6E86BA12">
            <w:pPr>
              <w:jc w:val="center"/>
              <w:rPr>
                <w:rFonts w:ascii="宋体" w:hAnsi="宋体" w:eastAsia="宋体" w:cs="宋体"/>
                <w:sz w:val="24"/>
                <w:szCs w:val="24"/>
              </w:rPr>
            </w:pPr>
            <w:r>
              <w:rPr>
                <w:rFonts w:hint="eastAsia" w:ascii="宋体" w:hAnsi="宋体" w:eastAsia="宋体"/>
              </w:rPr>
              <w:t>-0.24%</w:t>
            </w:r>
          </w:p>
        </w:tc>
      </w:tr>
      <w:tr w14:paraId="05ABE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BA05CC">
            <w:pPr>
              <w:jc w:val="center"/>
              <w:rPr>
                <w:rFonts w:ascii="宋体" w:hAnsi="宋体" w:eastAsia="宋体" w:cs="宋体"/>
                <w:sz w:val="24"/>
                <w:szCs w:val="24"/>
              </w:rPr>
            </w:pPr>
            <w:r>
              <w:rPr>
                <w:rFonts w:hint="eastAsia" w:ascii="宋体" w:hAnsi="宋体" w:eastAsia="宋体"/>
              </w:rPr>
              <w:t>2024.04.09-2025.06.30</w:t>
            </w:r>
          </w:p>
        </w:tc>
        <w:tc>
          <w:tcPr>
            <w:tcW w:w="0" w:type="auto"/>
            <w:shd w:val="clear" w:color="auto" w:fill="auto"/>
          </w:tcPr>
          <w:p w14:paraId="144AABE1">
            <w:pPr>
              <w:jc w:val="center"/>
              <w:rPr>
                <w:rFonts w:ascii="宋体" w:hAnsi="宋体" w:eastAsia="宋体" w:cs="宋体"/>
                <w:sz w:val="24"/>
                <w:szCs w:val="24"/>
              </w:rPr>
            </w:pPr>
            <w:r>
              <w:rPr>
                <w:rFonts w:hint="eastAsia" w:ascii="宋体" w:hAnsi="宋体" w:eastAsia="宋体"/>
              </w:rPr>
              <w:t>-2.48%</w:t>
            </w:r>
          </w:p>
        </w:tc>
        <w:tc>
          <w:tcPr>
            <w:tcW w:w="0" w:type="auto"/>
            <w:shd w:val="clear" w:color="auto" w:fill="auto"/>
          </w:tcPr>
          <w:p w14:paraId="626F589A">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14:paraId="17FBA440">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14:paraId="50885551">
            <w:pPr>
              <w:jc w:val="center"/>
              <w:rPr>
                <w:rFonts w:ascii="宋体" w:hAnsi="宋体" w:eastAsia="宋体" w:cs="宋体"/>
                <w:sz w:val="24"/>
                <w:szCs w:val="24"/>
              </w:rPr>
            </w:pPr>
            <w:r>
              <w:rPr>
                <w:rFonts w:hint="eastAsia" w:ascii="宋体" w:hAnsi="宋体" w:eastAsia="宋体"/>
              </w:rPr>
              <w:t>1.48%</w:t>
            </w:r>
          </w:p>
        </w:tc>
        <w:tc>
          <w:tcPr>
            <w:tcW w:w="0" w:type="auto"/>
            <w:shd w:val="clear" w:color="auto" w:fill="auto"/>
          </w:tcPr>
          <w:p w14:paraId="56DBA810">
            <w:pPr>
              <w:jc w:val="center"/>
              <w:rPr>
                <w:rFonts w:ascii="宋体" w:hAnsi="宋体" w:eastAsia="宋体" w:cs="宋体"/>
                <w:sz w:val="24"/>
                <w:szCs w:val="24"/>
              </w:rPr>
            </w:pPr>
            <w:r>
              <w:rPr>
                <w:rFonts w:hint="eastAsia" w:ascii="宋体" w:hAnsi="宋体" w:eastAsia="宋体"/>
              </w:rPr>
              <w:t>-1.89%</w:t>
            </w:r>
          </w:p>
        </w:tc>
        <w:tc>
          <w:tcPr>
            <w:tcW w:w="0" w:type="auto"/>
            <w:shd w:val="clear" w:color="auto" w:fill="auto"/>
          </w:tcPr>
          <w:p w14:paraId="22B7E91A">
            <w:pPr>
              <w:jc w:val="center"/>
              <w:rPr>
                <w:rFonts w:ascii="宋体" w:hAnsi="宋体" w:eastAsia="宋体" w:cs="宋体"/>
                <w:sz w:val="24"/>
                <w:szCs w:val="24"/>
              </w:rPr>
            </w:pPr>
            <w:r>
              <w:rPr>
                <w:rFonts w:hint="eastAsia" w:ascii="宋体" w:hAnsi="宋体" w:eastAsia="宋体"/>
              </w:rPr>
              <w:t>-0.12%</w:t>
            </w:r>
          </w:p>
        </w:tc>
      </w:tr>
    </w:tbl>
    <w:p w14:paraId="03B84097">
      <w:pPr>
        <w:pStyle w:val="8"/>
        <w:spacing w:before="0" w:beforeAutospacing="0" w:after="0" w:afterAutospacing="0" w:line="360" w:lineRule="auto"/>
        <w:ind w:firstLine="420"/>
        <w:rPr>
          <w:sz w:val="21"/>
          <w:szCs w:val="21"/>
        </w:rPr>
      </w:pPr>
      <w:bookmarkStart w:id="101" w:name="chapter_level1_12_3500_section_1_end"/>
      <w:bookmarkEnd w:id="101"/>
      <w:bookmarkStart w:id="102" w:name="field_0_indatatable_1_end"/>
      <w:bookmarkEnd w:id="102"/>
      <w:r>
        <w:rPr>
          <w:rFonts w:hint="eastAsia"/>
          <w:sz w:val="21"/>
          <w:szCs w:val="21"/>
        </w:rPr>
        <w:t xml:space="preserve">  </w:t>
      </w:r>
    </w:p>
    <w:p w14:paraId="0CF0D06C">
      <w:pPr>
        <w:widowControl/>
        <w:jc w:val="left"/>
        <w:rPr>
          <w:rFonts w:ascii="宋体" w:hAnsi="宋体" w:eastAsia="宋体"/>
        </w:rPr>
      </w:pPr>
      <w:r>
        <w:rPr>
          <w:rFonts w:ascii="宋体" w:hAnsi="宋体" w:eastAsia="宋体"/>
        </w:rPr>
        <w:br w:type="page"/>
      </w:r>
    </w:p>
    <w:p w14:paraId="0C18AF14">
      <w:pPr>
        <w:pStyle w:val="2"/>
        <w:jc w:val="center"/>
        <w:rPr>
          <w:rFonts w:ascii="宋体" w:hAnsi="宋体" w:eastAsia="宋体"/>
          <w:sz w:val="30"/>
        </w:rPr>
      </w:pPr>
      <w:bookmarkStart w:id="103" w:name="chapter_level1_13_62"/>
      <w:bookmarkStart w:id="104" w:name="_Toc207939906"/>
      <w:r>
        <w:rPr>
          <w:rFonts w:hint="eastAsia" w:ascii="宋体" w:hAnsi="宋体" w:eastAsia="宋体"/>
          <w:sz w:val="30"/>
        </w:rPr>
        <w:t>第十</w:t>
      </w:r>
      <w:r>
        <w:rPr>
          <w:rFonts w:hint="eastAsia" w:ascii="宋体" w:hAnsi="宋体" w:eastAsia="宋体"/>
          <w:sz w:val="30"/>
          <w:lang w:val="en-US" w:eastAsia="zh-CN"/>
        </w:rPr>
        <w:t>一</w:t>
      </w:r>
      <w:r>
        <w:rPr>
          <w:rFonts w:hint="eastAsia" w:ascii="宋体" w:hAnsi="宋体" w:eastAsia="宋体"/>
          <w:sz w:val="30"/>
        </w:rPr>
        <w:t>部分  基金的财产</w:t>
      </w:r>
      <w:bookmarkEnd w:id="103"/>
      <w:bookmarkEnd w:id="104"/>
    </w:p>
    <w:p w14:paraId="639BEAA6">
      <w:pPr>
        <w:pStyle w:val="8"/>
        <w:spacing w:before="0" w:beforeAutospacing="0" w:after="0" w:afterAutospacing="0" w:line="360" w:lineRule="auto"/>
        <w:ind w:firstLine="420"/>
        <w:rPr>
          <w:sz w:val="21"/>
          <w:szCs w:val="21"/>
        </w:rPr>
      </w:pPr>
      <w:bookmarkStart w:id="105" w:name="chapter_level1_13_62_section_1"/>
      <w:bookmarkEnd w:id="105"/>
      <w:r>
        <w:rPr>
          <w:rStyle w:val="12"/>
          <w:rFonts w:hint="eastAsia"/>
          <w:sz w:val="21"/>
          <w:szCs w:val="21"/>
        </w:rPr>
        <w:t>一、基金资产总值</w:t>
      </w:r>
    </w:p>
    <w:p w14:paraId="55036CE9">
      <w:pPr>
        <w:pStyle w:val="8"/>
        <w:spacing w:before="0" w:beforeAutospacing="0" w:after="0" w:afterAutospacing="0" w:line="360" w:lineRule="auto"/>
        <w:ind w:firstLine="420"/>
        <w:rPr>
          <w:sz w:val="21"/>
          <w:szCs w:val="21"/>
        </w:rPr>
      </w:pPr>
      <w:r>
        <w:rPr>
          <w:rFonts w:hint="eastAsia"/>
          <w:sz w:val="21"/>
          <w:szCs w:val="21"/>
        </w:rPr>
        <w:t>基金资产总值是指基金拥有的</w:t>
      </w:r>
      <w:r>
        <w:rPr>
          <w:rFonts w:hint="eastAsia" w:cs="宋体" w:asciiTheme="minorEastAsia" w:hAnsiTheme="minorEastAsia"/>
          <w:kern w:val="0"/>
          <w:sz w:val="21"/>
          <w:szCs w:val="21"/>
        </w:rPr>
        <w:t>目标ETF基金份额、</w:t>
      </w:r>
      <w:r>
        <w:rPr>
          <w:rFonts w:hint="eastAsia"/>
          <w:sz w:val="21"/>
          <w:szCs w:val="21"/>
        </w:rPr>
        <w:t>各类有价证券、银行存款本息、基金应收款项及其他资产的价值总和。</w:t>
      </w:r>
    </w:p>
    <w:p w14:paraId="28447D74">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732D57AB">
      <w:pPr>
        <w:pStyle w:val="8"/>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14:paraId="506D1830">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7E696A14">
      <w:pPr>
        <w:pStyle w:val="8"/>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00D913C1">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14:paraId="1904341F">
      <w:pPr>
        <w:pStyle w:val="8"/>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086B0660">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06" w:name="chapter_level1_13_62_section_1_end"/>
      <w:bookmarkEnd w:id="106"/>
      <w:r>
        <w:rPr>
          <w:rFonts w:hint="eastAsia"/>
          <w:sz w:val="21"/>
          <w:szCs w:val="21"/>
        </w:rPr>
        <w:t>得相互抵销。非因基金财产本身承担的债务，不得对基金财产强制执行。</w:t>
      </w:r>
    </w:p>
    <w:p w14:paraId="24948D86">
      <w:pPr>
        <w:widowControl/>
        <w:jc w:val="left"/>
        <w:rPr>
          <w:rFonts w:ascii="宋体" w:hAnsi="宋体" w:eastAsia="宋体"/>
        </w:rPr>
      </w:pPr>
      <w:r>
        <w:rPr>
          <w:rFonts w:ascii="宋体" w:hAnsi="宋体" w:eastAsia="宋体"/>
        </w:rPr>
        <w:br w:type="page"/>
      </w:r>
    </w:p>
    <w:p w14:paraId="753BEDC5">
      <w:pPr>
        <w:pStyle w:val="2"/>
        <w:jc w:val="center"/>
        <w:rPr>
          <w:rFonts w:ascii="宋体" w:hAnsi="宋体" w:eastAsia="宋体"/>
          <w:sz w:val="30"/>
        </w:rPr>
      </w:pPr>
      <w:bookmarkStart w:id="107" w:name="_Toc207939907"/>
      <w:bookmarkStart w:id="108" w:name="chapter_level1_14_63"/>
      <w:r>
        <w:rPr>
          <w:rFonts w:hint="eastAsia" w:ascii="宋体" w:hAnsi="宋体" w:eastAsia="宋体"/>
          <w:sz w:val="30"/>
        </w:rPr>
        <w:t>第十</w:t>
      </w:r>
      <w:r>
        <w:rPr>
          <w:rFonts w:hint="eastAsia" w:ascii="宋体" w:hAnsi="宋体" w:eastAsia="宋体"/>
          <w:sz w:val="30"/>
          <w:lang w:val="en-US" w:eastAsia="zh-CN"/>
        </w:rPr>
        <w:t>二</w:t>
      </w:r>
      <w:r>
        <w:rPr>
          <w:rFonts w:hint="eastAsia" w:ascii="宋体" w:hAnsi="宋体" w:eastAsia="宋体"/>
          <w:sz w:val="30"/>
        </w:rPr>
        <w:t>部分  基金资产的估值</w:t>
      </w:r>
      <w:bookmarkEnd w:id="107"/>
      <w:bookmarkEnd w:id="108"/>
    </w:p>
    <w:p w14:paraId="5748B0CD">
      <w:pPr>
        <w:pStyle w:val="8"/>
        <w:spacing w:before="0" w:beforeAutospacing="0" w:after="0" w:afterAutospacing="0" w:line="360" w:lineRule="auto"/>
        <w:ind w:firstLine="420"/>
        <w:rPr>
          <w:sz w:val="21"/>
          <w:szCs w:val="21"/>
        </w:rPr>
      </w:pPr>
      <w:bookmarkStart w:id="109" w:name="chapter_level1_14_63_section_1"/>
      <w:bookmarkEnd w:id="109"/>
      <w:r>
        <w:rPr>
          <w:rStyle w:val="12"/>
          <w:rFonts w:hint="eastAsia"/>
          <w:sz w:val="21"/>
          <w:szCs w:val="21"/>
        </w:rPr>
        <w:t>一、估值日</w:t>
      </w:r>
    </w:p>
    <w:p w14:paraId="64C25781">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20E22CF1">
      <w:pPr>
        <w:pStyle w:val="8"/>
        <w:spacing w:before="0" w:beforeAutospacing="0" w:after="0" w:afterAutospacing="0" w:line="360" w:lineRule="auto"/>
        <w:ind w:firstLine="420"/>
        <w:rPr>
          <w:sz w:val="21"/>
          <w:szCs w:val="21"/>
        </w:rPr>
      </w:pPr>
      <w:r>
        <w:rPr>
          <w:rStyle w:val="12"/>
          <w:rFonts w:hint="eastAsia"/>
          <w:sz w:val="21"/>
          <w:szCs w:val="21"/>
        </w:rPr>
        <w:t>二、估值对象</w:t>
      </w:r>
    </w:p>
    <w:p w14:paraId="17E1AD73">
      <w:pPr>
        <w:pStyle w:val="8"/>
        <w:spacing w:before="0" w:beforeAutospacing="0" w:after="0" w:afterAutospacing="0" w:line="360" w:lineRule="auto"/>
        <w:ind w:firstLine="420"/>
        <w:rPr>
          <w:sz w:val="21"/>
          <w:szCs w:val="21"/>
        </w:rPr>
      </w:pPr>
      <w:r>
        <w:rPr>
          <w:rFonts w:hint="eastAsia"/>
          <w:sz w:val="21"/>
          <w:szCs w:val="21"/>
        </w:rPr>
        <w:t>基金所拥有的</w:t>
      </w:r>
      <w:r>
        <w:rPr>
          <w:rFonts w:hint="eastAsia" w:cs="宋体" w:asciiTheme="minorEastAsia" w:hAnsiTheme="minorEastAsia"/>
          <w:kern w:val="0"/>
          <w:sz w:val="21"/>
          <w:szCs w:val="21"/>
        </w:rPr>
        <w:t>目标ETF基金份额、</w:t>
      </w:r>
      <w:r>
        <w:rPr>
          <w:rFonts w:hint="eastAsia"/>
          <w:sz w:val="21"/>
          <w:szCs w:val="21"/>
        </w:rPr>
        <w:t xml:space="preserve">股票（含存托凭证）、股指期货合约、国债期货合约、股票期权合约、债券和银行存款本息、应收款项、资产支持证券、其它投资等资产及负债。 </w:t>
      </w:r>
    </w:p>
    <w:p w14:paraId="68D5687C">
      <w:pPr>
        <w:pStyle w:val="8"/>
        <w:spacing w:before="0" w:beforeAutospacing="0" w:after="0" w:afterAutospacing="0" w:line="360" w:lineRule="auto"/>
        <w:ind w:firstLine="420"/>
        <w:rPr>
          <w:sz w:val="21"/>
          <w:szCs w:val="21"/>
        </w:rPr>
      </w:pPr>
      <w:r>
        <w:rPr>
          <w:rStyle w:val="12"/>
          <w:rFonts w:hint="eastAsia"/>
          <w:sz w:val="21"/>
          <w:szCs w:val="21"/>
        </w:rPr>
        <w:t>三、估值原则</w:t>
      </w:r>
    </w:p>
    <w:p w14:paraId="1B15AC88">
      <w:pPr>
        <w:pStyle w:val="8"/>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352C936F">
      <w:pPr>
        <w:pStyle w:val="8"/>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761E01C7">
      <w:pPr>
        <w:pStyle w:val="8"/>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5348E826">
      <w:pPr>
        <w:pStyle w:val="8"/>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0D6F4361">
      <w:pPr>
        <w:pStyle w:val="8"/>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6D914769">
      <w:pPr>
        <w:pStyle w:val="8"/>
        <w:spacing w:before="0" w:beforeAutospacing="0" w:after="0" w:afterAutospacing="0" w:line="360" w:lineRule="auto"/>
        <w:ind w:firstLine="420"/>
        <w:rPr>
          <w:sz w:val="21"/>
          <w:szCs w:val="21"/>
        </w:rPr>
      </w:pPr>
      <w:r>
        <w:rPr>
          <w:rStyle w:val="12"/>
          <w:rFonts w:hint="eastAsia"/>
          <w:sz w:val="21"/>
          <w:szCs w:val="21"/>
        </w:rPr>
        <w:t>四、估值方法</w:t>
      </w:r>
    </w:p>
    <w:p w14:paraId="2714720F">
      <w:pPr>
        <w:autoSpaceDE w:val="0"/>
        <w:autoSpaceDN w:val="0"/>
        <w:adjustRightInd w:val="0"/>
        <w:spacing w:line="360" w:lineRule="auto"/>
        <w:ind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1、本基金持有的目标ETF基金份额以其当日基金份额净值估值，当日无基金份额净值的，以最近工作日的基金份额净值估值。</w:t>
      </w:r>
    </w:p>
    <w:p w14:paraId="5EB691A5">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D3CAD7B">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3、对于已上市或已挂牌转让的不含权固定收益品种，选取估值日第三方估值基准服务机构提供的相应品种当日的估值全价进行估值。</w:t>
      </w:r>
    </w:p>
    <w:p w14:paraId="5D6D7DD6">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4、对于已上市或已挂牌转让的含权固定收益品种，选取估值日第三方估值基准服务机构提供的相应品种当日的唯一估值全价或推荐估值全价进行估值。</w:t>
      </w:r>
    </w:p>
    <w:p w14:paraId="2F35C3F6">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6D8F9D5B">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C24276C">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6、对于未上市或未挂牌转让且不存在活跃市场的固定收益品种，应采用在当前情况下适用并且有足够可利用数据和其他信息支持的估值技术确定其公允价值。</w:t>
      </w:r>
    </w:p>
    <w:p w14:paraId="323814B6">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hint="eastAsia" w:cs="宋体" w:asciiTheme="minorEastAsia" w:hAnsiTheme="minorEastAsia"/>
          <w:kern w:val="0"/>
          <w:sz w:val="21"/>
          <w:szCs w:val="21"/>
        </w:rPr>
        <w:t>7</w:t>
      </w:r>
      <w:r>
        <w:rPr>
          <w:rFonts w:ascii="Times New Roman" w:hAnsi="Times New Roman" w:eastAsia="宋体" w:cs="Times New Roman"/>
          <w:kern w:val="0"/>
          <w:sz w:val="21"/>
          <w:szCs w:val="21"/>
        </w:rPr>
        <w:t>、处于未上市期间的有价证券应区分如下情况处理：</w:t>
      </w:r>
    </w:p>
    <w:p w14:paraId="5F18A169">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（1）送股、转增股、配股和公开增发的新股，按估值日在证券交易所挂牌的同一股票的估值方法估值；该日无交易的，以最近一日的市价（收盘价）估值；</w:t>
      </w:r>
    </w:p>
    <w:p w14:paraId="362A02F8">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（2）首次公开发行未上市的股票，采用估值技术确定公允价值，在估值技术难以可靠计量公允价值的情况下，按成本估值；</w:t>
      </w:r>
    </w:p>
    <w:p w14:paraId="34B2BAD3">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（3）</w:t>
      </w:r>
      <w:r>
        <w:rPr>
          <w:rFonts w:hint="eastAsia" w:cs="宋体" w:asciiTheme="minorEastAsia" w:hAnsiTheme="minorEastAsia"/>
          <w:kern w:val="0"/>
          <w:sz w:val="21"/>
          <w:szCs w:val="21"/>
        </w:rPr>
        <w:t>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4CE52FCE">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8</w:t>
      </w:r>
      <w:r>
        <w:rPr>
          <w:rFonts w:ascii="Times New Roman" w:hAnsi="Times New Roman" w:eastAsia="宋体" w:cs="Times New Roman"/>
          <w:kern w:val="0"/>
          <w:sz w:val="21"/>
          <w:szCs w:val="21"/>
        </w:rPr>
        <w:t>、本基金投资存托凭证的估值核算，依照境内上市交易的股票执行。</w:t>
      </w:r>
    </w:p>
    <w:p w14:paraId="08AC4993">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9</w:t>
      </w:r>
      <w:r>
        <w:rPr>
          <w:rFonts w:ascii="Times New Roman" w:hAnsi="Times New Roman" w:eastAsia="宋体" w:cs="Times New Roman"/>
          <w:kern w:val="0"/>
          <w:sz w:val="21"/>
          <w:szCs w:val="21"/>
        </w:rPr>
        <w:t>、同一证券同时在两个或两个以上市场交易的，按证券所处的市场分别估值。</w:t>
      </w:r>
    </w:p>
    <w:p w14:paraId="53132DA1">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10</w:t>
      </w:r>
      <w:r>
        <w:rPr>
          <w:rFonts w:ascii="Times New Roman" w:hAnsi="Times New Roman" w:eastAsia="宋体" w:cs="Times New Roman"/>
          <w:kern w:val="0"/>
          <w:sz w:val="21"/>
          <w:szCs w:val="21"/>
        </w:rPr>
        <w:t>、本基金</w:t>
      </w:r>
      <w:r>
        <w:rPr>
          <w:rFonts w:hint="eastAsia" w:cs="宋体" w:asciiTheme="minorEastAsia" w:hAnsiTheme="minorEastAsia"/>
          <w:kern w:val="0"/>
          <w:sz w:val="21"/>
          <w:szCs w:val="21"/>
        </w:rPr>
        <w:t>参与</w:t>
      </w:r>
      <w:r>
        <w:rPr>
          <w:rFonts w:ascii="Times New Roman" w:hAnsi="Times New Roman" w:eastAsia="宋体" w:cs="Times New Roman"/>
          <w:kern w:val="0"/>
          <w:sz w:val="21"/>
          <w:szCs w:val="21"/>
        </w:rPr>
        <w:t>股指期货合约、国债期货合约</w:t>
      </w:r>
      <w:r>
        <w:rPr>
          <w:rFonts w:hint="eastAsia" w:ascii="Times New Roman" w:hAnsi="Times New Roman" w:eastAsia="宋体" w:cs="Times New Roman"/>
          <w:kern w:val="0"/>
          <w:sz w:val="21"/>
          <w:szCs w:val="21"/>
        </w:rPr>
        <w:t>交易</w:t>
      </w:r>
      <w:r>
        <w:rPr>
          <w:rFonts w:ascii="Times New Roman" w:hAnsi="Times New Roman" w:eastAsia="宋体" w:cs="Times New Roman"/>
          <w:kern w:val="0"/>
          <w:sz w:val="21"/>
          <w:szCs w:val="21"/>
        </w:rPr>
        <w:t>，一般以估值当日结算价进行估值，估值当日无结算价的，且最近交易日后经济环境未发生重大变化的，采用最近交易日结算价估值。</w:t>
      </w:r>
    </w:p>
    <w:p w14:paraId="7E492440">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11</w:t>
      </w:r>
      <w:r>
        <w:rPr>
          <w:rFonts w:ascii="Times New Roman" w:hAnsi="Times New Roman" w:eastAsia="宋体" w:cs="Times New Roman"/>
          <w:kern w:val="0"/>
          <w:sz w:val="21"/>
          <w:szCs w:val="21"/>
        </w:rPr>
        <w:t>、本基金投资股票期权，根据相关法律法规以及监管部门的规定估值。</w:t>
      </w:r>
    </w:p>
    <w:p w14:paraId="71DEA8D7">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12</w:t>
      </w:r>
      <w:r>
        <w:rPr>
          <w:rFonts w:ascii="Times New Roman" w:hAnsi="Times New Roman" w:eastAsia="宋体" w:cs="Times New Roman"/>
          <w:kern w:val="0"/>
          <w:sz w:val="21"/>
          <w:szCs w:val="21"/>
        </w:rPr>
        <w:t>、本基金参与融资或转融通证券出借业务的，应参照行业协会的相关规定进行估值，确保估值的公允性。</w:t>
      </w:r>
    </w:p>
    <w:p w14:paraId="3B68957D">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3</w:t>
      </w:r>
      <w:r>
        <w:rPr>
          <w:rFonts w:ascii="Times New Roman" w:hAnsi="Times New Roman" w:eastAsia="宋体" w:cs="Times New Roman"/>
          <w:kern w:val="0"/>
          <w:sz w:val="21"/>
          <w:szCs w:val="21"/>
        </w:rPr>
        <w:t>、汇率</w:t>
      </w:r>
    </w:p>
    <w:p w14:paraId="7CE15CF8">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本基金外币资产价值计算中，涉及主要货币对人民币汇率的，应当以基金估值日中国人民银行或其授权机构公布的人民币汇率中间价为准。</w:t>
      </w:r>
    </w:p>
    <w:p w14:paraId="75F34F12">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4</w:t>
      </w:r>
      <w:r>
        <w:rPr>
          <w:rFonts w:ascii="Times New Roman" w:hAnsi="Times New Roman" w:eastAsia="宋体" w:cs="Times New Roman"/>
          <w:kern w:val="0"/>
          <w:sz w:val="21"/>
          <w:szCs w:val="21"/>
        </w:rPr>
        <w:t>、如有确凿证据表明按上述方法进行估值不能客观反映其公允价值的，基金管理人可根据具体情况与基金托管人商定后，按最能反映公允价值的价格估值。</w:t>
      </w:r>
    </w:p>
    <w:p w14:paraId="5C31B5FC">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5</w:t>
      </w:r>
      <w:r>
        <w:rPr>
          <w:rFonts w:ascii="Times New Roman" w:hAnsi="Times New Roman" w:eastAsia="宋体" w:cs="Times New Roman"/>
          <w:kern w:val="0"/>
          <w:sz w:val="21"/>
          <w:szCs w:val="21"/>
        </w:rPr>
        <w:t>、当发生大额申购或赎回情形时，基金管理人可以采用摆动定价机制，以确保基金估值的公平性。具体处理原则与操作规范遵循相关法律法规以及监管部门、自律规则的规定。</w:t>
      </w:r>
    </w:p>
    <w:p w14:paraId="25665C59">
      <w:pPr>
        <w:pStyle w:val="8"/>
        <w:spacing w:before="0" w:beforeAutospacing="0" w:after="0" w:afterAutospacing="0" w:line="360" w:lineRule="auto"/>
        <w:ind w:firstLine="420"/>
        <w:rPr>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6</w:t>
      </w:r>
      <w:r>
        <w:rPr>
          <w:rFonts w:ascii="Times New Roman" w:hAnsi="Times New Roman" w:eastAsia="宋体" w:cs="Times New Roman"/>
          <w:kern w:val="0"/>
          <w:sz w:val="21"/>
          <w:szCs w:val="21"/>
        </w:rPr>
        <w:t>、相关法律法规以及监管部门有强制规定的，从其规定。如有新增事项，按国家最新规定估值。</w:t>
      </w:r>
      <w:r>
        <w:rPr>
          <w:rFonts w:hint="eastAsia"/>
          <w:sz w:val="21"/>
          <w:szCs w:val="21"/>
        </w:rPr>
        <w:t xml:space="preserve"> </w:t>
      </w:r>
    </w:p>
    <w:p w14:paraId="2C1D208E">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369AE7B2">
      <w:pPr>
        <w:pStyle w:val="8"/>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10" w:name="chapter_level1_14_63_section_1_end"/>
      <w:bookmarkEnd w:id="110"/>
      <w:r>
        <w:rPr>
          <w:rFonts w:hint="eastAsia"/>
          <w:sz w:val="21"/>
          <w:szCs w:val="21"/>
        </w:rPr>
        <w:t xml:space="preserve">对外予以公布。 </w:t>
      </w:r>
    </w:p>
    <w:p w14:paraId="6D5F2595">
      <w:pPr>
        <w:pStyle w:val="8"/>
        <w:spacing w:before="0" w:beforeAutospacing="0" w:after="0" w:afterAutospacing="0" w:line="360" w:lineRule="auto"/>
        <w:ind w:firstLine="420"/>
        <w:rPr>
          <w:sz w:val="21"/>
          <w:szCs w:val="21"/>
        </w:rPr>
      </w:pPr>
      <w:bookmarkStart w:id="111" w:name="chapter_level1_14_63_section_2"/>
      <w:bookmarkEnd w:id="111"/>
      <w:r>
        <w:rPr>
          <w:rStyle w:val="12"/>
          <w:rFonts w:hint="eastAsia"/>
          <w:sz w:val="21"/>
          <w:szCs w:val="21"/>
        </w:rPr>
        <w:t>五、估值程序</w:t>
      </w:r>
    </w:p>
    <w:p w14:paraId="410DF0E6">
      <w:pPr>
        <w:pStyle w:val="8"/>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12" w:name="field_63_netdecimalvalue_1"/>
      <w:r>
        <w:rPr>
          <w:sz w:val="21"/>
          <w:szCs w:val="21"/>
        </w:rPr>
        <w:t>0.0001</w:t>
      </w:r>
      <w:bookmarkEnd w:id="112"/>
      <w:r>
        <w:rPr>
          <w:rFonts w:hint="eastAsia"/>
          <w:sz w:val="21"/>
          <w:szCs w:val="21"/>
        </w:rPr>
        <w:t>元，小数点后第</w:t>
      </w:r>
      <w:bookmarkStart w:id="113" w:name="field_0_netdecimaladd1_2"/>
      <w:r>
        <w:rPr>
          <w:sz w:val="21"/>
          <w:szCs w:val="21"/>
        </w:rPr>
        <w:t>5</w:t>
      </w:r>
      <w:bookmarkEnd w:id="113"/>
      <w:r>
        <w:rPr>
          <w:rFonts w:hint="eastAsia"/>
          <w:sz w:val="21"/>
          <w:szCs w:val="21"/>
        </w:rPr>
        <w:t xml:space="preserve">位四舍五入。基金管理人可以设立大额赎回情形下的净值精度应急调整机制。国家另有规定的，从其规定。 </w:t>
      </w:r>
    </w:p>
    <w:p w14:paraId="3DE907F4">
      <w:pPr>
        <w:pStyle w:val="8"/>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7AD08FF0">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3DBFB13B">
      <w:pPr>
        <w:pStyle w:val="8"/>
        <w:spacing w:before="0" w:beforeAutospacing="0" w:after="0" w:afterAutospacing="0" w:line="360" w:lineRule="auto"/>
        <w:ind w:firstLine="420"/>
        <w:rPr>
          <w:sz w:val="21"/>
          <w:szCs w:val="21"/>
        </w:rPr>
      </w:pPr>
      <w:r>
        <w:rPr>
          <w:rStyle w:val="12"/>
          <w:rFonts w:hint="eastAsia"/>
          <w:sz w:val="21"/>
          <w:szCs w:val="21"/>
        </w:rPr>
        <w:t>六、估值错误的处理</w:t>
      </w:r>
    </w:p>
    <w:p w14:paraId="4733CA4E">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14" w:name="field_63_netdecimal_2"/>
      <w:r>
        <w:rPr>
          <w:sz w:val="21"/>
          <w:szCs w:val="21"/>
        </w:rPr>
        <w:t>4</w:t>
      </w:r>
      <w:bookmarkEnd w:id="114"/>
      <w:r>
        <w:rPr>
          <w:rFonts w:hint="eastAsia"/>
          <w:sz w:val="21"/>
          <w:szCs w:val="21"/>
        </w:rPr>
        <w:t>位以内(含第</w:t>
      </w:r>
      <w:bookmarkStart w:id="115" w:name="field_63_netdecimal_3"/>
      <w:r>
        <w:rPr>
          <w:sz w:val="21"/>
          <w:szCs w:val="21"/>
        </w:rPr>
        <w:t>4</w:t>
      </w:r>
      <w:bookmarkEnd w:id="115"/>
      <w:r>
        <w:rPr>
          <w:rFonts w:hint="eastAsia"/>
          <w:sz w:val="21"/>
          <w:szCs w:val="21"/>
        </w:rPr>
        <w:t xml:space="preserve">位)发生估值错误时，视为该类基金份额净值错误。 </w:t>
      </w:r>
    </w:p>
    <w:p w14:paraId="4E045CD4">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2A9A3C91">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4BEB448F">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7B7497A6">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68219E8">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74EE54E7">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28B31E92">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3477E552">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10CAC912">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671EBD4F">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201AD3BF">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399F2A40">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1D20C6A2">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7734688A">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25573516">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4C22B8B9">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33AB197E">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2A4D8A27">
      <w:pPr>
        <w:pStyle w:val="8"/>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070A37EA">
      <w:pPr>
        <w:pStyle w:val="8"/>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45812AA2">
      <w:pPr>
        <w:pStyle w:val="8"/>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17A09E28">
      <w:pPr>
        <w:pStyle w:val="8"/>
        <w:spacing w:before="0" w:beforeAutospacing="0" w:after="0" w:afterAutospacing="0" w:line="360" w:lineRule="auto"/>
        <w:ind w:firstLine="420"/>
        <w:rPr>
          <w:sz w:val="21"/>
          <w:szCs w:val="21"/>
        </w:rPr>
      </w:pPr>
      <w:r>
        <w:rPr>
          <w:rStyle w:val="12"/>
          <w:rFonts w:hint="eastAsia"/>
          <w:sz w:val="21"/>
          <w:szCs w:val="21"/>
        </w:rPr>
        <w:t>七、暂停估值的情形</w:t>
      </w:r>
    </w:p>
    <w:p w14:paraId="0588E596">
      <w:pPr>
        <w:pStyle w:val="8"/>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2B154B5F">
      <w:pPr>
        <w:pStyle w:val="8"/>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70F950CD">
      <w:pPr>
        <w:autoSpaceDE w:val="0"/>
        <w:autoSpaceDN w:val="0"/>
        <w:adjustRightInd w:val="0"/>
        <w:spacing w:line="360" w:lineRule="auto"/>
        <w:ind w:firstLine="420" w:firstLineChars="200"/>
        <w:jc w:val="left"/>
        <w:rPr>
          <w:rFonts w:hint="eastAsia" w:cs="宋体" w:asciiTheme="minorEastAsia" w:hAnsiTheme="minorEastAsia"/>
          <w:kern w:val="0"/>
          <w:sz w:val="21"/>
          <w:szCs w:val="21"/>
        </w:rPr>
      </w:pPr>
      <w:r>
        <w:rPr>
          <w:rFonts w:hint="eastAsia"/>
          <w:sz w:val="21"/>
          <w:szCs w:val="21"/>
        </w:rPr>
        <w:t>3、</w:t>
      </w:r>
      <w:r>
        <w:rPr>
          <w:rFonts w:hint="eastAsia" w:cs="宋体" w:asciiTheme="minorEastAsia" w:hAnsiTheme="minorEastAsia"/>
          <w:kern w:val="0"/>
          <w:sz w:val="21"/>
          <w:szCs w:val="21"/>
        </w:rPr>
        <w:t>所投资的目标ETF暂停估值、暂停公告基金份额净值时；</w:t>
      </w:r>
    </w:p>
    <w:p w14:paraId="5DF0775F">
      <w:pPr>
        <w:pStyle w:val="8"/>
        <w:spacing w:before="0" w:beforeAutospacing="0" w:after="0" w:afterAutospacing="0" w:line="360" w:lineRule="auto"/>
        <w:ind w:firstLine="420"/>
        <w:rPr>
          <w:sz w:val="21"/>
          <w:szCs w:val="21"/>
        </w:rPr>
      </w:pPr>
      <w:r>
        <w:rPr>
          <w:rFonts w:cs="宋体" w:asciiTheme="minorEastAsia" w:hAnsiTheme="minorEastAsia"/>
          <w:kern w:val="0"/>
          <w:sz w:val="21"/>
          <w:szCs w:val="21"/>
        </w:rPr>
        <w:t>4</w:t>
      </w:r>
      <w:r>
        <w:rPr>
          <w:rFonts w:hint="eastAsia" w:cs="宋体" w:asciiTheme="minorEastAsia" w:hAnsiTheme="minorEastAsia"/>
          <w:kern w:val="0"/>
          <w:sz w:val="21"/>
          <w:szCs w:val="21"/>
        </w:rPr>
        <w:t>、</w:t>
      </w:r>
      <w:r>
        <w:rPr>
          <w:rFonts w:hint="eastAsia"/>
          <w:sz w:val="21"/>
          <w:szCs w:val="21"/>
        </w:rPr>
        <w:t xml:space="preserve">当特定资产占前一估值日基金资产净值50%以上的，经与基金托管人协商确认后，基金管理人应当暂停估值； </w:t>
      </w:r>
    </w:p>
    <w:p w14:paraId="49403AF9">
      <w:pPr>
        <w:pStyle w:val="8"/>
        <w:spacing w:before="0" w:beforeAutospacing="0" w:after="0" w:afterAutospacing="0" w:line="360" w:lineRule="auto"/>
        <w:ind w:firstLine="420"/>
        <w:rPr>
          <w:sz w:val="21"/>
          <w:szCs w:val="21"/>
        </w:rPr>
      </w:pPr>
      <w:r>
        <w:rPr>
          <w:rFonts w:hint="eastAsia"/>
          <w:sz w:val="21"/>
          <w:szCs w:val="21"/>
          <w:lang w:val="en-US" w:eastAsia="zh-CN"/>
        </w:rPr>
        <w:t>5</w:t>
      </w:r>
      <w:r>
        <w:rPr>
          <w:rFonts w:hint="eastAsia"/>
          <w:sz w:val="21"/>
          <w:szCs w:val="21"/>
        </w:rPr>
        <w:t xml:space="preserve">、法律法规规定、中国证监会和基金合同认定的其它情形。 </w:t>
      </w:r>
    </w:p>
    <w:p w14:paraId="5AAADB6F">
      <w:pPr>
        <w:pStyle w:val="8"/>
        <w:spacing w:before="0" w:beforeAutospacing="0" w:after="0" w:afterAutospacing="0" w:line="360" w:lineRule="auto"/>
        <w:ind w:firstLine="420"/>
        <w:rPr>
          <w:sz w:val="21"/>
          <w:szCs w:val="21"/>
        </w:rPr>
      </w:pPr>
      <w:r>
        <w:rPr>
          <w:rStyle w:val="12"/>
          <w:rFonts w:hint="eastAsia"/>
          <w:sz w:val="21"/>
          <w:szCs w:val="21"/>
        </w:rPr>
        <w:t>八、基金净值的确认</w:t>
      </w:r>
    </w:p>
    <w:p w14:paraId="7F3A7F13">
      <w:pPr>
        <w:pStyle w:val="8"/>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38C85B23">
      <w:pPr>
        <w:pStyle w:val="8"/>
        <w:spacing w:before="0" w:beforeAutospacing="0" w:after="0" w:afterAutospacing="0" w:line="360" w:lineRule="auto"/>
        <w:ind w:firstLine="420"/>
        <w:rPr>
          <w:sz w:val="21"/>
          <w:szCs w:val="21"/>
        </w:rPr>
      </w:pPr>
      <w:r>
        <w:rPr>
          <w:rStyle w:val="12"/>
          <w:rFonts w:hint="eastAsia"/>
          <w:sz w:val="21"/>
          <w:szCs w:val="21"/>
        </w:rPr>
        <w:t>九、特殊情况的处理</w:t>
      </w:r>
    </w:p>
    <w:p w14:paraId="4F05AF8A">
      <w:pPr>
        <w:pStyle w:val="8"/>
        <w:spacing w:before="0" w:beforeAutospacing="0" w:after="0" w:afterAutospacing="0" w:line="360" w:lineRule="auto"/>
        <w:ind w:firstLine="420"/>
        <w:rPr>
          <w:sz w:val="21"/>
          <w:szCs w:val="21"/>
        </w:rPr>
      </w:pPr>
      <w:r>
        <w:rPr>
          <w:rFonts w:hint="eastAsia"/>
          <w:sz w:val="21"/>
          <w:szCs w:val="21"/>
        </w:rPr>
        <w:t>1、基金管理人或基金托管人按估值方法的第1</w:t>
      </w:r>
      <w:r>
        <w:rPr>
          <w:rFonts w:hint="eastAsia"/>
          <w:sz w:val="21"/>
          <w:szCs w:val="21"/>
          <w:lang w:val="en-US" w:eastAsia="zh-CN"/>
        </w:rPr>
        <w:t>4</w:t>
      </w:r>
      <w:r>
        <w:rPr>
          <w:rFonts w:hint="eastAsia"/>
          <w:sz w:val="21"/>
          <w:szCs w:val="21"/>
        </w:rPr>
        <w:t xml:space="preserve">项进行估值时，所造成的误差不作为基金资产估值错误处理。 </w:t>
      </w:r>
    </w:p>
    <w:p w14:paraId="14F63BB5">
      <w:pPr>
        <w:pStyle w:val="8"/>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1C87E140">
      <w:pPr>
        <w:pStyle w:val="8"/>
        <w:spacing w:before="0" w:beforeAutospacing="0" w:after="0" w:afterAutospacing="0" w:line="360" w:lineRule="auto"/>
        <w:ind w:firstLine="420"/>
        <w:rPr>
          <w:sz w:val="21"/>
          <w:szCs w:val="21"/>
        </w:rPr>
      </w:pPr>
      <w:r>
        <w:rPr>
          <w:rStyle w:val="12"/>
          <w:rFonts w:hint="eastAsia"/>
          <w:sz w:val="21"/>
          <w:szCs w:val="21"/>
        </w:rPr>
        <w:t>十、实施侧袋机制期间的基金资产估值</w:t>
      </w:r>
    </w:p>
    <w:p w14:paraId="7BEE2382">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16" w:name="chapter_level1_14_63_section_2_end"/>
      <w:bookmarkEnd w:id="116"/>
      <w:r>
        <w:rPr>
          <w:rFonts w:hint="eastAsia"/>
          <w:sz w:val="21"/>
          <w:szCs w:val="21"/>
        </w:rPr>
        <w:t xml:space="preserve">的基金净值信息，暂停披露侧袋账户基金净值信息。 </w:t>
      </w:r>
    </w:p>
    <w:p w14:paraId="54FBE72A">
      <w:pPr>
        <w:widowControl/>
        <w:jc w:val="left"/>
        <w:rPr>
          <w:rFonts w:ascii="宋体" w:hAnsi="宋体" w:eastAsia="宋体"/>
        </w:rPr>
      </w:pPr>
      <w:r>
        <w:rPr>
          <w:rFonts w:ascii="宋体" w:hAnsi="宋体" w:eastAsia="宋体"/>
        </w:rPr>
        <w:br w:type="page"/>
      </w:r>
    </w:p>
    <w:p w14:paraId="1C3C403F">
      <w:pPr>
        <w:pStyle w:val="2"/>
        <w:jc w:val="center"/>
        <w:rPr>
          <w:rFonts w:ascii="宋体" w:hAnsi="宋体" w:eastAsia="宋体"/>
          <w:sz w:val="30"/>
        </w:rPr>
      </w:pPr>
      <w:bookmarkStart w:id="117" w:name="_Toc207939908"/>
      <w:bookmarkStart w:id="118" w:name="chapter_level1_15_64"/>
      <w:r>
        <w:rPr>
          <w:rFonts w:hint="eastAsia" w:ascii="宋体" w:hAnsi="宋体" w:eastAsia="宋体"/>
          <w:sz w:val="30"/>
        </w:rPr>
        <w:t>第十</w:t>
      </w:r>
      <w:r>
        <w:rPr>
          <w:rFonts w:hint="eastAsia" w:ascii="宋体" w:hAnsi="宋体" w:eastAsia="宋体"/>
          <w:sz w:val="30"/>
          <w:lang w:val="en-US" w:eastAsia="zh-CN"/>
        </w:rPr>
        <w:t>三</w:t>
      </w:r>
      <w:r>
        <w:rPr>
          <w:rFonts w:hint="eastAsia" w:ascii="宋体" w:hAnsi="宋体" w:eastAsia="宋体"/>
          <w:sz w:val="30"/>
        </w:rPr>
        <w:t>部分  基金的收益与分配</w:t>
      </w:r>
      <w:bookmarkEnd w:id="117"/>
      <w:bookmarkEnd w:id="118"/>
    </w:p>
    <w:p w14:paraId="078067AF">
      <w:pPr>
        <w:pStyle w:val="8"/>
        <w:spacing w:before="0" w:beforeAutospacing="0" w:after="0" w:afterAutospacing="0" w:line="360" w:lineRule="auto"/>
        <w:ind w:firstLine="420"/>
        <w:rPr>
          <w:sz w:val="21"/>
          <w:szCs w:val="21"/>
        </w:rPr>
      </w:pPr>
      <w:bookmarkStart w:id="119" w:name="chapter_level1_15_64_section_1"/>
      <w:bookmarkEnd w:id="119"/>
      <w:r>
        <w:rPr>
          <w:rStyle w:val="12"/>
          <w:rFonts w:hint="eastAsia"/>
          <w:sz w:val="21"/>
          <w:szCs w:val="21"/>
        </w:rPr>
        <w:t>一、基金利润的构成</w:t>
      </w:r>
    </w:p>
    <w:p w14:paraId="1E61CDD2">
      <w:pPr>
        <w:pStyle w:val="8"/>
        <w:spacing w:before="0" w:beforeAutospacing="0" w:after="0" w:afterAutospacing="0" w:line="360" w:lineRule="auto"/>
        <w:ind w:firstLine="420"/>
        <w:rPr>
          <w:sz w:val="21"/>
          <w:szCs w:val="21"/>
        </w:rPr>
      </w:pPr>
      <w:r>
        <w:rPr>
          <w:rFonts w:hint="eastAsia"/>
          <w:sz w:val="21"/>
          <w:szCs w:val="21"/>
        </w:rPr>
        <w:t>基金利润指基金利息收入、投资收益、公允价值变动收益和其他收入扣除相关费用后的余额，基金已实现收益指基金利润减去公允价值变动收益后的余额。</w:t>
      </w:r>
    </w:p>
    <w:p w14:paraId="53BF0F9B">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14:paraId="055720C1">
      <w:pPr>
        <w:pStyle w:val="8"/>
        <w:spacing w:before="0" w:beforeAutospacing="0" w:after="0" w:afterAutospacing="0" w:line="360" w:lineRule="auto"/>
        <w:ind w:firstLine="420"/>
        <w:rPr>
          <w:sz w:val="21"/>
          <w:szCs w:val="21"/>
        </w:rPr>
      </w:pPr>
      <w:r>
        <w:rPr>
          <w:rFonts w:hint="eastAsia"/>
          <w:sz w:val="21"/>
          <w:szCs w:val="21"/>
        </w:rPr>
        <w:t>基金可供分配利润指截至收益分配基准日基金未分配利润与未分配利润中已实现收益的孰低数。</w:t>
      </w:r>
    </w:p>
    <w:p w14:paraId="53D073F7">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3230430A">
      <w:pPr>
        <w:pStyle w:val="8"/>
        <w:spacing w:before="0" w:beforeAutospacing="0" w:after="0" w:afterAutospacing="0" w:line="360" w:lineRule="auto"/>
        <w:ind w:firstLine="420"/>
        <w:rPr>
          <w:sz w:val="21"/>
          <w:szCs w:val="21"/>
        </w:rPr>
      </w:pPr>
      <w:r>
        <w:rPr>
          <w:rFonts w:hint="eastAsia"/>
          <w:sz w:val="21"/>
          <w:szCs w:val="21"/>
        </w:rPr>
        <w:t>1、由于本基金A类基金份额不收取销售服务费，而C类基金份额收取销售服务费，各基金份额类别对应的可供分配利润将有所不同，本基金同一类别的每一基金份额享有同等分配权；</w:t>
      </w:r>
    </w:p>
    <w:p w14:paraId="6312756D">
      <w:pPr>
        <w:pStyle w:val="8"/>
        <w:spacing w:before="0" w:beforeAutospacing="0" w:after="0" w:afterAutospacing="0" w:line="360" w:lineRule="auto"/>
        <w:ind w:firstLine="420"/>
        <w:rPr>
          <w:sz w:val="21"/>
          <w:szCs w:val="21"/>
        </w:rPr>
      </w:pPr>
      <w:r>
        <w:rPr>
          <w:rFonts w:hint="eastAsia"/>
          <w:sz w:val="21"/>
          <w:szCs w:val="21"/>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70219306">
      <w:pPr>
        <w:pStyle w:val="8"/>
        <w:spacing w:before="0" w:beforeAutospacing="0" w:after="0" w:afterAutospacing="0" w:line="360" w:lineRule="auto"/>
        <w:ind w:firstLine="420"/>
        <w:rPr>
          <w:sz w:val="21"/>
          <w:szCs w:val="21"/>
        </w:rPr>
      </w:pPr>
      <w:r>
        <w:rPr>
          <w:rFonts w:hint="eastAsia"/>
          <w:sz w:val="21"/>
          <w:szCs w:val="21"/>
        </w:rPr>
        <w:t>3、基金收益分配后各类基金份额净值不能低于面值，即基金收益分配基准日的各类基金份额净值减去每单位该类基金份额收益分配金额后不能低于面值；</w:t>
      </w:r>
    </w:p>
    <w:p w14:paraId="3F5BD88B">
      <w:pPr>
        <w:pStyle w:val="8"/>
        <w:spacing w:before="0" w:beforeAutospacing="0" w:after="0" w:afterAutospacing="0" w:line="360" w:lineRule="auto"/>
        <w:ind w:firstLine="420"/>
        <w:rPr>
          <w:sz w:val="21"/>
          <w:szCs w:val="21"/>
        </w:rPr>
      </w:pPr>
      <w:r>
        <w:rPr>
          <w:rFonts w:hint="eastAsia"/>
          <w:sz w:val="21"/>
          <w:szCs w:val="21"/>
        </w:rPr>
        <w:t>4、法律法规或监管机关另有规定的，从其规定。</w:t>
      </w:r>
    </w:p>
    <w:p w14:paraId="09114A76">
      <w:pPr>
        <w:pStyle w:val="8"/>
        <w:spacing w:before="0" w:beforeAutospacing="0" w:after="0" w:afterAutospacing="0" w:line="360" w:lineRule="auto"/>
        <w:ind w:firstLine="420"/>
        <w:rPr>
          <w:sz w:val="21"/>
          <w:szCs w:val="21"/>
        </w:rPr>
      </w:pPr>
      <w:r>
        <w:rPr>
          <w:rFonts w:hint="eastAsia"/>
          <w:sz w:val="21"/>
          <w:szCs w:val="21"/>
        </w:rPr>
        <w:t>在不违反法律法规及基金合同约定，并对基金份额持有人利益无实质不利影响的前提下，基金管理人经与基金托管人协商一致后，可对基金收益分配原则和支付方式进行调整，不需召开基金份额持有人大会。</w:t>
      </w:r>
    </w:p>
    <w:p w14:paraId="058367B1">
      <w:pPr>
        <w:pStyle w:val="8"/>
        <w:spacing w:before="0" w:beforeAutospacing="0" w:after="0" w:afterAutospacing="0" w:line="360" w:lineRule="auto"/>
        <w:ind w:firstLine="420"/>
        <w:rPr>
          <w:sz w:val="21"/>
          <w:szCs w:val="21"/>
        </w:rPr>
      </w:pPr>
      <w:r>
        <w:rPr>
          <w:rStyle w:val="12"/>
          <w:rFonts w:hint="eastAsia"/>
          <w:sz w:val="21"/>
          <w:szCs w:val="21"/>
        </w:rPr>
        <w:t>四、收益分配方案</w:t>
      </w:r>
    </w:p>
    <w:p w14:paraId="2E3BCD92">
      <w:pPr>
        <w:pStyle w:val="8"/>
        <w:spacing w:before="0" w:beforeAutospacing="0" w:after="0" w:afterAutospacing="0" w:line="360" w:lineRule="auto"/>
        <w:ind w:firstLine="420"/>
        <w:rPr>
          <w:sz w:val="21"/>
          <w:szCs w:val="21"/>
        </w:rPr>
      </w:pPr>
      <w:r>
        <w:rPr>
          <w:rFonts w:hint="eastAsia"/>
          <w:sz w:val="21"/>
          <w:szCs w:val="21"/>
        </w:rPr>
        <w:t>基金收益分配方案中应载明截至收益分配基准日的可供分配利润、基金收益分配对象、分配时间、分配数额及比例、分配方式等内容。</w:t>
      </w:r>
    </w:p>
    <w:p w14:paraId="658B4637">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14:paraId="72127873">
      <w:pPr>
        <w:pStyle w:val="8"/>
        <w:spacing w:before="0" w:beforeAutospacing="0" w:after="0" w:afterAutospacing="0" w:line="360" w:lineRule="auto"/>
        <w:ind w:firstLine="420"/>
        <w:rPr>
          <w:sz w:val="21"/>
          <w:szCs w:val="21"/>
        </w:rPr>
      </w:pPr>
      <w:r>
        <w:rPr>
          <w:rFonts w:hint="eastAsia"/>
          <w:sz w:val="21"/>
          <w:szCs w:val="21"/>
        </w:rPr>
        <w:t>本基金收益分配方案由基金管理人拟定，并由基金托管人复核，按规定在规定媒介公告。</w:t>
      </w:r>
    </w:p>
    <w:p w14:paraId="2942DE35">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14:paraId="15E94020">
      <w:pPr>
        <w:pStyle w:val="8"/>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6BA4A47C">
      <w:pPr>
        <w:pStyle w:val="8"/>
        <w:spacing w:before="0" w:beforeAutospacing="0" w:after="0" w:afterAutospacing="0" w:line="360" w:lineRule="auto"/>
        <w:ind w:firstLine="420"/>
        <w:rPr>
          <w:sz w:val="21"/>
          <w:szCs w:val="21"/>
        </w:rPr>
      </w:pPr>
      <w:r>
        <w:rPr>
          <w:rStyle w:val="12"/>
          <w:rFonts w:hint="eastAsia"/>
          <w:sz w:val="21"/>
          <w:szCs w:val="21"/>
        </w:rPr>
        <w:t>七、实施侧袋机制期间的收益分配</w:t>
      </w:r>
    </w:p>
    <w:p w14:paraId="580FF137">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本基金实施侧袋机制的，侧袋账户不进行收益分配，详见本招募说明书“侧袋机制”部</w:t>
      </w:r>
      <w:bookmarkStart w:id="120" w:name="chapter_level1_15_64_section_1_end"/>
      <w:bookmarkEnd w:id="120"/>
      <w:r>
        <w:rPr>
          <w:rFonts w:hint="eastAsia"/>
          <w:sz w:val="21"/>
          <w:szCs w:val="21"/>
        </w:rPr>
        <w:t>分的规定。</w:t>
      </w:r>
    </w:p>
    <w:p w14:paraId="71F78110">
      <w:pPr>
        <w:widowControl/>
        <w:jc w:val="left"/>
        <w:rPr>
          <w:rFonts w:ascii="宋体" w:hAnsi="宋体" w:eastAsia="宋体"/>
        </w:rPr>
      </w:pPr>
      <w:r>
        <w:rPr>
          <w:rFonts w:ascii="宋体" w:hAnsi="宋体" w:eastAsia="宋体"/>
        </w:rPr>
        <w:br w:type="page"/>
      </w:r>
    </w:p>
    <w:p w14:paraId="62B59C10">
      <w:pPr>
        <w:pStyle w:val="2"/>
        <w:jc w:val="center"/>
        <w:rPr>
          <w:rFonts w:ascii="宋体" w:hAnsi="宋体" w:eastAsia="宋体"/>
          <w:sz w:val="30"/>
        </w:rPr>
      </w:pPr>
      <w:bookmarkStart w:id="121" w:name="chapter_level1_16_65"/>
      <w:bookmarkStart w:id="122" w:name="_Toc207939909"/>
      <w:r>
        <w:rPr>
          <w:rFonts w:hint="eastAsia" w:ascii="宋体" w:hAnsi="宋体" w:eastAsia="宋体"/>
          <w:sz w:val="30"/>
        </w:rPr>
        <w:t>第十</w:t>
      </w:r>
      <w:r>
        <w:rPr>
          <w:rFonts w:hint="eastAsia" w:ascii="宋体" w:hAnsi="宋体" w:eastAsia="宋体"/>
          <w:sz w:val="30"/>
          <w:lang w:val="en-US" w:eastAsia="zh-CN"/>
        </w:rPr>
        <w:t>四</w:t>
      </w:r>
      <w:r>
        <w:rPr>
          <w:rFonts w:hint="eastAsia" w:ascii="宋体" w:hAnsi="宋体" w:eastAsia="宋体"/>
          <w:sz w:val="30"/>
        </w:rPr>
        <w:t>部分  基金的费用与税收</w:t>
      </w:r>
      <w:bookmarkEnd w:id="121"/>
      <w:bookmarkEnd w:id="122"/>
    </w:p>
    <w:p w14:paraId="7759E0D7">
      <w:pPr>
        <w:pStyle w:val="8"/>
        <w:spacing w:before="0" w:beforeAutospacing="0" w:after="0" w:afterAutospacing="0" w:line="360" w:lineRule="auto"/>
        <w:ind w:firstLine="420"/>
        <w:rPr>
          <w:sz w:val="21"/>
          <w:szCs w:val="21"/>
        </w:rPr>
      </w:pPr>
      <w:bookmarkStart w:id="123" w:name="chapter_level1_16_65_section_1"/>
      <w:bookmarkEnd w:id="123"/>
      <w:r>
        <w:rPr>
          <w:rStyle w:val="12"/>
          <w:rFonts w:hint="eastAsia"/>
          <w:sz w:val="21"/>
          <w:szCs w:val="21"/>
        </w:rPr>
        <w:t>一、基金费用的种类</w:t>
      </w:r>
    </w:p>
    <w:p w14:paraId="3F7775BB">
      <w:pPr>
        <w:pStyle w:val="8"/>
        <w:spacing w:before="0" w:beforeAutospacing="0" w:after="0" w:afterAutospacing="0" w:line="360" w:lineRule="auto"/>
        <w:ind w:firstLine="420"/>
        <w:rPr>
          <w:sz w:val="21"/>
          <w:szCs w:val="21"/>
        </w:rPr>
      </w:pPr>
      <w:r>
        <w:rPr>
          <w:rFonts w:hint="eastAsia"/>
          <w:sz w:val="21"/>
          <w:szCs w:val="21"/>
        </w:rPr>
        <w:t>1、基金管理人的管理费；</w:t>
      </w:r>
    </w:p>
    <w:p w14:paraId="5DA1B422">
      <w:pPr>
        <w:pStyle w:val="8"/>
        <w:spacing w:before="0" w:beforeAutospacing="0" w:after="0" w:afterAutospacing="0" w:line="360" w:lineRule="auto"/>
        <w:ind w:firstLine="420"/>
        <w:rPr>
          <w:sz w:val="21"/>
          <w:szCs w:val="21"/>
        </w:rPr>
      </w:pPr>
      <w:r>
        <w:rPr>
          <w:rFonts w:hint="eastAsia"/>
          <w:sz w:val="21"/>
          <w:szCs w:val="21"/>
        </w:rPr>
        <w:t>2、基金托管人的托管费；</w:t>
      </w:r>
    </w:p>
    <w:p w14:paraId="3E61170A">
      <w:pPr>
        <w:pStyle w:val="8"/>
        <w:spacing w:before="0" w:beforeAutospacing="0" w:after="0" w:afterAutospacing="0" w:line="360" w:lineRule="auto"/>
        <w:ind w:firstLine="420"/>
        <w:rPr>
          <w:sz w:val="21"/>
          <w:szCs w:val="21"/>
        </w:rPr>
      </w:pPr>
      <w:r>
        <w:rPr>
          <w:rFonts w:hint="eastAsia"/>
          <w:sz w:val="21"/>
          <w:szCs w:val="21"/>
        </w:rPr>
        <w:t>3、C类基金份额的销售服务费；</w:t>
      </w:r>
    </w:p>
    <w:p w14:paraId="3ECE85D7">
      <w:pPr>
        <w:pStyle w:val="8"/>
        <w:spacing w:before="0" w:beforeAutospacing="0" w:after="0" w:afterAutospacing="0" w:line="360" w:lineRule="auto"/>
        <w:ind w:firstLine="420"/>
        <w:rPr>
          <w:sz w:val="21"/>
          <w:szCs w:val="21"/>
        </w:rPr>
      </w:pPr>
      <w:r>
        <w:rPr>
          <w:rFonts w:hint="eastAsia"/>
          <w:sz w:val="21"/>
          <w:szCs w:val="21"/>
        </w:rPr>
        <w:t>4、基金合同生效后与基金相关的信息披露费用，法律法规、中国证监会另有规定的除外；</w:t>
      </w:r>
    </w:p>
    <w:p w14:paraId="436690AE">
      <w:pPr>
        <w:pStyle w:val="8"/>
        <w:spacing w:before="0" w:beforeAutospacing="0" w:after="0" w:afterAutospacing="0" w:line="360" w:lineRule="auto"/>
        <w:ind w:firstLine="420"/>
        <w:rPr>
          <w:sz w:val="21"/>
          <w:szCs w:val="21"/>
        </w:rPr>
      </w:pPr>
      <w:r>
        <w:rPr>
          <w:rFonts w:hint="eastAsia"/>
          <w:sz w:val="21"/>
          <w:szCs w:val="21"/>
        </w:rPr>
        <w:t>5、基金合同生效后与基金相关的会计师费、公证费、律师费、诉讼费和仲裁费；</w:t>
      </w:r>
    </w:p>
    <w:p w14:paraId="22B857CE">
      <w:pPr>
        <w:pStyle w:val="8"/>
        <w:spacing w:before="0" w:beforeAutospacing="0" w:after="0" w:afterAutospacing="0" w:line="360" w:lineRule="auto"/>
        <w:ind w:firstLine="420"/>
        <w:rPr>
          <w:sz w:val="21"/>
          <w:szCs w:val="21"/>
        </w:rPr>
      </w:pPr>
      <w:r>
        <w:rPr>
          <w:rFonts w:hint="eastAsia"/>
          <w:sz w:val="21"/>
          <w:szCs w:val="21"/>
        </w:rPr>
        <w:t>6、基金份额持有人大会费用；</w:t>
      </w:r>
    </w:p>
    <w:p w14:paraId="688E3495">
      <w:pPr>
        <w:pStyle w:val="8"/>
        <w:spacing w:before="0" w:beforeAutospacing="0" w:after="0" w:afterAutospacing="0" w:line="360" w:lineRule="auto"/>
        <w:ind w:firstLine="420"/>
        <w:rPr>
          <w:sz w:val="21"/>
          <w:szCs w:val="21"/>
        </w:rPr>
      </w:pPr>
      <w:r>
        <w:rPr>
          <w:rFonts w:hint="eastAsia"/>
          <w:sz w:val="21"/>
          <w:szCs w:val="21"/>
        </w:rPr>
        <w:t>7、基金的证券、期货、期权交易费用；</w:t>
      </w:r>
    </w:p>
    <w:p w14:paraId="52E57D81">
      <w:pPr>
        <w:pStyle w:val="8"/>
        <w:spacing w:before="0" w:beforeAutospacing="0" w:after="0" w:afterAutospacing="0" w:line="360" w:lineRule="auto"/>
        <w:ind w:firstLine="420"/>
        <w:rPr>
          <w:sz w:val="21"/>
          <w:szCs w:val="21"/>
        </w:rPr>
      </w:pPr>
      <w:r>
        <w:rPr>
          <w:rFonts w:hint="eastAsia"/>
          <w:sz w:val="21"/>
          <w:szCs w:val="21"/>
        </w:rPr>
        <w:t>8、基金的银行汇划费用；</w:t>
      </w:r>
    </w:p>
    <w:p w14:paraId="035B08FB">
      <w:pPr>
        <w:pStyle w:val="8"/>
        <w:spacing w:before="0" w:beforeAutospacing="0" w:after="0" w:afterAutospacing="0" w:line="360" w:lineRule="auto"/>
        <w:ind w:firstLine="420"/>
        <w:rPr>
          <w:sz w:val="21"/>
          <w:szCs w:val="21"/>
        </w:rPr>
      </w:pPr>
      <w:r>
        <w:rPr>
          <w:rFonts w:hint="eastAsia"/>
          <w:sz w:val="21"/>
          <w:szCs w:val="21"/>
        </w:rPr>
        <w:t>9、账户开户费用、账户维护费用；</w:t>
      </w:r>
    </w:p>
    <w:p w14:paraId="052FA76D">
      <w:pPr>
        <w:spacing w:line="360" w:lineRule="auto"/>
        <w:ind w:firstLine="480"/>
        <w:rPr>
          <w:sz w:val="21"/>
          <w:szCs w:val="21"/>
        </w:rPr>
      </w:pPr>
      <w:r>
        <w:rPr>
          <w:rFonts w:hint="eastAsia"/>
          <w:sz w:val="21"/>
          <w:szCs w:val="21"/>
        </w:rPr>
        <w:t>10、</w:t>
      </w:r>
      <w:r>
        <w:rPr>
          <w:rFonts w:hint="eastAsia" w:ascii="Times New Roman" w:hAnsi="Times New Roman" w:cs="Times New Roman"/>
          <w:bCs/>
          <w:sz w:val="21"/>
          <w:szCs w:val="21"/>
        </w:rPr>
        <w:t>基金投资目标ETF的相关费用；</w:t>
      </w:r>
    </w:p>
    <w:p w14:paraId="32AC276A">
      <w:pPr>
        <w:pStyle w:val="8"/>
        <w:spacing w:before="0" w:beforeAutospacing="0" w:after="0" w:afterAutospacing="0" w:line="360" w:lineRule="auto"/>
        <w:ind w:firstLine="420"/>
        <w:rPr>
          <w:sz w:val="21"/>
          <w:szCs w:val="21"/>
        </w:rPr>
      </w:pPr>
      <w:r>
        <w:rPr>
          <w:rFonts w:ascii="Times New Roman" w:hAnsi="Times New Roman" w:eastAsia="宋体" w:cs="Times New Roman"/>
          <w:bCs/>
          <w:sz w:val="21"/>
          <w:szCs w:val="21"/>
        </w:rPr>
        <w:t>1</w:t>
      </w:r>
      <w:r>
        <w:rPr>
          <w:rFonts w:hint="eastAsia" w:ascii="Times New Roman" w:hAnsi="Times New Roman" w:eastAsia="宋体" w:cs="Times New Roman"/>
          <w:bCs/>
          <w:sz w:val="21"/>
          <w:szCs w:val="21"/>
        </w:rPr>
        <w:t>1</w:t>
      </w:r>
      <w:r>
        <w:rPr>
          <w:rFonts w:ascii="Times New Roman" w:hAnsi="Times New Roman" w:eastAsia="宋体" w:cs="Times New Roman"/>
          <w:bCs/>
          <w:sz w:val="21"/>
          <w:szCs w:val="21"/>
        </w:rPr>
        <w:t>、</w:t>
      </w:r>
      <w:r>
        <w:rPr>
          <w:rFonts w:hint="eastAsia"/>
          <w:sz w:val="21"/>
          <w:szCs w:val="21"/>
        </w:rPr>
        <w:t>因投资港股通标的股票而产生的各项合理费用；</w:t>
      </w:r>
    </w:p>
    <w:p w14:paraId="04F5E729">
      <w:pPr>
        <w:pStyle w:val="8"/>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2</w:t>
      </w:r>
      <w:r>
        <w:rPr>
          <w:rFonts w:hint="eastAsia"/>
          <w:sz w:val="21"/>
          <w:szCs w:val="21"/>
        </w:rPr>
        <w:t>、按照国家有关规定和基金合同约定，可以在基金财产中列支的其他费用。</w:t>
      </w:r>
    </w:p>
    <w:p w14:paraId="202F4871">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14:paraId="02750DD4">
      <w:pPr>
        <w:pStyle w:val="8"/>
        <w:spacing w:before="0" w:beforeAutospacing="0" w:after="0" w:afterAutospacing="0" w:line="360" w:lineRule="auto"/>
        <w:ind w:firstLine="420"/>
        <w:rPr>
          <w:sz w:val="21"/>
          <w:szCs w:val="21"/>
        </w:rPr>
      </w:pPr>
      <w:r>
        <w:rPr>
          <w:rFonts w:hint="eastAsia"/>
          <w:sz w:val="21"/>
          <w:szCs w:val="21"/>
        </w:rPr>
        <w:t>1、基金管理人的管理费 </w:t>
      </w:r>
    </w:p>
    <w:p w14:paraId="703B59CD">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24" w:name="field_0_managementrate_1"/>
      <w:r>
        <w:rPr>
          <w:sz w:val="21"/>
          <w:szCs w:val="21"/>
        </w:rPr>
        <w:t>0.50</w:t>
      </w:r>
      <w:bookmarkEnd w:id="124"/>
      <w:r>
        <w:rPr>
          <w:rFonts w:hint="eastAsia"/>
          <w:sz w:val="21"/>
          <w:szCs w:val="21"/>
        </w:rPr>
        <w:t>%年费率计提。管理费的计算方法如下：</w:t>
      </w:r>
    </w:p>
    <w:p w14:paraId="0305BF9F">
      <w:pPr>
        <w:pStyle w:val="8"/>
        <w:spacing w:before="0" w:beforeAutospacing="0" w:after="0" w:afterAutospacing="0" w:line="360" w:lineRule="auto"/>
        <w:ind w:firstLine="420"/>
        <w:rPr>
          <w:sz w:val="21"/>
          <w:szCs w:val="21"/>
        </w:rPr>
      </w:pPr>
      <w:r>
        <w:rPr>
          <w:rFonts w:hint="eastAsia"/>
          <w:sz w:val="21"/>
          <w:szCs w:val="21"/>
        </w:rPr>
        <w:t>H＝E×</w:t>
      </w:r>
      <w:bookmarkStart w:id="125" w:name="field_0_managementrate_2"/>
      <w:r>
        <w:rPr>
          <w:sz w:val="21"/>
          <w:szCs w:val="21"/>
        </w:rPr>
        <w:t>0.50</w:t>
      </w:r>
      <w:bookmarkEnd w:id="125"/>
      <w:r>
        <w:rPr>
          <w:rFonts w:hint="eastAsia"/>
          <w:sz w:val="21"/>
          <w:szCs w:val="21"/>
        </w:rPr>
        <w:t>%÷当年实际天数</w:t>
      </w:r>
    </w:p>
    <w:p w14:paraId="29EF9D87">
      <w:pPr>
        <w:pStyle w:val="8"/>
        <w:spacing w:before="0" w:beforeAutospacing="0" w:after="0" w:afterAutospacing="0" w:line="360" w:lineRule="auto"/>
        <w:ind w:firstLine="420"/>
        <w:rPr>
          <w:sz w:val="21"/>
          <w:szCs w:val="21"/>
        </w:rPr>
      </w:pPr>
      <w:r>
        <w:rPr>
          <w:rFonts w:hint="eastAsia"/>
          <w:sz w:val="21"/>
          <w:szCs w:val="21"/>
        </w:rPr>
        <w:t>H为每日应计提的基金管理费</w:t>
      </w:r>
    </w:p>
    <w:p w14:paraId="3FD24104">
      <w:pPr>
        <w:pStyle w:val="8"/>
        <w:spacing w:before="0" w:beforeAutospacing="0" w:after="0" w:afterAutospacing="0" w:line="360" w:lineRule="auto"/>
        <w:ind w:firstLine="420"/>
        <w:rPr>
          <w:sz w:val="21"/>
          <w:szCs w:val="21"/>
        </w:rPr>
      </w:pPr>
      <w:r>
        <w:rPr>
          <w:rFonts w:hint="eastAsia"/>
          <w:sz w:val="21"/>
          <w:szCs w:val="21"/>
        </w:rPr>
        <w:t>E为前一日的基金资产净值</w:t>
      </w:r>
    </w:p>
    <w:p w14:paraId="58B25987">
      <w:pPr>
        <w:spacing w:line="360" w:lineRule="auto"/>
        <w:ind w:left="0" w:leftChars="0" w:firstLine="480" w:firstLineChars="0"/>
        <w:rPr>
          <w:rFonts w:hint="eastAsia" w:ascii="Times New Roman" w:hAnsi="Times New Roman" w:cs="Times New Roman"/>
          <w:bCs/>
          <w:sz w:val="21"/>
          <w:szCs w:val="21"/>
        </w:rPr>
      </w:pPr>
      <w:r>
        <w:rPr>
          <w:rFonts w:hint="eastAsia" w:ascii="Times New Roman" w:hAnsi="Times New Roman" w:cs="Times New Roman"/>
          <w:bCs/>
          <w:sz w:val="21"/>
          <w:szCs w:val="21"/>
        </w:rPr>
        <w:t>基金管理人对本基金投资组合中投资于目标ETF部分的基金资产净值不计提基金管理费。</w:t>
      </w:r>
    </w:p>
    <w:p w14:paraId="4D49B251">
      <w:pPr>
        <w:pStyle w:val="8"/>
        <w:spacing w:before="0" w:beforeAutospacing="0" w:after="0" w:afterAutospacing="0" w:line="360" w:lineRule="auto"/>
        <w:ind w:firstLine="420"/>
        <w:rPr>
          <w:rFonts w:hint="eastAsia" w:ascii="Times New Roman" w:hAnsi="Times New Roman" w:cs="Times New Roman"/>
          <w:bCs/>
          <w:sz w:val="21"/>
          <w:szCs w:val="21"/>
        </w:rPr>
      </w:pPr>
      <w:r>
        <w:rPr>
          <w:rFonts w:hint="eastAsia" w:ascii="Times New Roman" w:hAnsi="Times New Roman" w:cs="Times New Roman"/>
          <w:bCs/>
          <w:sz w:val="21"/>
          <w:szCs w:val="21"/>
        </w:rPr>
        <w:t>前一日的基金资产净值为已扣除本基金投资于目标ETF部分基金资产净值后的净额，金额为负时以零计。</w:t>
      </w:r>
    </w:p>
    <w:p w14:paraId="5DC60E36">
      <w:pPr>
        <w:pStyle w:val="8"/>
        <w:spacing w:before="0" w:beforeAutospacing="0" w:after="0" w:afterAutospacing="0" w:line="360" w:lineRule="auto"/>
        <w:ind w:firstLine="420"/>
        <w:rPr>
          <w:sz w:val="21"/>
          <w:szCs w:val="21"/>
        </w:rPr>
      </w:pPr>
      <w:r>
        <w:rPr>
          <w:rFonts w:hint="eastAsia"/>
          <w:sz w:val="21"/>
          <w:szCs w:val="21"/>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2F5F9E01">
      <w:pPr>
        <w:pStyle w:val="8"/>
        <w:spacing w:before="0" w:beforeAutospacing="0" w:after="0" w:afterAutospacing="0" w:line="360" w:lineRule="auto"/>
        <w:ind w:firstLine="420"/>
        <w:rPr>
          <w:sz w:val="21"/>
          <w:szCs w:val="21"/>
        </w:rPr>
      </w:pPr>
      <w:r>
        <w:rPr>
          <w:rFonts w:hint="eastAsia"/>
          <w:sz w:val="21"/>
          <w:szCs w:val="21"/>
        </w:rPr>
        <w:t>2、基金托管人的托管费</w:t>
      </w:r>
    </w:p>
    <w:p w14:paraId="54D69A46">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26" w:name="field_0_trusteerate_1"/>
      <w:r>
        <w:rPr>
          <w:sz w:val="21"/>
          <w:szCs w:val="21"/>
        </w:rPr>
        <w:t>0.10</w:t>
      </w:r>
      <w:bookmarkEnd w:id="126"/>
      <w:r>
        <w:rPr>
          <w:rFonts w:hint="eastAsia"/>
          <w:sz w:val="21"/>
          <w:szCs w:val="21"/>
        </w:rPr>
        <w:t>%年费率计提。托管费的计算方法如下：</w:t>
      </w:r>
    </w:p>
    <w:p w14:paraId="3A44B49D">
      <w:pPr>
        <w:pStyle w:val="8"/>
        <w:spacing w:before="0" w:beforeAutospacing="0" w:after="0" w:afterAutospacing="0" w:line="360" w:lineRule="auto"/>
        <w:ind w:firstLine="420"/>
        <w:rPr>
          <w:sz w:val="21"/>
          <w:szCs w:val="21"/>
        </w:rPr>
      </w:pPr>
      <w:r>
        <w:rPr>
          <w:rFonts w:hint="eastAsia"/>
          <w:sz w:val="21"/>
          <w:szCs w:val="21"/>
        </w:rPr>
        <w:t>H＝E×</w:t>
      </w:r>
      <w:bookmarkStart w:id="127" w:name="field_0_trusteerate_2"/>
      <w:r>
        <w:rPr>
          <w:sz w:val="21"/>
          <w:szCs w:val="21"/>
        </w:rPr>
        <w:t>0.10</w:t>
      </w:r>
      <w:bookmarkEnd w:id="127"/>
      <w:r>
        <w:rPr>
          <w:rFonts w:hint="eastAsia"/>
          <w:sz w:val="21"/>
          <w:szCs w:val="21"/>
        </w:rPr>
        <w:t>%÷当年实际天数</w:t>
      </w:r>
    </w:p>
    <w:p w14:paraId="2B903B7E">
      <w:pPr>
        <w:pStyle w:val="8"/>
        <w:spacing w:before="0" w:beforeAutospacing="0" w:after="0" w:afterAutospacing="0" w:line="360" w:lineRule="auto"/>
        <w:ind w:firstLine="420"/>
        <w:rPr>
          <w:sz w:val="21"/>
          <w:szCs w:val="21"/>
        </w:rPr>
      </w:pPr>
      <w:r>
        <w:rPr>
          <w:rFonts w:hint="eastAsia"/>
          <w:sz w:val="21"/>
          <w:szCs w:val="21"/>
        </w:rPr>
        <w:t>H为每日应计提的基金托管费</w:t>
      </w:r>
    </w:p>
    <w:p w14:paraId="4977802A">
      <w:pPr>
        <w:pStyle w:val="8"/>
        <w:spacing w:before="0" w:beforeAutospacing="0" w:after="0" w:afterAutospacing="0" w:line="360" w:lineRule="auto"/>
        <w:ind w:firstLine="420"/>
        <w:rPr>
          <w:sz w:val="21"/>
          <w:szCs w:val="21"/>
        </w:rPr>
      </w:pPr>
      <w:r>
        <w:rPr>
          <w:rFonts w:hint="eastAsia"/>
          <w:sz w:val="21"/>
          <w:szCs w:val="21"/>
        </w:rPr>
        <w:t>E为前一日的基金资产净值</w:t>
      </w:r>
    </w:p>
    <w:p w14:paraId="4A642EE7">
      <w:pPr>
        <w:spacing w:line="360" w:lineRule="auto"/>
        <w:ind w:firstLine="480"/>
        <w:rPr>
          <w:rFonts w:ascii="Times New Roman" w:hAnsi="Times New Roman" w:cs="Times New Roman"/>
          <w:bCs/>
          <w:sz w:val="21"/>
          <w:szCs w:val="21"/>
        </w:rPr>
      </w:pPr>
      <w:r>
        <w:rPr>
          <w:rFonts w:hint="eastAsia" w:ascii="Times New Roman" w:hAnsi="Times New Roman" w:cs="Times New Roman"/>
          <w:bCs/>
          <w:sz w:val="21"/>
          <w:szCs w:val="21"/>
        </w:rPr>
        <w:t>基金托管人对本基金投资组合中投资于目标ETF部分的基金资产净值不计提基金托管费。</w:t>
      </w:r>
    </w:p>
    <w:p w14:paraId="5F182CA0">
      <w:pPr>
        <w:pStyle w:val="8"/>
        <w:spacing w:before="0" w:beforeAutospacing="0" w:after="0" w:afterAutospacing="0" w:line="360" w:lineRule="auto"/>
        <w:ind w:firstLine="420"/>
        <w:rPr>
          <w:rFonts w:hint="eastAsia" w:ascii="Times New Roman" w:hAnsi="Times New Roman" w:cs="Times New Roman"/>
          <w:bCs/>
          <w:sz w:val="21"/>
          <w:szCs w:val="21"/>
        </w:rPr>
      </w:pPr>
      <w:r>
        <w:rPr>
          <w:rFonts w:hint="eastAsia" w:ascii="Times New Roman" w:hAnsi="Times New Roman" w:cs="Times New Roman"/>
          <w:bCs/>
          <w:sz w:val="21"/>
          <w:szCs w:val="21"/>
        </w:rPr>
        <w:t>前一日的基金资产净值为已扣除本基金投资于目标ETF部分基金资产净值后的净额，金额为负时以零计。</w:t>
      </w:r>
    </w:p>
    <w:p w14:paraId="47550690">
      <w:pPr>
        <w:pStyle w:val="8"/>
        <w:spacing w:before="0" w:beforeAutospacing="0" w:after="0" w:afterAutospacing="0" w:line="360" w:lineRule="auto"/>
        <w:ind w:firstLine="420"/>
        <w:rPr>
          <w:sz w:val="21"/>
          <w:szCs w:val="21"/>
        </w:rPr>
      </w:pPr>
      <w:r>
        <w:rPr>
          <w:rFonts w:hint="eastAsia"/>
          <w:sz w:val="21"/>
          <w:szCs w:val="21"/>
        </w:rPr>
        <w:t>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w:t>
      </w:r>
    </w:p>
    <w:p w14:paraId="2336E634">
      <w:pPr>
        <w:pStyle w:val="8"/>
        <w:spacing w:before="0" w:beforeAutospacing="0" w:after="0" w:afterAutospacing="0" w:line="360" w:lineRule="auto"/>
        <w:ind w:firstLine="420"/>
        <w:rPr>
          <w:sz w:val="21"/>
          <w:szCs w:val="21"/>
        </w:rPr>
      </w:pPr>
      <w:r>
        <w:rPr>
          <w:rFonts w:hint="eastAsia"/>
          <w:sz w:val="21"/>
          <w:szCs w:val="21"/>
        </w:rPr>
        <w:t>3、C类份额的销售服务费</w:t>
      </w:r>
    </w:p>
    <w:p w14:paraId="5655A83F">
      <w:pPr>
        <w:pStyle w:val="8"/>
        <w:spacing w:before="0" w:beforeAutospacing="0" w:after="0" w:afterAutospacing="0" w:line="360" w:lineRule="auto"/>
        <w:ind w:firstLine="420"/>
        <w:rPr>
          <w:rFonts w:hint="eastAsia"/>
          <w:sz w:val="21"/>
          <w:szCs w:val="21"/>
        </w:rPr>
      </w:pPr>
      <w:r>
        <w:rPr>
          <w:rFonts w:hint="eastAsia"/>
          <w:sz w:val="21"/>
          <w:szCs w:val="21"/>
        </w:rPr>
        <w:t>本基金A类基金份额不收取销售服务费，C类基金份额的销售服务费年费率为0.30%。</w:t>
      </w:r>
    </w:p>
    <w:p w14:paraId="155AF47F">
      <w:pPr>
        <w:pStyle w:val="8"/>
        <w:spacing w:before="0" w:beforeAutospacing="0" w:after="0" w:afterAutospacing="0" w:line="360" w:lineRule="auto"/>
        <w:ind w:firstLine="420"/>
        <w:rPr>
          <w:rFonts w:hint="eastAsia"/>
          <w:sz w:val="21"/>
          <w:szCs w:val="21"/>
        </w:rPr>
      </w:pPr>
      <w:r>
        <w:rPr>
          <w:rFonts w:hint="eastAsia"/>
          <w:sz w:val="21"/>
          <w:szCs w:val="21"/>
        </w:rPr>
        <w:t xml:space="preserve">本基金销售服务费按前一日C类基金资产净值的0.30%年费率计提。计算方法如下： </w:t>
      </w:r>
    </w:p>
    <w:p w14:paraId="390932E2">
      <w:pPr>
        <w:pStyle w:val="8"/>
        <w:spacing w:before="0" w:beforeAutospacing="0" w:after="0" w:afterAutospacing="0" w:line="360" w:lineRule="auto"/>
        <w:ind w:firstLine="420"/>
        <w:rPr>
          <w:rFonts w:hint="eastAsia"/>
          <w:sz w:val="21"/>
          <w:szCs w:val="21"/>
        </w:rPr>
      </w:pPr>
      <w:r>
        <w:rPr>
          <w:rFonts w:hint="eastAsia"/>
          <w:sz w:val="21"/>
          <w:szCs w:val="21"/>
        </w:rPr>
        <w:t xml:space="preserve">H＝E×0.30%÷当年实际天数 </w:t>
      </w:r>
    </w:p>
    <w:p w14:paraId="4391A0CB">
      <w:pPr>
        <w:pStyle w:val="8"/>
        <w:spacing w:before="0" w:beforeAutospacing="0" w:after="0" w:afterAutospacing="0" w:line="360" w:lineRule="auto"/>
        <w:ind w:firstLine="420"/>
        <w:rPr>
          <w:rFonts w:hint="eastAsia"/>
          <w:sz w:val="21"/>
          <w:szCs w:val="21"/>
        </w:rPr>
      </w:pPr>
      <w:r>
        <w:rPr>
          <w:rFonts w:hint="eastAsia"/>
          <w:sz w:val="21"/>
          <w:szCs w:val="21"/>
        </w:rPr>
        <w:t>H为C类基金份额每日应计提的销售服务费</w:t>
      </w:r>
    </w:p>
    <w:p w14:paraId="55B38DD7">
      <w:pPr>
        <w:pStyle w:val="8"/>
        <w:spacing w:before="0" w:beforeAutospacing="0" w:after="0" w:afterAutospacing="0" w:line="360" w:lineRule="auto"/>
        <w:ind w:firstLine="420"/>
        <w:rPr>
          <w:rFonts w:hint="eastAsia"/>
          <w:sz w:val="21"/>
          <w:szCs w:val="21"/>
        </w:rPr>
      </w:pPr>
      <w:r>
        <w:rPr>
          <w:rFonts w:hint="eastAsia"/>
          <w:sz w:val="21"/>
          <w:szCs w:val="21"/>
        </w:rPr>
        <w:t>E为C类基金份额前一日基金资产净值</w:t>
      </w:r>
    </w:p>
    <w:p w14:paraId="7FF28F31">
      <w:pPr>
        <w:pStyle w:val="8"/>
        <w:spacing w:before="0" w:beforeAutospacing="0" w:after="0" w:afterAutospacing="0" w:line="360" w:lineRule="auto"/>
        <w:ind w:firstLine="420"/>
        <w:rPr>
          <w:sz w:val="21"/>
          <w:szCs w:val="21"/>
        </w:rPr>
      </w:pPr>
      <w:r>
        <w:rPr>
          <w:rFonts w:hint="eastAsia"/>
          <w:sz w:val="21"/>
          <w:szCs w:val="21"/>
        </w:rPr>
        <w:t>基金销售服务费每日计提，逐日累计至每月月末，按月支付，经基金管理人与基金托管人双方核对无误后，基金托管人按照与基金管理人协商一致的方式于次月月初5个工作日内从基金财产中一次性支付给销售机构。若遇法定节假日、公休假或不可抗力等，支付日期顺延。</w:t>
      </w:r>
    </w:p>
    <w:p w14:paraId="14660A46">
      <w:pPr>
        <w:pStyle w:val="8"/>
        <w:spacing w:before="0" w:beforeAutospacing="0" w:after="0" w:afterAutospacing="0" w:line="360" w:lineRule="auto"/>
        <w:ind w:firstLine="420"/>
        <w:rPr>
          <w:sz w:val="21"/>
          <w:szCs w:val="21"/>
        </w:rPr>
      </w:pPr>
      <w:r>
        <w:rPr>
          <w:rFonts w:hint="eastAsia"/>
          <w:sz w:val="21"/>
          <w:szCs w:val="21"/>
        </w:rPr>
        <w:t>上述“一、基金费用的种类”中第4－1</w:t>
      </w:r>
      <w:r>
        <w:rPr>
          <w:rFonts w:hint="eastAsia"/>
          <w:sz w:val="21"/>
          <w:szCs w:val="21"/>
          <w:lang w:val="en-US" w:eastAsia="zh-CN"/>
        </w:rPr>
        <w:t>2</w:t>
      </w:r>
      <w:r>
        <w:rPr>
          <w:rFonts w:hint="eastAsia"/>
          <w:sz w:val="21"/>
          <w:szCs w:val="21"/>
        </w:rPr>
        <w:t>项费用，根据有关法规及相应协议规定，按费用实际支出金额列入当期费用，由基金托管人从基金财产中支付。</w:t>
      </w:r>
    </w:p>
    <w:p w14:paraId="21CCBB9A">
      <w:pPr>
        <w:pStyle w:val="8"/>
        <w:spacing w:before="0" w:beforeAutospacing="0" w:after="0" w:afterAutospacing="0" w:line="360" w:lineRule="auto"/>
        <w:ind w:firstLine="420"/>
        <w:rPr>
          <w:sz w:val="21"/>
          <w:szCs w:val="21"/>
        </w:rPr>
      </w:pPr>
      <w:r>
        <w:rPr>
          <w:rStyle w:val="12"/>
          <w:rFonts w:hint="eastAsia"/>
          <w:sz w:val="21"/>
          <w:szCs w:val="21"/>
        </w:rPr>
        <w:t>三、不列入基金费用的项目</w:t>
      </w:r>
    </w:p>
    <w:p w14:paraId="58413279">
      <w:pPr>
        <w:pStyle w:val="8"/>
        <w:spacing w:before="0" w:beforeAutospacing="0" w:after="0" w:afterAutospacing="0" w:line="360" w:lineRule="auto"/>
        <w:ind w:firstLine="420"/>
        <w:rPr>
          <w:sz w:val="21"/>
          <w:szCs w:val="21"/>
        </w:rPr>
      </w:pPr>
      <w:r>
        <w:rPr>
          <w:rFonts w:hint="eastAsia"/>
          <w:sz w:val="21"/>
          <w:szCs w:val="21"/>
        </w:rPr>
        <w:t>下列费用不列入基金费用：</w:t>
      </w:r>
    </w:p>
    <w:p w14:paraId="1B6E5713">
      <w:pPr>
        <w:pStyle w:val="8"/>
        <w:spacing w:before="0" w:beforeAutospacing="0" w:after="0" w:afterAutospacing="0" w:line="360" w:lineRule="auto"/>
        <w:ind w:firstLine="420"/>
        <w:rPr>
          <w:sz w:val="21"/>
          <w:szCs w:val="21"/>
        </w:rPr>
      </w:pPr>
      <w:r>
        <w:rPr>
          <w:rFonts w:hint="eastAsia"/>
          <w:sz w:val="21"/>
          <w:szCs w:val="21"/>
        </w:rPr>
        <w:t>1、基金管理人和基金托管人因未履行或未完全履行义务导致的费用支出或基金财产的损失；</w:t>
      </w:r>
    </w:p>
    <w:p w14:paraId="2E35D872">
      <w:pPr>
        <w:pStyle w:val="8"/>
        <w:spacing w:before="0" w:beforeAutospacing="0" w:after="0" w:afterAutospacing="0" w:line="360" w:lineRule="auto"/>
        <w:ind w:firstLine="420"/>
        <w:rPr>
          <w:sz w:val="21"/>
          <w:szCs w:val="21"/>
        </w:rPr>
      </w:pPr>
      <w:r>
        <w:rPr>
          <w:rFonts w:hint="eastAsia"/>
          <w:sz w:val="21"/>
          <w:szCs w:val="21"/>
        </w:rPr>
        <w:t>2、基金管理人和基金托管人处理与基金运作无关的事项发生的费用；</w:t>
      </w:r>
    </w:p>
    <w:p w14:paraId="51A4C8A0">
      <w:pPr>
        <w:pStyle w:val="8"/>
        <w:spacing w:before="0" w:beforeAutospacing="0" w:after="0" w:afterAutospacing="0" w:line="360" w:lineRule="auto"/>
        <w:ind w:firstLine="420"/>
        <w:rPr>
          <w:sz w:val="21"/>
          <w:szCs w:val="21"/>
        </w:rPr>
      </w:pPr>
      <w:r>
        <w:rPr>
          <w:rFonts w:hint="eastAsia"/>
          <w:sz w:val="21"/>
          <w:szCs w:val="21"/>
        </w:rPr>
        <w:t>3、指数许可使用费</w:t>
      </w:r>
    </w:p>
    <w:p w14:paraId="1BD01051">
      <w:pPr>
        <w:pStyle w:val="8"/>
        <w:spacing w:before="0" w:beforeAutospacing="0" w:after="0" w:afterAutospacing="0" w:line="360" w:lineRule="auto"/>
        <w:ind w:firstLine="420"/>
        <w:rPr>
          <w:sz w:val="21"/>
          <w:szCs w:val="21"/>
        </w:rPr>
      </w:pPr>
      <w:r>
        <w:rPr>
          <w:rFonts w:hint="eastAsia"/>
          <w:sz w:val="21"/>
          <w:szCs w:val="21"/>
        </w:rPr>
        <w:t>本基金按照基金管理人与标的指数许可方所签订的指数使用许可协议中所规定的指数许可使用费计提方法支付指数许可使用费，该指数许可使用费由基金管理人承担，不得从基金财产中列支。</w:t>
      </w:r>
    </w:p>
    <w:p w14:paraId="26E185C2">
      <w:pPr>
        <w:pStyle w:val="8"/>
        <w:spacing w:before="0" w:beforeAutospacing="0" w:after="0" w:afterAutospacing="0" w:line="360" w:lineRule="auto"/>
        <w:ind w:firstLine="420"/>
        <w:rPr>
          <w:sz w:val="21"/>
          <w:szCs w:val="21"/>
        </w:rPr>
      </w:pPr>
      <w:r>
        <w:rPr>
          <w:rFonts w:hint="eastAsia"/>
          <w:sz w:val="21"/>
          <w:szCs w:val="21"/>
        </w:rPr>
        <w:t>如果指数许可使用费的计算方法、费率、支付方式和费用承担方等发生调整，本基金将采用调整后的方法或费率计算指数许可使用费；</w:t>
      </w:r>
    </w:p>
    <w:p w14:paraId="160F6D42">
      <w:pPr>
        <w:pStyle w:val="8"/>
        <w:spacing w:before="0" w:beforeAutospacing="0" w:after="0" w:afterAutospacing="0" w:line="360" w:lineRule="auto"/>
        <w:ind w:firstLine="420"/>
        <w:rPr>
          <w:sz w:val="21"/>
          <w:szCs w:val="21"/>
        </w:rPr>
      </w:pPr>
      <w:r>
        <w:rPr>
          <w:rFonts w:hint="eastAsia"/>
          <w:sz w:val="21"/>
          <w:szCs w:val="21"/>
        </w:rPr>
        <w:t>4、《基金合同》生效前的相关费用</w:t>
      </w:r>
      <w:r>
        <w:rPr>
          <w:rFonts w:hint="eastAsia" w:ascii="宋体" w:hAnsi="宋体" w:eastAsia="宋体" w:cs="宋体"/>
          <w:sz w:val="21"/>
          <w:szCs w:val="21"/>
        </w:rPr>
        <w:t>根据《博时国证粮食产业指数型发起式证券投资基金基金合同》的约定执行</w:t>
      </w:r>
      <w:r>
        <w:rPr>
          <w:rFonts w:hint="eastAsia"/>
          <w:sz w:val="21"/>
          <w:szCs w:val="21"/>
        </w:rPr>
        <w:t>；</w:t>
      </w:r>
    </w:p>
    <w:p w14:paraId="695CC790">
      <w:pPr>
        <w:pStyle w:val="8"/>
        <w:spacing w:before="0" w:beforeAutospacing="0" w:after="0" w:afterAutospacing="0" w:line="360" w:lineRule="auto"/>
        <w:ind w:firstLine="420"/>
        <w:rPr>
          <w:sz w:val="21"/>
          <w:szCs w:val="21"/>
        </w:rPr>
      </w:pPr>
      <w:r>
        <w:rPr>
          <w:rFonts w:hint="eastAsia"/>
          <w:sz w:val="21"/>
          <w:szCs w:val="21"/>
        </w:rPr>
        <w:t>5、其他根据相关法律法规及中国证监会的有关规定不得列入基金费用的项目。</w:t>
      </w:r>
    </w:p>
    <w:p w14:paraId="18C65DAD">
      <w:pPr>
        <w:pStyle w:val="8"/>
        <w:spacing w:before="0" w:beforeAutospacing="0" w:after="0" w:afterAutospacing="0" w:line="360" w:lineRule="auto"/>
        <w:ind w:firstLine="420"/>
        <w:rPr>
          <w:sz w:val="21"/>
          <w:szCs w:val="21"/>
        </w:rPr>
      </w:pPr>
      <w:r>
        <w:rPr>
          <w:rStyle w:val="12"/>
          <w:rFonts w:hint="eastAsia"/>
          <w:sz w:val="21"/>
          <w:szCs w:val="21"/>
        </w:rPr>
        <w:t>四、实施侧袋机制期间的基金费用</w:t>
      </w:r>
    </w:p>
    <w:p w14:paraId="4039E8F5">
      <w:pPr>
        <w:pStyle w:val="8"/>
        <w:spacing w:before="0" w:beforeAutospacing="0" w:after="0" w:afterAutospacing="0" w:line="360" w:lineRule="auto"/>
        <w:ind w:firstLine="420"/>
        <w:rPr>
          <w:sz w:val="21"/>
          <w:szCs w:val="21"/>
        </w:rPr>
      </w:pPr>
      <w:r>
        <w:rPr>
          <w:rFonts w:hint="eastAsia"/>
          <w:sz w:val="21"/>
          <w:szCs w:val="21"/>
        </w:rPr>
        <w:t>本基金实施侧袋机制的，与侧袋账户有关的费用可以从侧袋账户中列支，但应待侧袋账户资产变现后方可列支，有关费用可酌情收取或减免，但不得收取管理费，详见本招募说明书“侧袋机制”部分的规定。</w:t>
      </w:r>
    </w:p>
    <w:p w14:paraId="75AF953C">
      <w:pPr>
        <w:pStyle w:val="8"/>
        <w:spacing w:before="0" w:beforeAutospacing="0" w:after="0" w:afterAutospacing="0" w:line="360" w:lineRule="auto"/>
        <w:ind w:firstLine="420"/>
        <w:rPr>
          <w:sz w:val="21"/>
          <w:szCs w:val="21"/>
        </w:rPr>
      </w:pPr>
      <w:r>
        <w:rPr>
          <w:rStyle w:val="12"/>
          <w:rFonts w:hint="eastAsia"/>
          <w:sz w:val="21"/>
          <w:szCs w:val="21"/>
        </w:rPr>
        <w:t>五、基金税收</w:t>
      </w:r>
    </w:p>
    <w:p w14:paraId="50CD318D">
      <w:pPr>
        <w:pStyle w:val="8"/>
        <w:spacing w:before="0" w:beforeAutospacing="0" w:after="0" w:afterAutospacing="0" w:line="360" w:lineRule="auto"/>
        <w:ind w:firstLine="420"/>
        <w:rPr>
          <w:sz w:val="21"/>
          <w:szCs w:val="21"/>
        </w:rPr>
      </w:pPr>
      <w:r>
        <w:rPr>
          <w:rFonts w:hint="eastAsia"/>
          <w:sz w:val="21"/>
          <w:szCs w:val="21"/>
        </w:rPr>
        <w:t>基金运作过程中涉及的各纳税主体，其纳税义务按国家税收法律、法规执行。基金财产投资的相关税收，由基金份额持有人承担，基金管理人或者其他扣缴义务人按照国家有关税收征收的规定代扣代缴。</w:t>
      </w:r>
    </w:p>
    <w:p w14:paraId="3B909B22">
      <w:pPr>
        <w:pStyle w:val="8"/>
        <w:spacing w:before="0" w:beforeAutospacing="0" w:after="0" w:afterAutospacing="0" w:line="360" w:lineRule="auto"/>
        <w:ind w:firstLine="420"/>
        <w:rPr>
          <w:sz w:val="21"/>
          <w:szCs w:val="21"/>
        </w:rPr>
      </w:pPr>
      <w:r>
        <w:rPr>
          <w:rFonts w:hint="eastAsia"/>
          <w:sz w:val="21"/>
          <w:szCs w:val="21"/>
        </w:rPr>
        <w:t>本基金支付给基金管理人、基金托管人的各项费用均为含税价格，具体税率适用中国税</w:t>
      </w:r>
      <w:bookmarkStart w:id="128" w:name="chapter_level1_16_65_section_1_end"/>
      <w:bookmarkEnd w:id="128"/>
      <w:r>
        <w:rPr>
          <w:rFonts w:hint="eastAsia"/>
          <w:sz w:val="21"/>
          <w:szCs w:val="21"/>
        </w:rPr>
        <w:t>务主管机关的规定。</w:t>
      </w:r>
    </w:p>
    <w:p w14:paraId="606FEA30">
      <w:pPr>
        <w:widowControl/>
        <w:jc w:val="left"/>
        <w:rPr>
          <w:rFonts w:ascii="宋体" w:hAnsi="宋体" w:eastAsia="宋体"/>
        </w:rPr>
      </w:pPr>
      <w:r>
        <w:rPr>
          <w:rFonts w:ascii="宋体" w:hAnsi="宋体" w:eastAsia="宋体"/>
        </w:rPr>
        <w:br w:type="page"/>
      </w:r>
    </w:p>
    <w:p w14:paraId="300A9E5C">
      <w:pPr>
        <w:pStyle w:val="2"/>
        <w:jc w:val="center"/>
        <w:rPr>
          <w:rFonts w:ascii="宋体" w:hAnsi="宋体" w:eastAsia="宋体"/>
          <w:sz w:val="30"/>
        </w:rPr>
      </w:pPr>
      <w:bookmarkStart w:id="129" w:name="chapter_level1_17_66"/>
      <w:bookmarkStart w:id="130" w:name="_Toc207939910"/>
      <w:r>
        <w:rPr>
          <w:rFonts w:hint="eastAsia" w:ascii="宋体" w:hAnsi="宋体" w:eastAsia="宋体"/>
          <w:sz w:val="30"/>
        </w:rPr>
        <w:t>第十</w:t>
      </w:r>
      <w:r>
        <w:rPr>
          <w:rFonts w:hint="eastAsia" w:ascii="宋体" w:hAnsi="宋体" w:eastAsia="宋体"/>
          <w:sz w:val="30"/>
          <w:lang w:val="en-US" w:eastAsia="zh-CN"/>
        </w:rPr>
        <w:t>五</w:t>
      </w:r>
      <w:r>
        <w:rPr>
          <w:rFonts w:hint="eastAsia" w:ascii="宋体" w:hAnsi="宋体" w:eastAsia="宋体"/>
          <w:sz w:val="30"/>
        </w:rPr>
        <w:t>部分  基金的会计与审计</w:t>
      </w:r>
      <w:bookmarkEnd w:id="129"/>
      <w:bookmarkEnd w:id="130"/>
    </w:p>
    <w:p w14:paraId="0F302D83">
      <w:pPr>
        <w:pStyle w:val="8"/>
        <w:spacing w:before="0" w:beforeAutospacing="0" w:after="0" w:afterAutospacing="0" w:line="360" w:lineRule="auto"/>
        <w:ind w:firstLine="420"/>
        <w:rPr>
          <w:sz w:val="21"/>
          <w:szCs w:val="21"/>
        </w:rPr>
      </w:pPr>
      <w:bookmarkStart w:id="131" w:name="chapter_level1_17_66_section_1"/>
      <w:bookmarkEnd w:id="131"/>
      <w:r>
        <w:rPr>
          <w:rStyle w:val="12"/>
          <w:rFonts w:hint="eastAsia"/>
          <w:sz w:val="21"/>
          <w:szCs w:val="21"/>
        </w:rPr>
        <w:t>一、基金会计政策</w:t>
      </w:r>
    </w:p>
    <w:p w14:paraId="6E5455CA">
      <w:pPr>
        <w:pStyle w:val="8"/>
        <w:spacing w:before="0" w:beforeAutospacing="0" w:after="0" w:afterAutospacing="0" w:line="360" w:lineRule="auto"/>
        <w:ind w:firstLine="420"/>
        <w:rPr>
          <w:sz w:val="21"/>
          <w:szCs w:val="21"/>
        </w:rPr>
      </w:pPr>
      <w:r>
        <w:rPr>
          <w:rFonts w:hint="eastAsia"/>
          <w:sz w:val="21"/>
          <w:szCs w:val="21"/>
        </w:rPr>
        <w:t>1、基金管理人为本基金的基金会计责任方；</w:t>
      </w:r>
    </w:p>
    <w:p w14:paraId="3B83B218">
      <w:pPr>
        <w:pStyle w:val="8"/>
        <w:spacing w:before="0" w:beforeAutospacing="0" w:after="0" w:afterAutospacing="0" w:line="360" w:lineRule="auto"/>
        <w:ind w:firstLine="420"/>
        <w:rPr>
          <w:sz w:val="21"/>
          <w:szCs w:val="21"/>
        </w:rPr>
      </w:pPr>
      <w:r>
        <w:rPr>
          <w:rFonts w:hint="eastAsia"/>
          <w:sz w:val="21"/>
          <w:szCs w:val="21"/>
        </w:rPr>
        <w:t>2、基金的会计年度为公历年度的1月1日至12月31日；</w:t>
      </w:r>
    </w:p>
    <w:p w14:paraId="2D2FCD59">
      <w:pPr>
        <w:pStyle w:val="8"/>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14:paraId="57F4F8A9">
      <w:pPr>
        <w:pStyle w:val="8"/>
        <w:spacing w:before="0" w:beforeAutospacing="0" w:after="0" w:afterAutospacing="0" w:line="360" w:lineRule="auto"/>
        <w:ind w:firstLine="420"/>
        <w:rPr>
          <w:sz w:val="21"/>
          <w:szCs w:val="21"/>
        </w:rPr>
      </w:pPr>
      <w:r>
        <w:rPr>
          <w:rFonts w:hint="eastAsia"/>
          <w:sz w:val="21"/>
          <w:szCs w:val="21"/>
        </w:rPr>
        <w:t>4、会计制度执行国家有关会计制度；</w:t>
      </w:r>
    </w:p>
    <w:p w14:paraId="7118039F">
      <w:pPr>
        <w:pStyle w:val="8"/>
        <w:spacing w:before="0" w:beforeAutospacing="0" w:after="0" w:afterAutospacing="0" w:line="360" w:lineRule="auto"/>
        <w:ind w:firstLine="420"/>
        <w:rPr>
          <w:sz w:val="21"/>
          <w:szCs w:val="21"/>
        </w:rPr>
      </w:pPr>
      <w:r>
        <w:rPr>
          <w:rFonts w:hint="eastAsia"/>
          <w:sz w:val="21"/>
          <w:szCs w:val="21"/>
        </w:rPr>
        <w:t>5、本基金独立建账、独立核算；</w:t>
      </w:r>
    </w:p>
    <w:p w14:paraId="0D950F78">
      <w:pPr>
        <w:pStyle w:val="8"/>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14:paraId="309E6459">
      <w:pPr>
        <w:pStyle w:val="8"/>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14:paraId="496E6ABA">
      <w:pPr>
        <w:pStyle w:val="8"/>
        <w:spacing w:before="0" w:beforeAutospacing="0" w:after="0" w:afterAutospacing="0" w:line="360" w:lineRule="auto"/>
        <w:ind w:firstLine="420"/>
        <w:rPr>
          <w:sz w:val="21"/>
          <w:szCs w:val="21"/>
        </w:rPr>
      </w:pPr>
      <w:r>
        <w:rPr>
          <w:rStyle w:val="12"/>
          <w:rFonts w:hint="eastAsia"/>
          <w:sz w:val="21"/>
          <w:szCs w:val="21"/>
        </w:rPr>
        <w:t>二、基金的年度审计</w:t>
      </w:r>
    </w:p>
    <w:p w14:paraId="025A46A3">
      <w:pPr>
        <w:pStyle w:val="8"/>
        <w:spacing w:before="0" w:beforeAutospacing="0" w:after="0" w:afterAutospacing="0" w:line="360" w:lineRule="auto"/>
        <w:ind w:firstLine="420"/>
        <w:rPr>
          <w:sz w:val="21"/>
          <w:szCs w:val="21"/>
        </w:rPr>
      </w:pPr>
      <w:r>
        <w:rPr>
          <w:rFonts w:hint="eastAsia"/>
          <w:sz w:val="21"/>
          <w:szCs w:val="21"/>
        </w:rPr>
        <w:t>1、基金管理人聘请与基金管理人、基金托管人相互独立且符合《中华人民共和国证券法》规定的会计师事务所及其注册会计师对本基金的年度财务报表进行审计。</w:t>
      </w:r>
    </w:p>
    <w:p w14:paraId="28F80905">
      <w:pPr>
        <w:pStyle w:val="8"/>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14:paraId="0096B8A4">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32" w:name="chapter_level1_17_66_section_1_end"/>
      <w:bookmarkEnd w:id="132"/>
      <w:r>
        <w:rPr>
          <w:rFonts w:hint="eastAsia"/>
          <w:sz w:val="21"/>
          <w:szCs w:val="21"/>
        </w:rPr>
        <w:t>务所需按规定在规定媒介公告。</w:t>
      </w:r>
    </w:p>
    <w:p w14:paraId="4C229DAB">
      <w:pPr>
        <w:widowControl/>
        <w:jc w:val="left"/>
        <w:rPr>
          <w:rFonts w:ascii="宋体" w:hAnsi="宋体" w:eastAsia="宋体"/>
        </w:rPr>
      </w:pPr>
      <w:r>
        <w:rPr>
          <w:rFonts w:ascii="宋体" w:hAnsi="宋体" w:eastAsia="宋体"/>
        </w:rPr>
        <w:br w:type="page"/>
      </w:r>
    </w:p>
    <w:p w14:paraId="0653C474">
      <w:pPr>
        <w:pStyle w:val="2"/>
        <w:jc w:val="center"/>
        <w:rPr>
          <w:rFonts w:ascii="宋体" w:hAnsi="宋体" w:eastAsia="宋体"/>
          <w:sz w:val="30"/>
        </w:rPr>
      </w:pPr>
      <w:bookmarkStart w:id="133" w:name="_Toc207939911"/>
      <w:bookmarkStart w:id="134" w:name="chapter_level1_18_67"/>
      <w:r>
        <w:rPr>
          <w:rFonts w:hint="eastAsia" w:ascii="宋体" w:hAnsi="宋体" w:eastAsia="宋体"/>
          <w:sz w:val="30"/>
        </w:rPr>
        <w:t>第十</w:t>
      </w:r>
      <w:r>
        <w:rPr>
          <w:rFonts w:hint="eastAsia" w:ascii="宋体" w:hAnsi="宋体" w:eastAsia="宋体"/>
          <w:sz w:val="30"/>
          <w:lang w:val="en-US" w:eastAsia="zh-CN"/>
        </w:rPr>
        <w:t>六</w:t>
      </w:r>
      <w:r>
        <w:rPr>
          <w:rFonts w:hint="eastAsia" w:ascii="宋体" w:hAnsi="宋体" w:eastAsia="宋体"/>
          <w:sz w:val="30"/>
        </w:rPr>
        <w:t>部分  基金的信息披露</w:t>
      </w:r>
      <w:bookmarkEnd w:id="133"/>
      <w:bookmarkEnd w:id="134"/>
    </w:p>
    <w:p w14:paraId="14B99D27">
      <w:pPr>
        <w:pStyle w:val="8"/>
        <w:spacing w:before="0" w:beforeAutospacing="0" w:after="0" w:afterAutospacing="0" w:line="360" w:lineRule="auto"/>
        <w:ind w:firstLine="420"/>
        <w:rPr>
          <w:sz w:val="21"/>
          <w:szCs w:val="21"/>
        </w:rPr>
      </w:pPr>
      <w:bookmarkStart w:id="135" w:name="chapter_level1_18_67_section_1"/>
      <w:bookmarkEnd w:id="135"/>
      <w:r>
        <w:rPr>
          <w:rStyle w:val="12"/>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31F17C15">
      <w:pPr>
        <w:pStyle w:val="8"/>
        <w:spacing w:before="0" w:beforeAutospacing="0" w:after="0" w:afterAutospacing="0" w:line="360" w:lineRule="auto"/>
        <w:ind w:firstLine="420"/>
        <w:rPr>
          <w:sz w:val="21"/>
          <w:szCs w:val="21"/>
        </w:rPr>
      </w:pPr>
      <w:r>
        <w:rPr>
          <w:rStyle w:val="12"/>
          <w:rFonts w:hint="eastAsia"/>
          <w:sz w:val="21"/>
          <w:szCs w:val="21"/>
        </w:rPr>
        <w:t>二、信息披露义务人</w:t>
      </w:r>
    </w:p>
    <w:p w14:paraId="1B79BBD2">
      <w:pPr>
        <w:pStyle w:val="8"/>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本基金信息披露义务人包括基金管理人、基金托管人、召集基金份额持有人大会的基金份额持有人等法律法规和中国证监会规定的自然人、法人和非法人组织。</w:t>
      </w:r>
    </w:p>
    <w:p w14:paraId="537D3141">
      <w:pPr>
        <w:pStyle w:val="8"/>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p>
    <w:p w14:paraId="09B3DCCC">
      <w:pPr>
        <w:pStyle w:val="8"/>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766F9C09">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14:paraId="4191C4D2">
      <w:pPr>
        <w:pStyle w:val="8"/>
        <w:spacing w:before="0" w:beforeAutospacing="0" w:after="0" w:afterAutospacing="0" w:line="360" w:lineRule="auto"/>
        <w:ind w:firstLine="420"/>
        <w:rPr>
          <w:sz w:val="21"/>
          <w:szCs w:val="21"/>
        </w:rPr>
      </w:pPr>
      <w:r>
        <w:rPr>
          <w:rFonts w:hint="eastAsia"/>
          <w:sz w:val="21"/>
          <w:szCs w:val="21"/>
        </w:rPr>
        <w:t>1、虚假记载、误导性陈述或者重大遗漏；</w:t>
      </w:r>
    </w:p>
    <w:p w14:paraId="051663BD">
      <w:pPr>
        <w:pStyle w:val="8"/>
        <w:spacing w:before="0" w:beforeAutospacing="0" w:after="0" w:afterAutospacing="0" w:line="360" w:lineRule="auto"/>
        <w:ind w:firstLine="420"/>
        <w:rPr>
          <w:sz w:val="21"/>
          <w:szCs w:val="21"/>
        </w:rPr>
      </w:pPr>
      <w:r>
        <w:rPr>
          <w:rFonts w:hint="eastAsia"/>
          <w:sz w:val="21"/>
          <w:szCs w:val="21"/>
        </w:rPr>
        <w:t>2、对证券投资业绩进行预测；</w:t>
      </w:r>
    </w:p>
    <w:p w14:paraId="06B0A4B9">
      <w:pPr>
        <w:pStyle w:val="8"/>
        <w:spacing w:before="0" w:beforeAutospacing="0" w:after="0" w:afterAutospacing="0" w:line="360" w:lineRule="auto"/>
        <w:ind w:firstLine="420"/>
        <w:rPr>
          <w:sz w:val="21"/>
          <w:szCs w:val="21"/>
        </w:rPr>
      </w:pPr>
      <w:r>
        <w:rPr>
          <w:rFonts w:hint="eastAsia"/>
          <w:sz w:val="21"/>
          <w:szCs w:val="21"/>
        </w:rPr>
        <w:t>3、违规承诺收益或者承担损失；</w:t>
      </w:r>
    </w:p>
    <w:p w14:paraId="32EF148B">
      <w:pPr>
        <w:pStyle w:val="8"/>
        <w:spacing w:before="0" w:beforeAutospacing="0" w:after="0" w:afterAutospacing="0" w:line="360" w:lineRule="auto"/>
        <w:ind w:firstLine="420"/>
        <w:rPr>
          <w:sz w:val="21"/>
          <w:szCs w:val="21"/>
        </w:rPr>
      </w:pPr>
      <w:r>
        <w:rPr>
          <w:rFonts w:hint="eastAsia"/>
          <w:sz w:val="21"/>
          <w:szCs w:val="21"/>
        </w:rPr>
        <w:t>4、诋毁其他基金管理人、基金托管人或者基金销售机构；</w:t>
      </w:r>
    </w:p>
    <w:p w14:paraId="368F2DC8">
      <w:pPr>
        <w:pStyle w:val="8"/>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5、登载任何自然人、法人和非法人组织的祝贺性、恭维性或推荐性文字；</w:t>
      </w:r>
    </w:p>
    <w:p w14:paraId="7D6B2526">
      <w:pPr>
        <w:pStyle w:val="8"/>
        <w:spacing w:before="0" w:beforeAutospacing="0" w:after="0" w:afterAutospacing="0" w:line="360" w:lineRule="auto"/>
        <w:ind w:firstLine="420"/>
        <w:rPr>
          <w:sz w:val="21"/>
          <w:szCs w:val="21"/>
        </w:rPr>
      </w:pPr>
      <w:r>
        <w:rPr>
          <w:rFonts w:hint="eastAsia"/>
          <w:sz w:val="21"/>
          <w:szCs w:val="21"/>
        </w:rPr>
        <w:t>6、中国证监会禁止的其他行为。</w:t>
      </w:r>
    </w:p>
    <w:p w14:paraId="6ACB4BC4">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14:paraId="244163DD">
      <w:pPr>
        <w:pStyle w:val="8"/>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w:t>
      </w:r>
    </w:p>
    <w:p w14:paraId="467E930E">
      <w:pPr>
        <w:pStyle w:val="8"/>
        <w:spacing w:before="0" w:beforeAutospacing="0" w:after="0" w:afterAutospacing="0" w:line="360" w:lineRule="auto"/>
        <w:ind w:firstLine="420"/>
        <w:rPr>
          <w:sz w:val="21"/>
          <w:szCs w:val="21"/>
        </w:rPr>
      </w:pPr>
      <w:r>
        <w:rPr>
          <w:rStyle w:val="12"/>
          <w:rFonts w:hint="eastAsia"/>
          <w:sz w:val="21"/>
          <w:szCs w:val="21"/>
        </w:rPr>
        <w:t>五、公开披露的基金信息</w:t>
      </w:r>
    </w:p>
    <w:p w14:paraId="4108E2F4">
      <w:pPr>
        <w:pStyle w:val="8"/>
        <w:spacing w:before="0" w:beforeAutospacing="0" w:after="0" w:afterAutospacing="0" w:line="360" w:lineRule="auto"/>
        <w:ind w:firstLine="420"/>
        <w:rPr>
          <w:sz w:val="21"/>
          <w:szCs w:val="21"/>
        </w:rPr>
      </w:pPr>
      <w:r>
        <w:rPr>
          <w:rFonts w:hint="eastAsia"/>
          <w:sz w:val="21"/>
          <w:szCs w:val="21"/>
        </w:rPr>
        <w:t>公开披露的基金信息包括：</w:t>
      </w:r>
    </w:p>
    <w:p w14:paraId="30458035">
      <w:pPr>
        <w:pStyle w:val="8"/>
        <w:spacing w:before="0" w:beforeAutospacing="0" w:after="0" w:afterAutospacing="0" w:line="360" w:lineRule="auto"/>
        <w:ind w:firstLine="420"/>
        <w:rPr>
          <w:sz w:val="21"/>
          <w:szCs w:val="21"/>
        </w:rPr>
      </w:pPr>
      <w:r>
        <w:rPr>
          <w:rFonts w:hint="eastAsia"/>
          <w:sz w:val="21"/>
          <w:szCs w:val="21"/>
        </w:rPr>
        <w:t>（一）基金招募说明书、基金产品资料概要、《基金合同》、基金托管协议</w:t>
      </w:r>
    </w:p>
    <w:p w14:paraId="32301676">
      <w:pPr>
        <w:pStyle w:val="8"/>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w:t>
      </w:r>
    </w:p>
    <w:p w14:paraId="19E4243B">
      <w:pPr>
        <w:pStyle w:val="8"/>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2、基金招募说明书应当最大限度地披露影响基金投资者决策的全部事项，说明基金申购和赎回安排、基金投资、基金产品特性、风险揭示、信息披露及基金份额持有人服务等内容。</w:t>
      </w:r>
    </w:p>
    <w:p w14:paraId="4A7FF857">
      <w:pPr>
        <w:pStyle w:val="8"/>
        <w:spacing w:before="0" w:beforeAutospacing="0" w:after="0" w:afterAutospacing="0" w:line="360" w:lineRule="auto"/>
        <w:ind w:firstLine="420"/>
        <w:rPr>
          <w:sz w:val="21"/>
          <w:szCs w:val="21"/>
        </w:rPr>
      </w:pPr>
      <w:r>
        <w:rPr>
          <w:rFonts w:hint="eastAsia"/>
          <w:sz w:val="21"/>
          <w:szCs w:val="21"/>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57C58566">
      <w:pPr>
        <w:pStyle w:val="8"/>
        <w:spacing w:before="0" w:beforeAutospacing="0" w:after="0" w:afterAutospacing="0" w:line="360" w:lineRule="auto"/>
        <w:ind w:firstLine="420"/>
        <w:rPr>
          <w:sz w:val="21"/>
          <w:szCs w:val="21"/>
        </w:rPr>
      </w:pPr>
      <w:r>
        <w:rPr>
          <w:rFonts w:hint="eastAsia"/>
          <w:sz w:val="21"/>
          <w:szCs w:val="21"/>
        </w:rPr>
        <w:t>基金终止运作的，除基金合同另有约定外，基金管理人可以不再更新基金招募说明书和基金产品资料概要。</w:t>
      </w:r>
    </w:p>
    <w:p w14:paraId="0A45DCD4">
      <w:pPr>
        <w:pStyle w:val="8"/>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w:t>
      </w:r>
    </w:p>
    <w:p w14:paraId="388466B4">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二</w:t>
      </w:r>
      <w:r>
        <w:rPr>
          <w:rFonts w:hint="eastAsia"/>
          <w:sz w:val="21"/>
          <w:szCs w:val="21"/>
        </w:rPr>
        <w:t>）基金净值信息</w:t>
      </w:r>
    </w:p>
    <w:p w14:paraId="7443001C">
      <w:pPr>
        <w:pStyle w:val="8"/>
        <w:spacing w:before="0" w:beforeAutospacing="0" w:after="0" w:afterAutospacing="0" w:line="360" w:lineRule="auto"/>
        <w:ind w:firstLine="420"/>
        <w:rPr>
          <w:sz w:val="21"/>
          <w:szCs w:val="21"/>
        </w:rPr>
      </w:pPr>
      <w:r>
        <w:rPr>
          <w:rFonts w:hint="eastAsia"/>
          <w:sz w:val="21"/>
          <w:szCs w:val="21"/>
        </w:rPr>
        <w:t>《基金合同》生效后，在开始办理基金份额申购或者赎回前，基金管理人应当至少每周在规定网站公告一次各类基金份额净值和各类基金份额累计净值。</w:t>
      </w:r>
    </w:p>
    <w:p w14:paraId="065131F6">
      <w:pPr>
        <w:pStyle w:val="8"/>
        <w:spacing w:before="0" w:beforeAutospacing="0" w:after="0" w:afterAutospacing="0" w:line="360" w:lineRule="auto"/>
        <w:ind w:firstLine="420"/>
        <w:rPr>
          <w:sz w:val="21"/>
          <w:szCs w:val="21"/>
        </w:rPr>
      </w:pPr>
      <w:r>
        <w:rPr>
          <w:rFonts w:hint="eastAsia"/>
          <w:sz w:val="21"/>
          <w:szCs w:val="21"/>
        </w:rPr>
        <w:t>在开始办理基金份额申购或者赎回后，基金管理人应当在不晚于每个开放日的次日，通过规定网站、基金销售机构网站或者营业网点披露开放日的各类基金份额净值和各类基金份额累计净值。</w:t>
      </w:r>
    </w:p>
    <w:p w14:paraId="0401B826">
      <w:pPr>
        <w:pStyle w:val="8"/>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 在规定网站公告半年度和年度最后一日各类基金份额净值和各类基金份额累计净值。</w:t>
      </w:r>
    </w:p>
    <w:p w14:paraId="3D385E31">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三</w:t>
      </w:r>
      <w:r>
        <w:rPr>
          <w:rFonts w:hint="eastAsia"/>
          <w:sz w:val="21"/>
          <w:szCs w:val="21"/>
        </w:rPr>
        <w:t>）基金份额申购、赎回价格</w:t>
      </w:r>
    </w:p>
    <w:p w14:paraId="6C2A840A">
      <w:pPr>
        <w:pStyle w:val="8"/>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16A13B63">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四</w:t>
      </w:r>
      <w:r>
        <w:rPr>
          <w:rFonts w:hint="eastAsia"/>
          <w:sz w:val="21"/>
          <w:szCs w:val="21"/>
        </w:rPr>
        <w:t>）基金定期报告，包括基金年度报告、基金中期报告和基金季度报告（含资产组合季度报告）</w:t>
      </w:r>
    </w:p>
    <w:p w14:paraId="65C707F8">
      <w:pPr>
        <w:pStyle w:val="8"/>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21C82C3D">
      <w:pPr>
        <w:pStyle w:val="8"/>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w:t>
      </w:r>
    </w:p>
    <w:p w14:paraId="4B0B81A4">
      <w:pPr>
        <w:pStyle w:val="8"/>
        <w:spacing w:before="0" w:beforeAutospacing="0" w:after="0" w:afterAutospacing="0" w:line="360" w:lineRule="auto"/>
        <w:ind w:firstLine="420"/>
        <w:rPr>
          <w:sz w:val="21"/>
          <w:szCs w:val="21"/>
        </w:rPr>
      </w:pPr>
      <w:r>
        <w:rPr>
          <w:rFonts w:hint="eastAsia"/>
          <w:sz w:val="21"/>
          <w:szCs w:val="21"/>
        </w:rPr>
        <w:t>基金管理人应当在季度结束之日起15个工作日内，编制完成基金季度报告，将季度报告登载在规定网站上，并将季度报告提示性公告登载在规定报刊上。</w:t>
      </w:r>
    </w:p>
    <w:p w14:paraId="45E3B6C7">
      <w:pPr>
        <w:pStyle w:val="8"/>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47AEF4BB">
      <w:pPr>
        <w:pStyle w:val="8"/>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14:paraId="7E0E3C78">
      <w:pPr>
        <w:pStyle w:val="8"/>
        <w:spacing w:before="0" w:beforeAutospacing="0" w:after="0" w:afterAutospacing="0" w:line="360" w:lineRule="auto"/>
        <w:ind w:firstLine="420"/>
        <w:rPr>
          <w:sz w:val="21"/>
          <w:szCs w:val="21"/>
        </w:rPr>
      </w:pPr>
      <w:r>
        <w:rPr>
          <w:rFonts w:hint="eastAsia"/>
          <w:sz w:val="21"/>
          <w:szCs w:val="21"/>
        </w:rPr>
        <w:t>（</w:t>
      </w:r>
      <w:r>
        <w:rPr>
          <w:rFonts w:hint="eastAsia" w:ascii="Times New Roman" w:hAnsi="Times New Roman" w:eastAsia="宋体" w:cs="Times New Roman"/>
          <w:kern w:val="0"/>
          <w:sz w:val="21"/>
          <w:szCs w:val="21"/>
        </w:rPr>
        <w:t>五</w:t>
      </w:r>
      <w:r>
        <w:rPr>
          <w:rFonts w:hint="eastAsia"/>
          <w:sz w:val="21"/>
          <w:szCs w:val="21"/>
        </w:rPr>
        <w:t>）临时报告</w:t>
      </w:r>
    </w:p>
    <w:p w14:paraId="7164593D">
      <w:pPr>
        <w:pStyle w:val="8"/>
        <w:spacing w:before="0" w:beforeAutospacing="0" w:after="0" w:afterAutospacing="0" w:line="360" w:lineRule="auto"/>
        <w:ind w:firstLine="420"/>
        <w:rPr>
          <w:sz w:val="21"/>
          <w:szCs w:val="21"/>
        </w:rPr>
      </w:pPr>
      <w:r>
        <w:rPr>
          <w:rFonts w:hint="eastAsia"/>
          <w:sz w:val="21"/>
          <w:szCs w:val="21"/>
        </w:rPr>
        <w:t>本基金发生重大事件，有关信息披露义务人应当按规定编制临时报告书，并登载在规定报刊和规定网站上。</w:t>
      </w:r>
    </w:p>
    <w:p w14:paraId="69A38525">
      <w:pPr>
        <w:pStyle w:val="8"/>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p>
    <w:p w14:paraId="146CDBC1">
      <w:pPr>
        <w:pStyle w:val="8"/>
        <w:spacing w:before="0" w:beforeAutospacing="0" w:after="0" w:afterAutospacing="0" w:line="360" w:lineRule="auto"/>
        <w:ind w:firstLine="420"/>
        <w:rPr>
          <w:sz w:val="21"/>
          <w:szCs w:val="21"/>
        </w:rPr>
      </w:pPr>
      <w:r>
        <w:rPr>
          <w:rFonts w:hint="eastAsia"/>
          <w:sz w:val="21"/>
          <w:szCs w:val="21"/>
        </w:rPr>
        <w:t>1、基金份额持有人大会的召开及决定的事项；</w:t>
      </w:r>
    </w:p>
    <w:p w14:paraId="361FC414">
      <w:pPr>
        <w:pStyle w:val="8"/>
        <w:spacing w:before="0" w:beforeAutospacing="0" w:after="0" w:afterAutospacing="0" w:line="360" w:lineRule="auto"/>
        <w:ind w:firstLine="420"/>
        <w:rPr>
          <w:sz w:val="21"/>
          <w:szCs w:val="21"/>
        </w:rPr>
      </w:pPr>
      <w:r>
        <w:rPr>
          <w:rFonts w:hint="eastAsia"/>
          <w:sz w:val="21"/>
          <w:szCs w:val="21"/>
        </w:rPr>
        <w:t>2、《基金合同》终止、基金清算；</w:t>
      </w:r>
    </w:p>
    <w:p w14:paraId="1EAAF4C1">
      <w:pPr>
        <w:pStyle w:val="8"/>
        <w:spacing w:before="0" w:beforeAutospacing="0" w:after="0" w:afterAutospacing="0" w:line="360" w:lineRule="auto"/>
        <w:ind w:firstLine="420"/>
        <w:rPr>
          <w:sz w:val="21"/>
          <w:szCs w:val="21"/>
        </w:rPr>
      </w:pPr>
      <w:r>
        <w:rPr>
          <w:rFonts w:hint="eastAsia"/>
          <w:sz w:val="21"/>
          <w:szCs w:val="21"/>
        </w:rPr>
        <w:t>3、转换基金运作方式、基金合并；</w:t>
      </w:r>
    </w:p>
    <w:p w14:paraId="533D3662">
      <w:pPr>
        <w:pStyle w:val="8"/>
        <w:spacing w:before="0" w:beforeAutospacing="0" w:after="0" w:afterAutospacing="0" w:line="360" w:lineRule="auto"/>
        <w:ind w:firstLine="420"/>
        <w:rPr>
          <w:sz w:val="21"/>
          <w:szCs w:val="21"/>
        </w:rPr>
      </w:pPr>
      <w:r>
        <w:rPr>
          <w:rFonts w:hint="eastAsia"/>
          <w:sz w:val="21"/>
          <w:szCs w:val="21"/>
        </w:rPr>
        <w:t>4、更换基金管理人、基金托管人；</w:t>
      </w:r>
    </w:p>
    <w:p w14:paraId="7E3C1E58">
      <w:pPr>
        <w:pStyle w:val="8"/>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w:t>
      </w:r>
    </w:p>
    <w:p w14:paraId="26043A27">
      <w:pPr>
        <w:pStyle w:val="8"/>
        <w:spacing w:before="0" w:beforeAutospacing="0" w:after="0" w:afterAutospacing="0" w:line="360" w:lineRule="auto"/>
        <w:ind w:firstLine="420"/>
        <w:rPr>
          <w:sz w:val="21"/>
          <w:szCs w:val="21"/>
        </w:rPr>
      </w:pPr>
      <w:r>
        <w:rPr>
          <w:rFonts w:hint="eastAsia"/>
          <w:sz w:val="21"/>
          <w:szCs w:val="21"/>
        </w:rPr>
        <w:t>6、基金管理人、基金托管人的法定名称、住所发生变更；</w:t>
      </w:r>
    </w:p>
    <w:p w14:paraId="03EC3BA5">
      <w:pPr>
        <w:pStyle w:val="8"/>
        <w:spacing w:before="0" w:beforeAutospacing="0" w:after="0" w:afterAutospacing="0" w:line="360" w:lineRule="auto"/>
        <w:ind w:firstLine="420"/>
        <w:rPr>
          <w:sz w:val="21"/>
          <w:szCs w:val="21"/>
        </w:rPr>
      </w:pPr>
      <w:r>
        <w:rPr>
          <w:rFonts w:hint="eastAsia"/>
          <w:sz w:val="21"/>
          <w:szCs w:val="21"/>
        </w:rPr>
        <w:t>7、基金管理人变更持有百分之五以上股权的股东、变更基金管理人的实际控制人；</w:t>
      </w:r>
    </w:p>
    <w:p w14:paraId="0D7D4990">
      <w:pPr>
        <w:pStyle w:val="8"/>
        <w:spacing w:before="0" w:beforeAutospacing="0" w:after="0" w:afterAutospacing="0" w:line="360" w:lineRule="auto"/>
        <w:ind w:firstLine="420"/>
        <w:rPr>
          <w:sz w:val="21"/>
          <w:szCs w:val="21"/>
        </w:rPr>
      </w:pPr>
      <w:r>
        <w:rPr>
          <w:rFonts w:hint="eastAsia"/>
          <w:sz w:val="21"/>
          <w:szCs w:val="21"/>
        </w:rPr>
        <w:t>8、基金管理人高级管理人员、基金经理和基金托管人专门基金托管部门负责人发生变动；</w:t>
      </w:r>
    </w:p>
    <w:p w14:paraId="212E68B1">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9</w:t>
      </w:r>
      <w:r>
        <w:rPr>
          <w:rFonts w:ascii="Times New Roman" w:hAnsi="Times New Roman" w:eastAsia="宋体" w:cs="Times New Roman"/>
          <w:kern w:val="0"/>
          <w:sz w:val="21"/>
          <w:szCs w:val="21"/>
        </w:rPr>
        <w:t>、基金管理人的董事在最近12个月内变更超过百分之五十；</w:t>
      </w:r>
    </w:p>
    <w:p w14:paraId="69B569FE">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0</w:t>
      </w:r>
      <w:r>
        <w:rPr>
          <w:rFonts w:ascii="Times New Roman" w:hAnsi="Times New Roman" w:eastAsia="宋体" w:cs="Times New Roman"/>
          <w:kern w:val="0"/>
          <w:sz w:val="21"/>
          <w:szCs w:val="21"/>
        </w:rPr>
        <w:t>、基金管理人、基金托管人专门基金托管部门的主要业务人员在最近12个月内变动超过百分之三十；</w:t>
      </w:r>
    </w:p>
    <w:p w14:paraId="5DC9A007">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1</w:t>
      </w:r>
      <w:r>
        <w:rPr>
          <w:rFonts w:ascii="Times New Roman" w:hAnsi="Times New Roman" w:eastAsia="宋体" w:cs="Times New Roman"/>
          <w:kern w:val="0"/>
          <w:sz w:val="21"/>
          <w:szCs w:val="21"/>
        </w:rPr>
        <w:t xml:space="preserve">、涉及基金管理业务、基金财产、基金托管业务的诉讼或仲裁； </w:t>
      </w:r>
    </w:p>
    <w:p w14:paraId="4208BA13">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2</w:t>
      </w:r>
      <w:r>
        <w:rPr>
          <w:rFonts w:ascii="Times New Roman" w:hAnsi="Times New Roman" w:eastAsia="宋体" w:cs="Times New Roman"/>
          <w:kern w:val="0"/>
          <w:sz w:val="21"/>
          <w:szCs w:val="21"/>
        </w:rPr>
        <w:t>、基金管理人或其高级管理人员、基金经理因基金管理业务相关行为受到重大行政处罚、刑事处罚，基金托管人或其专门基金托管部门负责人因基金托管业务相关行为受到重大行政处罚、刑事处罚；</w:t>
      </w:r>
    </w:p>
    <w:p w14:paraId="1121DB76">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3</w:t>
      </w:r>
      <w:r>
        <w:rPr>
          <w:rFonts w:ascii="Times New Roman" w:hAnsi="Times New Roman" w:eastAsia="宋体" w:cs="Times New Roman"/>
          <w:kern w:val="0"/>
          <w:sz w:val="21"/>
          <w:szCs w:val="21"/>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3839AC0C">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4</w:t>
      </w:r>
      <w:r>
        <w:rPr>
          <w:rFonts w:ascii="Times New Roman" w:hAnsi="Times New Roman" w:eastAsia="宋体" w:cs="Times New Roman"/>
          <w:kern w:val="0"/>
          <w:sz w:val="21"/>
          <w:szCs w:val="21"/>
        </w:rPr>
        <w:t>、基金收益分配事项；</w:t>
      </w:r>
    </w:p>
    <w:p w14:paraId="0C95E6BB">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5</w:t>
      </w:r>
      <w:r>
        <w:rPr>
          <w:rFonts w:ascii="Times New Roman" w:hAnsi="Times New Roman" w:eastAsia="宋体" w:cs="Times New Roman"/>
          <w:kern w:val="0"/>
          <w:sz w:val="21"/>
          <w:szCs w:val="21"/>
        </w:rPr>
        <w:t>、管理费、托管费、销售服务费、申购费、赎回费等费用计提标准、计提方式和费率发生变更；</w:t>
      </w:r>
    </w:p>
    <w:p w14:paraId="4B905861">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6</w:t>
      </w:r>
      <w:r>
        <w:rPr>
          <w:rFonts w:ascii="Times New Roman" w:hAnsi="Times New Roman" w:eastAsia="宋体" w:cs="Times New Roman"/>
          <w:kern w:val="0"/>
          <w:sz w:val="21"/>
          <w:szCs w:val="21"/>
        </w:rPr>
        <w:t>、任一类基金份额净值计价错误达该类基金份额净值百分之零点五；</w:t>
      </w:r>
    </w:p>
    <w:p w14:paraId="769637F8">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7</w:t>
      </w:r>
      <w:r>
        <w:rPr>
          <w:rFonts w:ascii="Times New Roman" w:hAnsi="Times New Roman" w:eastAsia="宋体" w:cs="Times New Roman"/>
          <w:kern w:val="0"/>
          <w:sz w:val="21"/>
          <w:szCs w:val="21"/>
        </w:rPr>
        <w:t>、基金改聘会计师事务所；</w:t>
      </w:r>
    </w:p>
    <w:p w14:paraId="0E3762A6">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r>
        <w:rPr>
          <w:rFonts w:hint="eastAsia" w:ascii="Times New Roman" w:hAnsi="Times New Roman" w:eastAsia="宋体" w:cs="Times New Roman"/>
          <w:kern w:val="0"/>
          <w:sz w:val="21"/>
          <w:szCs w:val="21"/>
        </w:rPr>
        <w:t>8</w:t>
      </w:r>
      <w:r>
        <w:rPr>
          <w:rFonts w:ascii="Times New Roman" w:hAnsi="Times New Roman" w:eastAsia="宋体" w:cs="Times New Roman"/>
          <w:kern w:val="0"/>
          <w:sz w:val="21"/>
          <w:szCs w:val="21"/>
        </w:rPr>
        <w:t>、更换基金登记机构；</w:t>
      </w:r>
    </w:p>
    <w:p w14:paraId="16410490">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19</w:t>
      </w:r>
      <w:r>
        <w:rPr>
          <w:rFonts w:ascii="Times New Roman" w:hAnsi="Times New Roman" w:eastAsia="宋体" w:cs="Times New Roman"/>
          <w:kern w:val="0"/>
          <w:sz w:val="21"/>
          <w:szCs w:val="21"/>
        </w:rPr>
        <w:t>、本基金开始办理申购、赎回；</w:t>
      </w:r>
    </w:p>
    <w:p w14:paraId="4EF8E523">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0</w:t>
      </w:r>
      <w:r>
        <w:rPr>
          <w:rFonts w:ascii="Times New Roman" w:hAnsi="Times New Roman" w:eastAsia="宋体" w:cs="Times New Roman"/>
          <w:kern w:val="0"/>
          <w:sz w:val="21"/>
          <w:szCs w:val="21"/>
        </w:rPr>
        <w:t>、本基金发生巨额赎回并延期办理；</w:t>
      </w:r>
    </w:p>
    <w:p w14:paraId="2E050CEB">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1</w:t>
      </w:r>
      <w:r>
        <w:rPr>
          <w:rFonts w:ascii="Times New Roman" w:hAnsi="Times New Roman" w:eastAsia="宋体" w:cs="Times New Roman"/>
          <w:kern w:val="0"/>
          <w:sz w:val="21"/>
          <w:szCs w:val="21"/>
        </w:rPr>
        <w:t>、本基金连续发生巨额赎回并暂停接受赎回申请或延缓支付赎回款项；</w:t>
      </w:r>
    </w:p>
    <w:p w14:paraId="0015F95B">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2</w:t>
      </w:r>
      <w:r>
        <w:rPr>
          <w:rFonts w:ascii="Times New Roman" w:hAnsi="Times New Roman" w:eastAsia="宋体" w:cs="Times New Roman"/>
          <w:kern w:val="0"/>
          <w:sz w:val="21"/>
          <w:szCs w:val="21"/>
        </w:rPr>
        <w:t>、本基金暂停接受申购、赎回申请或重新接受申购、赎回申请；</w:t>
      </w:r>
    </w:p>
    <w:p w14:paraId="70142411">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3</w:t>
      </w:r>
      <w:r>
        <w:rPr>
          <w:rFonts w:ascii="Times New Roman" w:hAnsi="Times New Roman" w:eastAsia="宋体" w:cs="Times New Roman"/>
          <w:kern w:val="0"/>
          <w:sz w:val="21"/>
          <w:szCs w:val="21"/>
        </w:rPr>
        <w:t>、发生涉及基金申购、赎回事项调整或潜在影响投资者赎回等重大事项时；</w:t>
      </w:r>
    </w:p>
    <w:p w14:paraId="3F0247DA">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4</w:t>
      </w:r>
      <w:r>
        <w:rPr>
          <w:rFonts w:ascii="Times New Roman" w:hAnsi="Times New Roman" w:eastAsia="宋体" w:cs="Times New Roman"/>
          <w:kern w:val="0"/>
          <w:sz w:val="21"/>
          <w:szCs w:val="21"/>
        </w:rPr>
        <w:t>、基金管理人采用摆动定价机制进行估值；</w:t>
      </w:r>
    </w:p>
    <w:p w14:paraId="74B80536">
      <w:pPr>
        <w:autoSpaceDE w:val="0"/>
        <w:autoSpaceDN w:val="0"/>
        <w:adjustRightInd w:val="0"/>
        <w:spacing w:line="360" w:lineRule="auto"/>
        <w:ind w:firstLine="420" w:firstLineChars="200"/>
        <w:rPr>
          <w:rFonts w:hint="eastAsia" w:cs="宋体" w:asciiTheme="minorEastAsia" w:hAnsiTheme="minorEastAsia"/>
          <w:kern w:val="0"/>
          <w:sz w:val="21"/>
          <w:szCs w:val="21"/>
        </w:rPr>
      </w:pP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5</w:t>
      </w:r>
      <w:r>
        <w:rPr>
          <w:rFonts w:ascii="Times New Roman" w:hAnsi="Times New Roman" w:eastAsia="宋体" w:cs="Times New Roman"/>
          <w:kern w:val="0"/>
          <w:sz w:val="21"/>
          <w:szCs w:val="21"/>
        </w:rPr>
        <w:t>、</w:t>
      </w:r>
      <w:r>
        <w:rPr>
          <w:rFonts w:hint="eastAsia" w:cs="宋体" w:asciiTheme="minorEastAsia" w:hAnsiTheme="minorEastAsia"/>
          <w:kern w:val="0"/>
          <w:sz w:val="21"/>
          <w:szCs w:val="21"/>
        </w:rPr>
        <w:t>变更目标</w:t>
      </w:r>
      <w:r>
        <w:rPr>
          <w:rFonts w:cs="宋体" w:asciiTheme="minorEastAsia" w:hAnsiTheme="minorEastAsia"/>
          <w:kern w:val="0"/>
          <w:sz w:val="21"/>
          <w:szCs w:val="21"/>
        </w:rPr>
        <w:t>ETF</w:t>
      </w:r>
      <w:r>
        <w:rPr>
          <w:rFonts w:hint="eastAsia" w:cs="宋体" w:asciiTheme="minorEastAsia" w:hAnsiTheme="minorEastAsia"/>
          <w:kern w:val="0"/>
          <w:sz w:val="21"/>
          <w:szCs w:val="21"/>
        </w:rPr>
        <w:t>；</w:t>
      </w:r>
    </w:p>
    <w:p w14:paraId="6E7C43B9">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hint="eastAsia" w:cs="宋体" w:asciiTheme="minorEastAsia" w:hAnsiTheme="minorEastAsia"/>
          <w:kern w:val="0"/>
          <w:sz w:val="21"/>
          <w:szCs w:val="21"/>
        </w:rPr>
        <w:t>26、</w:t>
      </w:r>
      <w:r>
        <w:rPr>
          <w:rFonts w:ascii="Times New Roman" w:hAnsi="Times New Roman" w:eastAsia="宋体" w:cs="Times New Roman"/>
          <w:kern w:val="0"/>
          <w:sz w:val="21"/>
          <w:szCs w:val="21"/>
        </w:rPr>
        <w:t>调整基金份额类别的设置；</w:t>
      </w:r>
    </w:p>
    <w:p w14:paraId="332C1710">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7</w:t>
      </w:r>
      <w:r>
        <w:rPr>
          <w:rFonts w:ascii="Times New Roman" w:hAnsi="Times New Roman" w:eastAsia="宋体" w:cs="Times New Roman"/>
          <w:kern w:val="0"/>
          <w:sz w:val="21"/>
          <w:szCs w:val="21"/>
        </w:rPr>
        <w:t>、基金推出新业务或服务；</w:t>
      </w:r>
    </w:p>
    <w:p w14:paraId="36C46C8C">
      <w:pPr>
        <w:autoSpaceDE w:val="0"/>
        <w:autoSpaceDN w:val="0"/>
        <w:adjustRightInd w:val="0"/>
        <w:spacing w:line="360" w:lineRule="auto"/>
        <w:ind w:firstLine="420" w:firstLineChars="200"/>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8</w:t>
      </w:r>
      <w:r>
        <w:rPr>
          <w:rFonts w:ascii="Times New Roman" w:hAnsi="Times New Roman" w:eastAsia="宋体" w:cs="Times New Roman"/>
          <w:kern w:val="0"/>
          <w:sz w:val="21"/>
          <w:szCs w:val="21"/>
        </w:rPr>
        <w:t>、《基金合同》生效三年后继续存续的，连续30个工作日、40个工作日及45个工作日出现基金份额持有人数量不满二百人或者基金资产净值低于五千万元情形的；</w:t>
      </w:r>
    </w:p>
    <w:p w14:paraId="694583E8">
      <w:pPr>
        <w:pStyle w:val="8"/>
        <w:spacing w:before="0" w:beforeAutospacing="0" w:after="0" w:afterAutospacing="0" w:line="360" w:lineRule="auto"/>
        <w:ind w:firstLine="420"/>
        <w:rPr>
          <w:sz w:val="21"/>
          <w:szCs w:val="21"/>
        </w:rPr>
      </w:pPr>
      <w:r>
        <w:rPr>
          <w:rFonts w:ascii="Times New Roman" w:hAnsi="Times New Roman" w:eastAsia="宋体" w:cs="Times New Roman"/>
          <w:kern w:val="0"/>
          <w:sz w:val="21"/>
          <w:szCs w:val="21"/>
        </w:rPr>
        <w:t>2</w:t>
      </w:r>
      <w:r>
        <w:rPr>
          <w:rFonts w:hint="eastAsia" w:ascii="Times New Roman" w:hAnsi="Times New Roman" w:eastAsia="宋体" w:cs="Times New Roman"/>
          <w:kern w:val="0"/>
          <w:sz w:val="21"/>
          <w:szCs w:val="21"/>
        </w:rPr>
        <w:t>9</w:t>
      </w:r>
      <w:r>
        <w:rPr>
          <w:rFonts w:ascii="Times New Roman" w:hAnsi="Times New Roman" w:eastAsia="宋体" w:cs="Times New Roman"/>
          <w:kern w:val="0"/>
          <w:sz w:val="21"/>
          <w:szCs w:val="21"/>
        </w:rPr>
        <w:t>、基金信息披露义务人认为可能对基金份额持有人权益或者基金份额的价格产生重大影响的其他事项或中国证监会规定的和基金合同约定的其他事项。</w:t>
      </w:r>
    </w:p>
    <w:p w14:paraId="6026488C">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六</w:t>
      </w:r>
      <w:r>
        <w:rPr>
          <w:rFonts w:hint="eastAsia"/>
          <w:sz w:val="21"/>
          <w:szCs w:val="21"/>
        </w:rPr>
        <w:t>）澄清公告</w:t>
      </w:r>
    </w:p>
    <w:p w14:paraId="06DAAA7E">
      <w:pPr>
        <w:pStyle w:val="8"/>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2A680875">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七</w:t>
      </w:r>
      <w:r>
        <w:rPr>
          <w:rFonts w:hint="eastAsia"/>
          <w:sz w:val="21"/>
          <w:szCs w:val="21"/>
        </w:rPr>
        <w:t>）清算报告</w:t>
      </w:r>
    </w:p>
    <w:p w14:paraId="741FD20D">
      <w:pPr>
        <w:pStyle w:val="8"/>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4468A6D3">
      <w:pPr>
        <w:pStyle w:val="8"/>
        <w:spacing w:before="0" w:beforeAutospacing="0" w:after="0" w:afterAutospacing="0" w:line="360" w:lineRule="auto"/>
        <w:ind w:firstLine="420"/>
        <w:rPr>
          <w:sz w:val="21"/>
          <w:szCs w:val="21"/>
        </w:rPr>
      </w:pPr>
      <w:r>
        <w:rPr>
          <w:rFonts w:hint="eastAsia"/>
          <w:sz w:val="21"/>
          <w:szCs w:val="21"/>
        </w:rPr>
        <w:t>（</w:t>
      </w:r>
      <w:r>
        <w:rPr>
          <w:rFonts w:hint="eastAsia" w:ascii="Times New Roman" w:hAnsi="Times New Roman" w:eastAsia="宋体" w:cs="Times New Roman"/>
          <w:kern w:val="0"/>
          <w:sz w:val="21"/>
          <w:szCs w:val="21"/>
        </w:rPr>
        <w:t>八</w:t>
      </w:r>
      <w:r>
        <w:rPr>
          <w:rFonts w:hint="eastAsia"/>
          <w:sz w:val="21"/>
          <w:szCs w:val="21"/>
        </w:rPr>
        <w:t>）基金份额持有人大会决议</w:t>
      </w:r>
    </w:p>
    <w:p w14:paraId="40755137">
      <w:pPr>
        <w:pStyle w:val="8"/>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p>
    <w:p w14:paraId="18541161">
      <w:pPr>
        <w:pStyle w:val="8"/>
        <w:spacing w:before="0" w:beforeAutospacing="0" w:after="0" w:afterAutospacing="0" w:line="360" w:lineRule="auto"/>
        <w:ind w:firstLine="420"/>
        <w:rPr>
          <w:sz w:val="21"/>
          <w:szCs w:val="21"/>
        </w:rPr>
      </w:pPr>
      <w:r>
        <w:rPr>
          <w:rFonts w:hint="eastAsia"/>
          <w:sz w:val="21"/>
          <w:szCs w:val="21"/>
        </w:rPr>
        <w:t>（</w:t>
      </w:r>
      <w:r>
        <w:rPr>
          <w:rFonts w:hint="eastAsia" w:ascii="Times New Roman" w:hAnsi="Times New Roman" w:eastAsia="宋体" w:cs="Times New Roman"/>
          <w:kern w:val="0"/>
          <w:sz w:val="21"/>
          <w:szCs w:val="21"/>
        </w:rPr>
        <w:t>九</w:t>
      </w:r>
      <w:r>
        <w:rPr>
          <w:rFonts w:hint="eastAsia"/>
          <w:sz w:val="21"/>
          <w:szCs w:val="21"/>
        </w:rPr>
        <w:t>）投资股指期货、国债期货、股票期权的信息披露</w:t>
      </w:r>
    </w:p>
    <w:p w14:paraId="15808D4C">
      <w:pPr>
        <w:pStyle w:val="8"/>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14:paraId="54E1F9FF">
      <w:pPr>
        <w:pStyle w:val="8"/>
        <w:spacing w:before="0" w:beforeAutospacing="0" w:after="0" w:afterAutospacing="0" w:line="360" w:lineRule="auto"/>
        <w:ind w:firstLine="420"/>
        <w:rPr>
          <w:sz w:val="21"/>
          <w:szCs w:val="21"/>
        </w:rPr>
      </w:pPr>
      <w:r>
        <w:rPr>
          <w:rFonts w:hint="eastAsia"/>
          <w:sz w:val="21"/>
          <w:szCs w:val="21"/>
        </w:rPr>
        <w:t>（十）投资资产支持证券的信息披露</w:t>
      </w:r>
    </w:p>
    <w:p w14:paraId="595BC7A4">
      <w:pPr>
        <w:pStyle w:val="8"/>
        <w:spacing w:before="0" w:beforeAutospacing="0" w:after="0" w:afterAutospacing="0" w:line="360" w:lineRule="auto"/>
        <w:ind w:firstLine="420"/>
        <w:rPr>
          <w:sz w:val="21"/>
          <w:szCs w:val="21"/>
        </w:rPr>
      </w:pPr>
      <w:r>
        <w:rPr>
          <w:rFonts w:hint="eastAsia"/>
          <w:sz w:val="21"/>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4C98AA77">
      <w:pPr>
        <w:pStyle w:val="8"/>
        <w:spacing w:before="0" w:beforeAutospacing="0" w:after="0" w:afterAutospacing="0" w:line="360" w:lineRule="auto"/>
        <w:ind w:firstLine="420"/>
        <w:rPr>
          <w:sz w:val="21"/>
          <w:szCs w:val="21"/>
        </w:rPr>
      </w:pPr>
      <w:r>
        <w:rPr>
          <w:rFonts w:hint="eastAsia"/>
          <w:sz w:val="21"/>
          <w:szCs w:val="21"/>
        </w:rPr>
        <w:t>（十</w:t>
      </w:r>
      <w:r>
        <w:rPr>
          <w:rFonts w:hint="eastAsia"/>
          <w:sz w:val="21"/>
          <w:szCs w:val="21"/>
          <w:lang w:val="en-US" w:eastAsia="zh-CN"/>
        </w:rPr>
        <w:t>一</w:t>
      </w:r>
      <w:r>
        <w:rPr>
          <w:rFonts w:hint="eastAsia"/>
          <w:sz w:val="21"/>
          <w:szCs w:val="21"/>
        </w:rPr>
        <w:t>）投资港股通标的股票的信息披露</w:t>
      </w:r>
    </w:p>
    <w:p w14:paraId="74804B54">
      <w:pPr>
        <w:pStyle w:val="8"/>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14:paraId="1C4E5BDB">
      <w:pPr>
        <w:pStyle w:val="8"/>
        <w:spacing w:before="0" w:beforeAutospacing="0" w:after="0" w:afterAutospacing="0" w:line="360" w:lineRule="auto"/>
        <w:ind w:firstLine="420"/>
        <w:rPr>
          <w:sz w:val="21"/>
          <w:szCs w:val="21"/>
        </w:rPr>
      </w:pPr>
      <w:r>
        <w:rPr>
          <w:rFonts w:hint="eastAsia"/>
          <w:sz w:val="21"/>
          <w:szCs w:val="21"/>
        </w:rPr>
        <w:t>（十</w:t>
      </w:r>
      <w:r>
        <w:rPr>
          <w:rFonts w:hint="eastAsia"/>
          <w:sz w:val="21"/>
          <w:szCs w:val="21"/>
          <w:lang w:val="en-US" w:eastAsia="zh-CN"/>
        </w:rPr>
        <w:t>二</w:t>
      </w:r>
      <w:r>
        <w:rPr>
          <w:rFonts w:hint="eastAsia"/>
          <w:sz w:val="21"/>
          <w:szCs w:val="21"/>
        </w:rPr>
        <w:t>）投资非公开发行股票的信息披露</w:t>
      </w:r>
    </w:p>
    <w:p w14:paraId="50CE1ADD">
      <w:pPr>
        <w:pStyle w:val="8"/>
        <w:spacing w:before="0" w:beforeAutospacing="0" w:after="0" w:afterAutospacing="0" w:line="360" w:lineRule="auto"/>
        <w:ind w:firstLine="420"/>
        <w:rPr>
          <w:sz w:val="21"/>
          <w:szCs w:val="21"/>
        </w:rPr>
      </w:pPr>
      <w:r>
        <w:rPr>
          <w:rFonts w:hint="eastAsia"/>
          <w:sz w:val="21"/>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0B93CCF1">
      <w:pPr>
        <w:pStyle w:val="8"/>
        <w:spacing w:before="0" w:beforeAutospacing="0" w:after="0" w:afterAutospacing="0" w:line="360" w:lineRule="auto"/>
        <w:ind w:firstLine="420"/>
        <w:rPr>
          <w:sz w:val="21"/>
          <w:szCs w:val="21"/>
        </w:rPr>
      </w:pPr>
      <w:r>
        <w:rPr>
          <w:rFonts w:hint="eastAsia"/>
          <w:sz w:val="21"/>
          <w:szCs w:val="21"/>
        </w:rPr>
        <w:t>（十</w:t>
      </w:r>
      <w:r>
        <w:rPr>
          <w:rFonts w:hint="eastAsia"/>
          <w:sz w:val="21"/>
          <w:szCs w:val="21"/>
          <w:lang w:val="en-US" w:eastAsia="zh-CN"/>
        </w:rPr>
        <w:t>三</w:t>
      </w:r>
      <w:r>
        <w:rPr>
          <w:rFonts w:hint="eastAsia"/>
          <w:sz w:val="21"/>
          <w:szCs w:val="21"/>
        </w:rPr>
        <w:t>）参与融资和转融通证券出借业务的信息披露</w:t>
      </w:r>
    </w:p>
    <w:p w14:paraId="19F9CE62">
      <w:pPr>
        <w:pStyle w:val="8"/>
        <w:spacing w:before="0" w:beforeAutospacing="0" w:after="0" w:afterAutospacing="0" w:line="360" w:lineRule="auto"/>
        <w:ind w:firstLine="420"/>
        <w:rPr>
          <w:sz w:val="21"/>
          <w:szCs w:val="21"/>
        </w:rPr>
      </w:pPr>
      <w:r>
        <w:rPr>
          <w:rFonts w:hint="eastAsia"/>
          <w:sz w:val="21"/>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4EFCC2D4">
      <w:pPr>
        <w:pStyle w:val="8"/>
        <w:spacing w:before="0" w:beforeAutospacing="0" w:after="0" w:afterAutospacing="0" w:line="360" w:lineRule="auto"/>
        <w:ind w:firstLine="420"/>
        <w:rPr>
          <w:sz w:val="21"/>
          <w:szCs w:val="21"/>
        </w:rPr>
      </w:pPr>
      <w:r>
        <w:rPr>
          <w:rFonts w:hint="eastAsia"/>
          <w:sz w:val="21"/>
          <w:szCs w:val="21"/>
        </w:rPr>
        <w:t>本基金参与转融通证券出借业务的，基金管理人应当在基金定期报告等文件中就报告期内发生的重大关联交易事项做详细说明。</w:t>
      </w:r>
    </w:p>
    <w:p w14:paraId="06DA5402">
      <w:pPr>
        <w:pStyle w:val="8"/>
        <w:spacing w:before="0" w:beforeAutospacing="0" w:after="0" w:afterAutospacing="0" w:line="360" w:lineRule="auto"/>
        <w:ind w:firstLine="420"/>
        <w:rPr>
          <w:sz w:val="21"/>
          <w:szCs w:val="21"/>
        </w:rPr>
      </w:pPr>
      <w:r>
        <w:rPr>
          <w:rFonts w:hint="eastAsia"/>
          <w:sz w:val="21"/>
          <w:szCs w:val="21"/>
        </w:rPr>
        <w:t>未来在法律法规允许的前提下，本基金可依据法律法规的相关规定参与融券业务，并相应履行信披义务。</w:t>
      </w:r>
    </w:p>
    <w:p w14:paraId="52186309">
      <w:pPr>
        <w:autoSpaceDE w:val="0"/>
        <w:autoSpaceDN w:val="0"/>
        <w:adjustRightInd w:val="0"/>
        <w:spacing w:line="360" w:lineRule="auto"/>
        <w:ind w:firstLine="420" w:firstLineChars="200"/>
        <w:jc w:val="left"/>
        <w:rPr>
          <w:rFonts w:hint="eastAsia" w:cs="宋体" w:asciiTheme="minorEastAsia" w:hAnsiTheme="minorEastAsia"/>
          <w:kern w:val="0"/>
          <w:sz w:val="21"/>
          <w:szCs w:val="21"/>
        </w:rPr>
      </w:pPr>
      <w:r>
        <w:rPr>
          <w:rFonts w:hint="eastAsia"/>
          <w:sz w:val="21"/>
          <w:szCs w:val="21"/>
        </w:rPr>
        <w:t>（十</w:t>
      </w:r>
      <w:r>
        <w:rPr>
          <w:rFonts w:hint="eastAsia"/>
          <w:sz w:val="21"/>
          <w:szCs w:val="21"/>
          <w:lang w:val="en-US" w:eastAsia="zh-CN"/>
        </w:rPr>
        <w:t>四</w:t>
      </w:r>
      <w:r>
        <w:rPr>
          <w:rFonts w:hint="eastAsia"/>
          <w:sz w:val="21"/>
          <w:szCs w:val="21"/>
        </w:rPr>
        <w:t>）</w:t>
      </w:r>
      <w:r>
        <w:rPr>
          <w:rFonts w:hint="eastAsia" w:cs="宋体" w:asciiTheme="minorEastAsia" w:hAnsiTheme="minorEastAsia"/>
          <w:kern w:val="0"/>
          <w:sz w:val="21"/>
          <w:szCs w:val="21"/>
        </w:rPr>
        <w:t>投资目标ETF的信息披露</w:t>
      </w:r>
    </w:p>
    <w:p w14:paraId="2476E577">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本基金在招募说明书（更新）及定期报告等文件中应当设立专门章节披露所持目标ETF以下情况，并揭示相关风险：</w:t>
      </w:r>
    </w:p>
    <w:p w14:paraId="32F9954C">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1、投资策略、持仓情况、损益情况、净值披露时间等；</w:t>
      </w:r>
    </w:p>
    <w:p w14:paraId="5B25539A">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2、交易及持有目标ETF产生的费用，包括申购费、赎回费、管理费、托管费等，招募说明书（更新）中应当列明计算方法并举例说明；</w:t>
      </w:r>
    </w:p>
    <w:p w14:paraId="582987E4">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3、持有的目标ETF发生的重大影响事件，如转换运作方式、与其他基金合并、终止基金合同以及召开基金份额持有人大会等；</w:t>
      </w:r>
    </w:p>
    <w:p w14:paraId="76CE52EC">
      <w:pPr>
        <w:autoSpaceDE w:val="0"/>
        <w:autoSpaceDN w:val="0"/>
        <w:adjustRightInd w:val="0"/>
        <w:spacing w:line="360" w:lineRule="auto"/>
        <w:ind w:left="181" w:leftChars="86" w:firstLine="420" w:firstLineChars="200"/>
        <w:jc w:val="left"/>
        <w:rPr>
          <w:rFonts w:hint="eastAsia" w:cs="宋体" w:asciiTheme="minorEastAsia" w:hAnsiTheme="minorEastAsia"/>
          <w:kern w:val="0"/>
          <w:sz w:val="21"/>
          <w:szCs w:val="21"/>
        </w:rPr>
      </w:pPr>
      <w:r>
        <w:rPr>
          <w:rFonts w:hint="eastAsia" w:cs="宋体" w:asciiTheme="minorEastAsia" w:hAnsiTheme="minorEastAsia"/>
          <w:kern w:val="0"/>
          <w:sz w:val="21"/>
          <w:szCs w:val="21"/>
        </w:rPr>
        <w:t>4、本基金投资于基金管理人以及基金管理人关联方所管理基金的情况。</w:t>
      </w:r>
    </w:p>
    <w:p w14:paraId="7492AAF4">
      <w:pPr>
        <w:pStyle w:val="8"/>
        <w:spacing w:before="0" w:beforeAutospacing="0" w:after="0" w:afterAutospacing="0" w:line="360" w:lineRule="auto"/>
        <w:ind w:firstLine="420"/>
        <w:rPr>
          <w:sz w:val="21"/>
          <w:szCs w:val="21"/>
        </w:rPr>
      </w:pPr>
      <w:r>
        <w:rPr>
          <w:rFonts w:hint="eastAsia" w:cs="宋体" w:asciiTheme="minorEastAsia" w:hAnsiTheme="minorEastAsia"/>
          <w:kern w:val="0"/>
          <w:sz w:val="21"/>
          <w:szCs w:val="21"/>
        </w:rPr>
        <w:t>（十五）</w:t>
      </w:r>
      <w:r>
        <w:rPr>
          <w:rFonts w:hint="eastAsia"/>
          <w:sz w:val="21"/>
          <w:szCs w:val="21"/>
        </w:rPr>
        <w:t>实施侧袋机制期间的信息披露</w:t>
      </w:r>
    </w:p>
    <w:p w14:paraId="44B842AC">
      <w:pPr>
        <w:pStyle w:val="8"/>
        <w:spacing w:before="0" w:beforeAutospacing="0" w:after="0" w:afterAutospacing="0" w:line="360" w:lineRule="auto"/>
        <w:ind w:firstLine="420"/>
        <w:rPr>
          <w:sz w:val="21"/>
          <w:szCs w:val="21"/>
        </w:rPr>
      </w:pPr>
      <w:r>
        <w:rPr>
          <w:rFonts w:hint="eastAsia"/>
          <w:sz w:val="21"/>
          <w:szCs w:val="21"/>
        </w:rPr>
        <w:t>本基金实施侧袋机制的，相关信息披露义务人应当根据法律法规、基金合同和招募说明书的规定进行信息披露，详见招募说明书“侧袋机制”部分的规定。</w:t>
      </w:r>
    </w:p>
    <w:p w14:paraId="3C798FAE">
      <w:pPr>
        <w:pStyle w:val="8"/>
        <w:spacing w:before="0" w:beforeAutospacing="0" w:after="0" w:afterAutospacing="0" w:line="360" w:lineRule="auto"/>
        <w:ind w:firstLine="420"/>
        <w:rPr>
          <w:sz w:val="21"/>
          <w:szCs w:val="21"/>
        </w:rPr>
      </w:pPr>
      <w:r>
        <w:rPr>
          <w:rFonts w:hint="eastAsia"/>
          <w:sz w:val="21"/>
          <w:szCs w:val="21"/>
        </w:rPr>
        <w:t>（十</w:t>
      </w:r>
      <w:r>
        <w:rPr>
          <w:rFonts w:hint="eastAsia" w:ascii="Times New Roman" w:hAnsi="Times New Roman" w:eastAsia="宋体" w:cs="Times New Roman"/>
          <w:kern w:val="0"/>
          <w:sz w:val="21"/>
          <w:szCs w:val="21"/>
        </w:rPr>
        <w:t>六</w:t>
      </w:r>
      <w:r>
        <w:rPr>
          <w:rFonts w:hint="eastAsia"/>
          <w:sz w:val="21"/>
          <w:szCs w:val="21"/>
        </w:rPr>
        <w:t>）发起资金认购份额报告</w:t>
      </w:r>
    </w:p>
    <w:p w14:paraId="5EAB8469">
      <w:pPr>
        <w:pStyle w:val="8"/>
        <w:spacing w:before="0" w:beforeAutospacing="0" w:after="0" w:afterAutospacing="0" w:line="360" w:lineRule="auto"/>
        <w:ind w:firstLine="420"/>
        <w:rPr>
          <w:sz w:val="21"/>
          <w:szCs w:val="21"/>
        </w:rPr>
      </w:pPr>
      <w:r>
        <w:rPr>
          <w:rFonts w:hint="eastAsia"/>
          <w:sz w:val="21"/>
          <w:szCs w:val="21"/>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14:paraId="18245190">
      <w:pPr>
        <w:pStyle w:val="8"/>
        <w:spacing w:before="0" w:beforeAutospacing="0" w:after="0" w:afterAutospacing="0" w:line="360" w:lineRule="auto"/>
        <w:ind w:firstLine="420"/>
        <w:rPr>
          <w:sz w:val="21"/>
          <w:szCs w:val="21"/>
        </w:rPr>
      </w:pPr>
      <w:r>
        <w:rPr>
          <w:rFonts w:hint="eastAsia"/>
          <w:sz w:val="21"/>
          <w:szCs w:val="21"/>
        </w:rPr>
        <w:t>（十</w:t>
      </w:r>
      <w:r>
        <w:rPr>
          <w:rFonts w:hint="eastAsia"/>
          <w:sz w:val="21"/>
          <w:szCs w:val="21"/>
          <w:lang w:val="en-US" w:eastAsia="zh-CN"/>
        </w:rPr>
        <w:t>七</w:t>
      </w:r>
      <w:r>
        <w:rPr>
          <w:rFonts w:hint="eastAsia"/>
          <w:sz w:val="21"/>
          <w:szCs w:val="21"/>
        </w:rPr>
        <w:t>）中国证监会规定的其他信息</w:t>
      </w:r>
    </w:p>
    <w:p w14:paraId="26628EDF">
      <w:pPr>
        <w:pStyle w:val="8"/>
        <w:spacing w:before="0" w:beforeAutospacing="0" w:after="0" w:afterAutospacing="0" w:line="360" w:lineRule="auto"/>
        <w:ind w:firstLine="420"/>
        <w:rPr>
          <w:sz w:val="21"/>
          <w:szCs w:val="21"/>
        </w:rPr>
      </w:pPr>
      <w:r>
        <w:rPr>
          <w:rStyle w:val="12"/>
          <w:rFonts w:hint="eastAsia"/>
          <w:sz w:val="21"/>
          <w:szCs w:val="21"/>
        </w:rPr>
        <w:t>六、信息披露事务管理</w:t>
      </w:r>
    </w:p>
    <w:p w14:paraId="6878D8A1">
      <w:pPr>
        <w:pStyle w:val="8"/>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p>
    <w:p w14:paraId="505FC5F6">
      <w:pPr>
        <w:pStyle w:val="8"/>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基金信息披露义务人公开披露基金信息，应当符合中国证监会相关基金信息披露内容与格式准则等法规的规定。</w:t>
      </w:r>
    </w:p>
    <w:p w14:paraId="7A85DCA3">
      <w:pPr>
        <w:pStyle w:val="8"/>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0803CAE9">
      <w:pPr>
        <w:pStyle w:val="8"/>
        <w:spacing w:before="0" w:beforeAutospacing="0" w:after="0" w:afterAutospacing="0" w:line="360" w:lineRule="auto"/>
        <w:ind w:firstLine="420"/>
        <w:rPr>
          <w:sz w:val="21"/>
          <w:szCs w:val="21"/>
        </w:rPr>
      </w:pPr>
      <w:r>
        <w:rPr>
          <w:rFonts w:hint="eastAsia"/>
          <w:sz w:val="21"/>
          <w:szCs w:val="21"/>
        </w:rPr>
        <w:t>基金管理人、基金托管人应当在规定媒介中选择披露信息的媒介。</w:t>
      </w:r>
    </w:p>
    <w:p w14:paraId="2F23AC1C">
      <w:pPr>
        <w:pStyle w:val="8"/>
        <w:spacing w:before="0" w:beforeAutospacing="0" w:after="0" w:afterAutospacing="0" w:line="360" w:lineRule="auto"/>
        <w:ind w:firstLine="420"/>
        <w:rPr>
          <w:sz w:val="21"/>
          <w:szCs w:val="21"/>
        </w:rPr>
      </w:pPr>
      <w:r>
        <w:rPr>
          <w:rFonts w:hint="eastAsia"/>
          <w:sz w:val="21"/>
          <w:szCs w:val="21"/>
        </w:rPr>
        <w:t>基金管理人、基金托管人应当向中国证监会基金电子披露网站报送拟披露的基金信息，并保证相关报送信息的真实、准确、完整、及时。</w:t>
      </w:r>
    </w:p>
    <w:p w14:paraId="01474066">
      <w:pPr>
        <w:pStyle w:val="8"/>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14:paraId="32EE2E4B">
      <w:pPr>
        <w:pStyle w:val="8"/>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w:t>
      </w:r>
    </w:p>
    <w:p w14:paraId="60C77CCC">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14:paraId="3F241E53">
      <w:pPr>
        <w:pStyle w:val="8"/>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依法必须披露的信息发布后，基金管理人、基金托管人应当按照相关法律法规规定将信息置备于公司住所，以供社会公众查阅、复制。</w:t>
      </w:r>
    </w:p>
    <w:p w14:paraId="41842235">
      <w:pPr>
        <w:pStyle w:val="8"/>
        <w:spacing w:before="0" w:beforeAutospacing="0" w:after="0" w:afterAutospacing="0" w:line="360" w:lineRule="auto"/>
        <w:ind w:firstLine="420"/>
        <w:rPr>
          <w:sz w:val="21"/>
          <w:szCs w:val="21"/>
        </w:rPr>
      </w:pPr>
      <w:r>
        <w:rPr>
          <w:rStyle w:val="12"/>
          <w:rFonts w:hint="eastAsia"/>
          <w:sz w:val="21"/>
          <w:szCs w:val="21"/>
        </w:rPr>
        <w:t>八、暂停或延迟信息披露的情形</w:t>
      </w:r>
    </w:p>
    <w:p w14:paraId="429314D5">
      <w:pPr>
        <w:pStyle w:val="8"/>
        <w:spacing w:before="0" w:beforeAutospacing="0" w:after="0" w:afterAutospacing="0" w:line="360" w:lineRule="auto"/>
        <w:ind w:firstLine="420"/>
        <w:rPr>
          <w:sz w:val="21"/>
          <w:szCs w:val="21"/>
        </w:rPr>
      </w:pPr>
      <w:r>
        <w:rPr>
          <w:rFonts w:hint="eastAsia"/>
          <w:sz w:val="21"/>
          <w:szCs w:val="21"/>
        </w:rPr>
        <w:t>1、不可抗力；</w:t>
      </w:r>
    </w:p>
    <w:p w14:paraId="3A4890AF">
      <w:pPr>
        <w:pStyle w:val="8"/>
        <w:spacing w:before="0" w:beforeAutospacing="0" w:after="0" w:afterAutospacing="0" w:line="360" w:lineRule="auto"/>
        <w:ind w:firstLine="420"/>
        <w:rPr>
          <w:sz w:val="21"/>
          <w:szCs w:val="21"/>
        </w:rPr>
      </w:pPr>
      <w:r>
        <w:rPr>
          <w:rFonts w:hint="eastAsia"/>
          <w:sz w:val="21"/>
          <w:szCs w:val="21"/>
        </w:rPr>
        <w:t>2、发生暂停估值的情形；</w:t>
      </w:r>
    </w:p>
    <w:p w14:paraId="684F3D1D">
      <w:pPr>
        <w:pStyle w:val="8"/>
        <w:spacing w:before="0" w:beforeAutospacing="0" w:after="0" w:afterAutospacing="0" w:line="360" w:lineRule="auto"/>
        <w:ind w:firstLine="420"/>
        <w:rPr>
          <w:sz w:val="21"/>
          <w:szCs w:val="21"/>
        </w:rPr>
      </w:pPr>
      <w:bookmarkStart w:id="136" w:name="chapter_level1_18_67_section_1_end"/>
      <w:bookmarkEnd w:id="136"/>
      <w:r>
        <w:rPr>
          <w:rFonts w:hint="eastAsia"/>
          <w:sz w:val="21"/>
          <w:szCs w:val="21"/>
        </w:rPr>
        <w:t>3、法律法规规定、中国证监会或基金合同认定的其他情形。</w:t>
      </w:r>
    </w:p>
    <w:p w14:paraId="54496467">
      <w:pPr>
        <w:widowControl/>
        <w:jc w:val="left"/>
        <w:rPr>
          <w:rFonts w:ascii="宋体" w:hAnsi="宋体" w:eastAsia="宋体"/>
        </w:rPr>
      </w:pPr>
      <w:r>
        <w:rPr>
          <w:rFonts w:ascii="宋体" w:hAnsi="宋体" w:eastAsia="宋体"/>
        </w:rPr>
        <w:br w:type="page"/>
      </w:r>
    </w:p>
    <w:p w14:paraId="1D9119FA">
      <w:pPr>
        <w:pStyle w:val="2"/>
        <w:jc w:val="center"/>
        <w:rPr>
          <w:rFonts w:ascii="宋体" w:hAnsi="宋体" w:eastAsia="宋体"/>
          <w:sz w:val="30"/>
        </w:rPr>
      </w:pPr>
      <w:bookmarkStart w:id="137" w:name="chapter_level1_19_74784"/>
      <w:bookmarkStart w:id="138" w:name="_Toc207939912"/>
      <w:r>
        <w:rPr>
          <w:rFonts w:hint="eastAsia" w:ascii="宋体" w:hAnsi="宋体" w:eastAsia="宋体"/>
          <w:sz w:val="30"/>
        </w:rPr>
        <w:t>第十</w:t>
      </w:r>
      <w:r>
        <w:rPr>
          <w:rFonts w:hint="eastAsia" w:ascii="宋体" w:hAnsi="宋体" w:eastAsia="宋体"/>
          <w:sz w:val="30"/>
          <w:lang w:val="en-US" w:eastAsia="zh-CN"/>
        </w:rPr>
        <w:t>七</w:t>
      </w:r>
      <w:r>
        <w:rPr>
          <w:rFonts w:hint="eastAsia" w:ascii="宋体" w:hAnsi="宋体" w:eastAsia="宋体"/>
          <w:sz w:val="30"/>
        </w:rPr>
        <w:t xml:space="preserve">部分 </w:t>
      </w:r>
      <w:r>
        <w:rPr>
          <w:rFonts w:hint="eastAsia" w:ascii="宋体" w:hAnsi="宋体" w:eastAsia="宋体"/>
          <w:sz w:val="30"/>
          <w:lang w:val="en-US" w:eastAsia="zh-CN"/>
        </w:rPr>
        <w:t xml:space="preserve"> </w:t>
      </w:r>
      <w:r>
        <w:rPr>
          <w:rFonts w:hint="eastAsia" w:ascii="宋体" w:hAnsi="宋体" w:eastAsia="宋体"/>
          <w:sz w:val="30"/>
        </w:rPr>
        <w:t>侧袋机制</w:t>
      </w:r>
      <w:bookmarkEnd w:id="137"/>
      <w:bookmarkEnd w:id="138"/>
    </w:p>
    <w:p w14:paraId="46AE7B4E">
      <w:pPr>
        <w:pStyle w:val="8"/>
        <w:spacing w:before="0" w:beforeAutospacing="0" w:after="0" w:afterAutospacing="0" w:line="360" w:lineRule="auto"/>
        <w:ind w:firstLine="420"/>
        <w:rPr>
          <w:sz w:val="21"/>
          <w:szCs w:val="21"/>
        </w:rPr>
      </w:pPr>
      <w:bookmarkStart w:id="139" w:name="chapter_level1_19_74784_section_1"/>
      <w:bookmarkEnd w:id="139"/>
      <w:r>
        <w:rPr>
          <w:rStyle w:val="12"/>
          <w:rFonts w:hint="eastAsia"/>
          <w:sz w:val="21"/>
          <w:szCs w:val="21"/>
        </w:rPr>
        <w:t>一、侧袋机制的实施条件、实施程序和特定资产范围</w:t>
      </w:r>
    </w:p>
    <w:p w14:paraId="1EF35013">
      <w:pPr>
        <w:pStyle w:val="8"/>
        <w:spacing w:before="0" w:beforeAutospacing="0" w:after="0" w:afterAutospacing="0" w:line="360" w:lineRule="auto"/>
        <w:ind w:firstLine="420"/>
        <w:rPr>
          <w:sz w:val="21"/>
          <w:szCs w:val="21"/>
        </w:rPr>
      </w:pP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p>
    <w:p w14:paraId="557E7D23">
      <w:pPr>
        <w:pStyle w:val="8"/>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6E19AD0D">
      <w:pPr>
        <w:pStyle w:val="8"/>
        <w:spacing w:before="0" w:beforeAutospacing="0" w:after="0" w:afterAutospacing="0" w:line="360" w:lineRule="auto"/>
        <w:ind w:firstLine="420"/>
        <w:rPr>
          <w:sz w:val="21"/>
          <w:szCs w:val="21"/>
        </w:rPr>
      </w:pPr>
      <w:r>
        <w:rPr>
          <w:rStyle w:val="12"/>
          <w:rFonts w:hint="eastAsia"/>
          <w:sz w:val="21"/>
          <w:szCs w:val="21"/>
        </w:rPr>
        <w:t>二、侧袋机制实施期间的基金运作安排</w:t>
      </w:r>
    </w:p>
    <w:p w14:paraId="022B082E">
      <w:pPr>
        <w:pStyle w:val="8"/>
        <w:spacing w:before="0" w:beforeAutospacing="0" w:after="0" w:afterAutospacing="0" w:line="360" w:lineRule="auto"/>
        <w:ind w:firstLine="420"/>
        <w:rPr>
          <w:sz w:val="21"/>
          <w:szCs w:val="21"/>
        </w:rPr>
      </w:pPr>
      <w:r>
        <w:rPr>
          <w:rFonts w:hint="eastAsia"/>
          <w:sz w:val="21"/>
          <w:szCs w:val="21"/>
        </w:rPr>
        <w:t>（一）基金份额的申购与赎回</w:t>
      </w:r>
    </w:p>
    <w:p w14:paraId="5CB8D688">
      <w:pPr>
        <w:pStyle w:val="8"/>
        <w:spacing w:before="0" w:beforeAutospacing="0" w:after="0" w:afterAutospacing="0" w:line="360" w:lineRule="auto"/>
        <w:ind w:firstLine="420"/>
        <w:rPr>
          <w:sz w:val="21"/>
          <w:szCs w:val="21"/>
        </w:rPr>
      </w:pPr>
      <w:r>
        <w:rPr>
          <w:rFonts w:hint="eastAsia"/>
          <w:sz w:val="21"/>
          <w:szCs w:val="21"/>
        </w:rPr>
        <w:t>1、侧袋机制实施期间，基金管理人不办理侧袋账户份额的申购、赎回和转换。基金份额持有人申请申购、赎回或转换侧袋账户份额的，该申购、赎回或转换申请将被拒绝。</w:t>
      </w:r>
    </w:p>
    <w:p w14:paraId="7A93D1CD">
      <w:pPr>
        <w:pStyle w:val="8"/>
        <w:spacing w:before="0" w:beforeAutospacing="0" w:after="0" w:afterAutospacing="0" w:line="360" w:lineRule="auto"/>
        <w:ind w:firstLine="420"/>
        <w:rPr>
          <w:sz w:val="21"/>
          <w:szCs w:val="21"/>
        </w:rPr>
      </w:pPr>
      <w:r>
        <w:rPr>
          <w:rFonts w:hint="eastAsia"/>
          <w:sz w:val="21"/>
          <w:szCs w:val="21"/>
        </w:rPr>
        <w:t>2、当特定资产占前一估值日基金资产净值50%以上的，经与基金托管人协商确认后，基金管理人应当暂停基金估值，并暂停接受基金申购赎回申请或延缓支付赎回款项。</w:t>
      </w:r>
    </w:p>
    <w:p w14:paraId="1DD61595">
      <w:pPr>
        <w:pStyle w:val="8"/>
        <w:spacing w:before="0" w:beforeAutospacing="0" w:after="0" w:afterAutospacing="0" w:line="360" w:lineRule="auto"/>
        <w:ind w:firstLine="420"/>
        <w:rPr>
          <w:sz w:val="21"/>
          <w:szCs w:val="21"/>
        </w:rPr>
      </w:pPr>
      <w:r>
        <w:rPr>
          <w:rFonts w:hint="eastAsia"/>
          <w:sz w:val="21"/>
          <w:szCs w:val="21"/>
        </w:rPr>
        <w:t>3、基金管理人依法保障主袋账户份额持有人享有基金合同约定的赎回权利，并根据主袋账户运作情况合理确定申购事项，具体事项届时由基金管理人在相关公告中规定。</w:t>
      </w:r>
    </w:p>
    <w:p w14:paraId="150EFCA2">
      <w:pPr>
        <w:pStyle w:val="8"/>
        <w:spacing w:before="0" w:beforeAutospacing="0" w:after="0" w:afterAutospacing="0" w:line="360" w:lineRule="auto"/>
        <w:ind w:firstLine="420"/>
        <w:rPr>
          <w:sz w:val="21"/>
          <w:szCs w:val="21"/>
        </w:rPr>
      </w:pPr>
      <w:r>
        <w:rPr>
          <w:rFonts w:hint="eastAsia"/>
          <w:sz w:val="21"/>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14:paraId="2C628B1F">
      <w:pPr>
        <w:pStyle w:val="8"/>
        <w:spacing w:before="0" w:beforeAutospacing="0" w:after="0" w:afterAutospacing="0" w:line="360" w:lineRule="auto"/>
        <w:ind w:firstLine="420"/>
        <w:rPr>
          <w:sz w:val="21"/>
          <w:szCs w:val="21"/>
        </w:rPr>
      </w:pPr>
      <w:r>
        <w:rPr>
          <w:rFonts w:hint="eastAsia"/>
          <w:sz w:val="21"/>
          <w:szCs w:val="21"/>
        </w:rPr>
        <w:t>（二）基金份额的登记</w:t>
      </w:r>
    </w:p>
    <w:p w14:paraId="3395B5F0">
      <w:pPr>
        <w:pStyle w:val="8"/>
        <w:spacing w:before="0" w:beforeAutospacing="0" w:after="0" w:afterAutospacing="0" w:line="360" w:lineRule="auto"/>
        <w:ind w:firstLine="420"/>
        <w:rPr>
          <w:sz w:val="21"/>
          <w:szCs w:val="21"/>
        </w:rPr>
      </w:pPr>
      <w:r>
        <w:rPr>
          <w:rFonts w:hint="eastAsia"/>
          <w:sz w:val="21"/>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14:paraId="3F1AC869">
      <w:pPr>
        <w:pStyle w:val="8"/>
        <w:spacing w:before="0" w:beforeAutospacing="0" w:after="0" w:afterAutospacing="0" w:line="360" w:lineRule="auto"/>
        <w:ind w:firstLine="420"/>
        <w:rPr>
          <w:sz w:val="21"/>
          <w:szCs w:val="21"/>
        </w:rPr>
      </w:pPr>
      <w:r>
        <w:rPr>
          <w:rFonts w:hint="eastAsia"/>
          <w:sz w:val="21"/>
          <w:szCs w:val="21"/>
        </w:rPr>
        <w:t>启用侧袋机制当日，基金管理人和基金服务机构将以基金份额持有人的原有账户份额为基础，确认相应侧袋账户持有人名册和份额。</w:t>
      </w:r>
    </w:p>
    <w:p w14:paraId="4C874E2A">
      <w:pPr>
        <w:pStyle w:val="8"/>
        <w:spacing w:before="0" w:beforeAutospacing="0" w:after="0" w:afterAutospacing="0" w:line="360" w:lineRule="auto"/>
        <w:ind w:firstLine="420"/>
        <w:rPr>
          <w:sz w:val="21"/>
          <w:szCs w:val="21"/>
        </w:rPr>
      </w:pPr>
      <w:r>
        <w:rPr>
          <w:rFonts w:hint="eastAsia"/>
          <w:sz w:val="21"/>
          <w:szCs w:val="21"/>
        </w:rPr>
        <w:t>侧袋账户资产完全清算后，基金管理人将注销侧袋账户。</w:t>
      </w:r>
    </w:p>
    <w:p w14:paraId="08E5D425">
      <w:pPr>
        <w:pStyle w:val="8"/>
        <w:spacing w:before="0" w:beforeAutospacing="0" w:after="0" w:afterAutospacing="0" w:line="360" w:lineRule="auto"/>
        <w:ind w:firstLine="420"/>
        <w:rPr>
          <w:sz w:val="21"/>
          <w:szCs w:val="21"/>
        </w:rPr>
      </w:pPr>
      <w:r>
        <w:rPr>
          <w:rFonts w:hint="eastAsia"/>
          <w:sz w:val="21"/>
          <w:szCs w:val="21"/>
        </w:rPr>
        <w:t>（三）基金的投资及业绩</w:t>
      </w:r>
    </w:p>
    <w:p w14:paraId="7407399B">
      <w:pPr>
        <w:pStyle w:val="8"/>
        <w:spacing w:before="0" w:beforeAutospacing="0" w:after="0" w:afterAutospacing="0" w:line="360" w:lineRule="auto"/>
        <w:ind w:firstLine="420"/>
        <w:rPr>
          <w:sz w:val="21"/>
          <w:szCs w:val="21"/>
        </w:rPr>
      </w:pPr>
      <w:r>
        <w:rPr>
          <w:rFonts w:hint="eastAsia"/>
          <w:sz w:val="21"/>
          <w:szCs w:val="21"/>
        </w:rPr>
        <w:t>侧袋机制实施期间，本基金的各项投资运作指标和基金业绩指标应当以主袋账户资产为基准。基金管理人不得在侧袋账户中进行除特定资产处置变现以外的其他投资操作。</w:t>
      </w:r>
    </w:p>
    <w:p w14:paraId="10E50DE6">
      <w:pPr>
        <w:pStyle w:val="8"/>
        <w:spacing w:before="0" w:beforeAutospacing="0" w:after="0" w:afterAutospacing="0" w:line="360" w:lineRule="auto"/>
        <w:ind w:firstLine="420"/>
        <w:rPr>
          <w:sz w:val="21"/>
          <w:szCs w:val="21"/>
        </w:rPr>
      </w:pPr>
      <w:r>
        <w:rPr>
          <w:rFonts w:hint="eastAsia"/>
          <w:sz w:val="21"/>
          <w:szCs w:val="21"/>
        </w:rPr>
        <w:t>基金管理人、基金服务机构在展示基金业绩时，将就前述情况进行充分的解释说明，避免引起投资者误解。</w:t>
      </w:r>
    </w:p>
    <w:p w14:paraId="64E8DD61">
      <w:pPr>
        <w:pStyle w:val="8"/>
        <w:spacing w:before="0" w:beforeAutospacing="0" w:after="0" w:afterAutospacing="0" w:line="360" w:lineRule="auto"/>
        <w:ind w:firstLine="420"/>
        <w:rPr>
          <w:sz w:val="21"/>
          <w:szCs w:val="21"/>
        </w:rPr>
      </w:pPr>
      <w:r>
        <w:rPr>
          <w:rFonts w:hint="eastAsia"/>
          <w:sz w:val="21"/>
          <w:szCs w:val="21"/>
        </w:rPr>
        <w:t>基金管理人原则上应当在侧袋机制启用后20个交易日内完成对主袋账户投资组合的调整，但因资产流动性受限等中国证监会规定的情形除外。</w:t>
      </w:r>
    </w:p>
    <w:p w14:paraId="5C2D7571">
      <w:pPr>
        <w:pStyle w:val="8"/>
        <w:spacing w:before="0" w:beforeAutospacing="0" w:after="0" w:afterAutospacing="0" w:line="360" w:lineRule="auto"/>
        <w:ind w:firstLine="420"/>
        <w:rPr>
          <w:sz w:val="21"/>
          <w:szCs w:val="21"/>
        </w:rPr>
      </w:pPr>
      <w:r>
        <w:rPr>
          <w:rFonts w:hint="eastAsia"/>
          <w:sz w:val="21"/>
          <w:szCs w:val="21"/>
        </w:rPr>
        <w:t>（四）基金的估值</w:t>
      </w:r>
    </w:p>
    <w:p w14:paraId="04EC565E">
      <w:pPr>
        <w:pStyle w:val="8"/>
        <w:spacing w:before="0" w:beforeAutospacing="0" w:after="0" w:afterAutospacing="0" w:line="360" w:lineRule="auto"/>
        <w:ind w:firstLine="420"/>
        <w:rPr>
          <w:sz w:val="21"/>
          <w:szCs w:val="21"/>
        </w:rPr>
      </w:pPr>
      <w:r>
        <w:rPr>
          <w:rFonts w:hint="eastAsia"/>
          <w:sz w:val="21"/>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14:paraId="4625FE6F">
      <w:pPr>
        <w:pStyle w:val="8"/>
        <w:spacing w:before="0" w:beforeAutospacing="0" w:after="0" w:afterAutospacing="0" w:line="360" w:lineRule="auto"/>
        <w:ind w:firstLine="420"/>
        <w:rPr>
          <w:sz w:val="21"/>
          <w:szCs w:val="21"/>
        </w:rPr>
      </w:pPr>
      <w:r>
        <w:rPr>
          <w:rFonts w:hint="eastAsia"/>
          <w:sz w:val="21"/>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14:paraId="17C06087">
      <w:pPr>
        <w:pStyle w:val="8"/>
        <w:spacing w:before="0" w:beforeAutospacing="0" w:after="0" w:afterAutospacing="0" w:line="360" w:lineRule="auto"/>
        <w:ind w:firstLine="420"/>
        <w:rPr>
          <w:sz w:val="21"/>
          <w:szCs w:val="21"/>
        </w:rPr>
      </w:pPr>
      <w:r>
        <w:rPr>
          <w:rFonts w:hint="eastAsia"/>
          <w:sz w:val="21"/>
          <w:szCs w:val="21"/>
        </w:rPr>
        <w:t>（五）基金的费用</w:t>
      </w:r>
    </w:p>
    <w:p w14:paraId="21BD9AF7">
      <w:pPr>
        <w:pStyle w:val="8"/>
        <w:spacing w:before="0" w:beforeAutospacing="0" w:after="0" w:afterAutospacing="0" w:line="360" w:lineRule="auto"/>
        <w:ind w:firstLine="420"/>
        <w:rPr>
          <w:sz w:val="21"/>
          <w:szCs w:val="21"/>
        </w:rPr>
      </w:pPr>
      <w:r>
        <w:rPr>
          <w:rFonts w:hint="eastAsia"/>
          <w:sz w:val="21"/>
          <w:szCs w:val="21"/>
        </w:rPr>
        <w:t>侧袋机制实施期间，侧袋账户资产不收取管理费。如法律法规或监管机构对于侧袋账户资产托管费的收取另有规定的，以法律法规或监管机构最新要求为准。因启用侧袋机制产生的咨询、审计费用等由基金管理人承担。</w:t>
      </w:r>
    </w:p>
    <w:p w14:paraId="6A2746C1">
      <w:pPr>
        <w:pStyle w:val="8"/>
        <w:spacing w:before="0" w:beforeAutospacing="0" w:after="0" w:afterAutospacing="0" w:line="360" w:lineRule="auto"/>
        <w:ind w:firstLine="420"/>
        <w:rPr>
          <w:sz w:val="21"/>
          <w:szCs w:val="21"/>
        </w:rPr>
      </w:pPr>
      <w:r>
        <w:rPr>
          <w:rFonts w:hint="eastAsia"/>
          <w:sz w:val="21"/>
          <w:szCs w:val="21"/>
        </w:rPr>
        <w:t>基金管理人可以将与侧袋账户有关的费用从侧袋账户资产中列支，但应待特定资产变现后方可列支。</w:t>
      </w:r>
    </w:p>
    <w:p w14:paraId="06F46AE9">
      <w:pPr>
        <w:pStyle w:val="8"/>
        <w:spacing w:before="0" w:beforeAutospacing="0" w:after="0" w:afterAutospacing="0" w:line="360" w:lineRule="auto"/>
        <w:ind w:firstLine="420"/>
        <w:rPr>
          <w:sz w:val="21"/>
          <w:szCs w:val="21"/>
        </w:rPr>
      </w:pPr>
      <w:r>
        <w:rPr>
          <w:rFonts w:hint="eastAsia"/>
          <w:sz w:val="21"/>
          <w:szCs w:val="21"/>
        </w:rPr>
        <w:t>（六）基金的收益分配</w:t>
      </w:r>
    </w:p>
    <w:p w14:paraId="0953C3E9">
      <w:pPr>
        <w:pStyle w:val="8"/>
        <w:spacing w:before="0" w:beforeAutospacing="0" w:after="0" w:afterAutospacing="0" w:line="360" w:lineRule="auto"/>
        <w:ind w:firstLine="420"/>
        <w:rPr>
          <w:sz w:val="21"/>
          <w:szCs w:val="21"/>
        </w:rPr>
      </w:pPr>
      <w:r>
        <w:rPr>
          <w:rFonts w:hint="eastAsia"/>
          <w:sz w:val="21"/>
          <w:szCs w:val="21"/>
        </w:rPr>
        <w:t>侧袋机制实施期间，在主袋账户份额满足基金合同收益分配条件的情形下，基金管理人可对主袋账户份额进行收益分配。侧袋账户份额不再适用基金合同的收益与分配条款。</w:t>
      </w:r>
    </w:p>
    <w:p w14:paraId="6D336DAA">
      <w:pPr>
        <w:pStyle w:val="8"/>
        <w:spacing w:before="0" w:beforeAutospacing="0" w:after="0" w:afterAutospacing="0" w:line="360" w:lineRule="auto"/>
        <w:ind w:firstLine="420"/>
        <w:rPr>
          <w:sz w:val="21"/>
          <w:szCs w:val="21"/>
        </w:rPr>
      </w:pPr>
      <w:r>
        <w:rPr>
          <w:rFonts w:hint="eastAsia"/>
          <w:sz w:val="21"/>
          <w:szCs w:val="21"/>
        </w:rPr>
        <w:t>（七）基金的信息披露</w:t>
      </w:r>
    </w:p>
    <w:p w14:paraId="3DC6164B">
      <w:pPr>
        <w:pStyle w:val="8"/>
        <w:spacing w:before="0" w:beforeAutospacing="0" w:after="0" w:afterAutospacing="0" w:line="360" w:lineRule="auto"/>
        <w:ind w:firstLine="420"/>
        <w:rPr>
          <w:sz w:val="21"/>
          <w:szCs w:val="21"/>
        </w:rPr>
      </w:pPr>
      <w:r>
        <w:rPr>
          <w:rFonts w:hint="eastAsia"/>
          <w:sz w:val="21"/>
          <w:szCs w:val="21"/>
        </w:rPr>
        <w:t>1、基金净值信息</w:t>
      </w:r>
    </w:p>
    <w:p w14:paraId="0BE3B902">
      <w:pPr>
        <w:pStyle w:val="8"/>
        <w:spacing w:before="0" w:beforeAutospacing="0" w:after="0" w:afterAutospacing="0" w:line="360" w:lineRule="auto"/>
        <w:ind w:firstLine="420"/>
        <w:rPr>
          <w:sz w:val="21"/>
          <w:szCs w:val="21"/>
        </w:rPr>
      </w:pPr>
      <w:r>
        <w:rPr>
          <w:rFonts w:hint="eastAsia"/>
          <w:sz w:val="21"/>
          <w:szCs w:val="21"/>
        </w:rPr>
        <w:t>侧袋机制实施期间，基金管理人应当暂停披露侧袋账户的基金净值信息。</w:t>
      </w:r>
    </w:p>
    <w:p w14:paraId="7F95B9A4">
      <w:pPr>
        <w:pStyle w:val="8"/>
        <w:spacing w:before="0" w:beforeAutospacing="0" w:after="0" w:afterAutospacing="0" w:line="360" w:lineRule="auto"/>
        <w:ind w:firstLine="420"/>
        <w:rPr>
          <w:sz w:val="21"/>
          <w:szCs w:val="21"/>
        </w:rPr>
      </w:pPr>
      <w:r>
        <w:rPr>
          <w:rFonts w:hint="eastAsia"/>
          <w:sz w:val="21"/>
          <w:szCs w:val="21"/>
        </w:rPr>
        <w:t>2、定期报告</w:t>
      </w:r>
    </w:p>
    <w:p w14:paraId="4EB26089">
      <w:pPr>
        <w:pStyle w:val="8"/>
        <w:spacing w:before="0" w:beforeAutospacing="0" w:after="0" w:afterAutospacing="0" w:line="360" w:lineRule="auto"/>
        <w:ind w:firstLine="420"/>
        <w:rPr>
          <w:sz w:val="21"/>
          <w:szCs w:val="21"/>
        </w:rPr>
      </w:pPr>
      <w:r>
        <w:rPr>
          <w:rFonts w:hint="eastAsia"/>
          <w:sz w:val="21"/>
          <w:szCs w:val="21"/>
        </w:rPr>
        <w:t>侧袋机制实施期间，基金定期报告中的基金会计报表仅需针对主袋账户进行编制。侧袋账户相关信息在定期报告中单独进行披露，包括但不限于：</w:t>
      </w:r>
    </w:p>
    <w:p w14:paraId="4C74E38B">
      <w:pPr>
        <w:pStyle w:val="8"/>
        <w:spacing w:before="0" w:beforeAutospacing="0" w:after="0" w:afterAutospacing="0" w:line="360" w:lineRule="auto"/>
        <w:ind w:firstLine="420"/>
        <w:rPr>
          <w:sz w:val="21"/>
          <w:szCs w:val="21"/>
        </w:rPr>
      </w:pPr>
      <w:r>
        <w:rPr>
          <w:rFonts w:hint="eastAsia"/>
          <w:sz w:val="21"/>
          <w:szCs w:val="21"/>
        </w:rPr>
        <w:t>（1）侧袋账户的基金代码、基金名称、侧袋账户成立日期等基本信息；</w:t>
      </w:r>
    </w:p>
    <w:p w14:paraId="6D252CB0">
      <w:pPr>
        <w:pStyle w:val="8"/>
        <w:spacing w:before="0" w:beforeAutospacing="0" w:after="0" w:afterAutospacing="0" w:line="360" w:lineRule="auto"/>
        <w:ind w:firstLine="420"/>
        <w:rPr>
          <w:sz w:val="21"/>
          <w:szCs w:val="21"/>
        </w:rPr>
      </w:pPr>
      <w:r>
        <w:rPr>
          <w:rFonts w:hint="eastAsia"/>
          <w:sz w:val="21"/>
          <w:szCs w:val="21"/>
        </w:rPr>
        <w:t>（2）侧袋账户的初始资产、初始负债；</w:t>
      </w:r>
    </w:p>
    <w:p w14:paraId="296FF3BD">
      <w:pPr>
        <w:pStyle w:val="8"/>
        <w:spacing w:before="0" w:beforeAutospacing="0" w:after="0" w:afterAutospacing="0" w:line="360" w:lineRule="auto"/>
        <w:ind w:firstLine="420"/>
        <w:rPr>
          <w:sz w:val="21"/>
          <w:szCs w:val="21"/>
        </w:rPr>
      </w:pPr>
      <w:r>
        <w:rPr>
          <w:rFonts w:hint="eastAsia"/>
          <w:sz w:val="21"/>
          <w:szCs w:val="21"/>
        </w:rPr>
        <w:t>（3）特定资产的名称、代码、发行人等基本信息；</w:t>
      </w:r>
    </w:p>
    <w:p w14:paraId="3CD8E73F">
      <w:pPr>
        <w:pStyle w:val="8"/>
        <w:spacing w:before="0" w:beforeAutospacing="0" w:after="0" w:afterAutospacing="0" w:line="360" w:lineRule="auto"/>
        <w:ind w:firstLine="420"/>
        <w:rPr>
          <w:sz w:val="21"/>
          <w:szCs w:val="21"/>
        </w:rPr>
      </w:pPr>
      <w:r>
        <w:rPr>
          <w:rFonts w:hint="eastAsia"/>
          <w:sz w:val="21"/>
          <w:szCs w:val="21"/>
        </w:rPr>
        <w:t>（4）报告期内的特定资产处置进展情况、与处置特定资产相关的费用情况及其他与特定资产状况相关的信息；</w:t>
      </w:r>
    </w:p>
    <w:p w14:paraId="58BA31E0">
      <w:pPr>
        <w:pStyle w:val="8"/>
        <w:spacing w:before="0" w:beforeAutospacing="0" w:after="0" w:afterAutospacing="0" w:line="360" w:lineRule="auto"/>
        <w:ind w:firstLine="420"/>
        <w:rPr>
          <w:sz w:val="21"/>
          <w:szCs w:val="21"/>
        </w:rPr>
      </w:pPr>
      <w:r>
        <w:rPr>
          <w:rFonts w:hint="eastAsia"/>
          <w:sz w:val="21"/>
          <w:szCs w:val="21"/>
        </w:rPr>
        <w:t>（5）可根据特定资产处置进展情况披露特定资产的可变现净值或净值参考区间，该净值或净值区间并不代表特定资产最终的变现价格，不作为基金管理人对特定资产最终变现价格的承诺；</w:t>
      </w:r>
    </w:p>
    <w:p w14:paraId="1EA26D95">
      <w:pPr>
        <w:pStyle w:val="8"/>
        <w:spacing w:before="0" w:beforeAutospacing="0" w:after="0" w:afterAutospacing="0" w:line="360" w:lineRule="auto"/>
        <w:ind w:firstLine="420"/>
        <w:rPr>
          <w:sz w:val="21"/>
          <w:szCs w:val="21"/>
        </w:rPr>
      </w:pPr>
      <w:r>
        <w:rPr>
          <w:rFonts w:hint="eastAsia"/>
          <w:sz w:val="21"/>
          <w:szCs w:val="21"/>
        </w:rPr>
        <w:t>（6）可能对投资者利益存在重大影响的其他情况及相关风险提示。</w:t>
      </w:r>
    </w:p>
    <w:p w14:paraId="3DC2004E">
      <w:pPr>
        <w:pStyle w:val="8"/>
        <w:spacing w:before="0" w:beforeAutospacing="0" w:after="0" w:afterAutospacing="0" w:line="360" w:lineRule="auto"/>
        <w:ind w:firstLine="420"/>
        <w:rPr>
          <w:sz w:val="21"/>
          <w:szCs w:val="21"/>
        </w:rPr>
      </w:pPr>
      <w:r>
        <w:rPr>
          <w:rFonts w:hint="eastAsia"/>
          <w:sz w:val="21"/>
          <w:szCs w:val="21"/>
        </w:rPr>
        <w:t>3、临时报告</w:t>
      </w:r>
    </w:p>
    <w:p w14:paraId="139541F9">
      <w:pPr>
        <w:pStyle w:val="8"/>
        <w:spacing w:before="0" w:beforeAutospacing="0" w:after="0" w:afterAutospacing="0" w:line="360" w:lineRule="auto"/>
        <w:ind w:firstLine="420"/>
        <w:rPr>
          <w:sz w:val="21"/>
          <w:szCs w:val="21"/>
        </w:rPr>
      </w:pPr>
      <w:r>
        <w:rPr>
          <w:rFonts w:hint="eastAsia"/>
          <w:sz w:val="21"/>
          <w:szCs w:val="21"/>
        </w:rPr>
        <w:t>基金管理人在启用侧袋机制、处置特定资产、终止侧袋机制以及发生其他可能对投资者利益产生重大影响的事项后应及时发布临时公告。</w:t>
      </w:r>
    </w:p>
    <w:p w14:paraId="245089F9">
      <w:pPr>
        <w:pStyle w:val="8"/>
        <w:spacing w:before="0" w:beforeAutospacing="0" w:after="0" w:afterAutospacing="0" w:line="360" w:lineRule="auto"/>
        <w:ind w:firstLine="420"/>
        <w:rPr>
          <w:sz w:val="21"/>
          <w:szCs w:val="21"/>
        </w:rPr>
      </w:pPr>
      <w:r>
        <w:rPr>
          <w:rFonts w:hint="eastAsia"/>
          <w:sz w:val="21"/>
          <w:szCs w:val="21"/>
        </w:rPr>
        <w:t>启用侧袋机制的临时公告内容应当包括启用原因及程序、特定资产流动性和估值情况、对投资者申购赎回的影响、风险提示等重要信息。</w:t>
      </w:r>
    </w:p>
    <w:p w14:paraId="338A83E2">
      <w:pPr>
        <w:pStyle w:val="8"/>
        <w:spacing w:before="0" w:beforeAutospacing="0" w:after="0" w:afterAutospacing="0" w:line="360" w:lineRule="auto"/>
        <w:ind w:firstLine="420"/>
        <w:rPr>
          <w:sz w:val="21"/>
          <w:szCs w:val="21"/>
        </w:rPr>
      </w:pPr>
      <w:r>
        <w:rPr>
          <w:rFonts w:hint="eastAsia"/>
          <w:sz w:val="21"/>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14:paraId="7A648BFC">
      <w:pPr>
        <w:pStyle w:val="8"/>
        <w:spacing w:before="0" w:beforeAutospacing="0" w:after="0" w:afterAutospacing="0" w:line="360" w:lineRule="auto"/>
        <w:ind w:firstLine="420"/>
        <w:rPr>
          <w:sz w:val="21"/>
          <w:szCs w:val="21"/>
        </w:rPr>
      </w:pPr>
      <w:r>
        <w:rPr>
          <w:rFonts w:hint="eastAsia"/>
          <w:sz w:val="21"/>
          <w:szCs w:val="21"/>
        </w:rPr>
        <w:t>（八）特定资产处置清算</w:t>
      </w:r>
    </w:p>
    <w:p w14:paraId="55EF86A2">
      <w:pPr>
        <w:pStyle w:val="8"/>
        <w:spacing w:before="0" w:beforeAutospacing="0" w:after="0" w:afterAutospacing="0" w:line="360" w:lineRule="auto"/>
        <w:ind w:firstLine="420"/>
        <w:rPr>
          <w:sz w:val="21"/>
          <w:szCs w:val="21"/>
        </w:rPr>
      </w:pPr>
      <w:r>
        <w:rPr>
          <w:rFonts w:hint="eastAsia"/>
          <w:sz w:val="21"/>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14:paraId="470EFE38">
      <w:pPr>
        <w:pStyle w:val="8"/>
        <w:spacing w:before="0" w:beforeAutospacing="0" w:after="0" w:afterAutospacing="0" w:line="360" w:lineRule="auto"/>
        <w:ind w:firstLine="420"/>
        <w:rPr>
          <w:sz w:val="21"/>
          <w:szCs w:val="21"/>
        </w:rPr>
      </w:pPr>
      <w:r>
        <w:rPr>
          <w:rFonts w:hint="eastAsia"/>
          <w:sz w:val="21"/>
          <w:szCs w:val="21"/>
        </w:rPr>
        <w:t>（九）侧袋的审计</w:t>
      </w:r>
    </w:p>
    <w:p w14:paraId="3105647F">
      <w:pPr>
        <w:pStyle w:val="8"/>
        <w:spacing w:before="0" w:beforeAutospacing="0" w:after="0" w:afterAutospacing="0" w:line="360" w:lineRule="auto"/>
        <w:ind w:firstLine="420"/>
        <w:rPr>
          <w:sz w:val="21"/>
          <w:szCs w:val="21"/>
        </w:rPr>
      </w:pPr>
      <w:r>
        <w:rPr>
          <w:rFonts w:hint="eastAsia"/>
          <w:sz w:val="21"/>
          <w:szCs w:val="21"/>
        </w:rPr>
        <w:t>基金管理人应当在启用侧袋机制和终止侧袋机制后，及时聘请符合《中华人民共和国证券法》规定的会计师事务所进行审计并披露专项审计意见，具体如下：</w:t>
      </w:r>
    </w:p>
    <w:p w14:paraId="5628C39C">
      <w:pPr>
        <w:pStyle w:val="8"/>
        <w:spacing w:before="0" w:beforeAutospacing="0" w:after="0" w:afterAutospacing="0" w:line="360" w:lineRule="auto"/>
        <w:ind w:firstLine="420"/>
        <w:rPr>
          <w:sz w:val="21"/>
          <w:szCs w:val="21"/>
        </w:rPr>
      </w:pPr>
      <w:r>
        <w:rPr>
          <w:rFonts w:hint="eastAsia"/>
          <w:sz w:val="21"/>
          <w:szCs w:val="21"/>
        </w:rPr>
        <w:t>基金管理人应当在启用侧袋机制时，就特定资产认定的相关事宜取得符合《中华人民共和国证券法》规定的会计师事务所的专业意见。</w:t>
      </w:r>
    </w:p>
    <w:p w14:paraId="27836B0E">
      <w:pPr>
        <w:pStyle w:val="8"/>
        <w:spacing w:before="0" w:beforeAutospacing="0" w:after="0" w:afterAutospacing="0" w:line="360" w:lineRule="auto"/>
        <w:ind w:firstLine="420"/>
        <w:rPr>
          <w:sz w:val="21"/>
          <w:szCs w:val="21"/>
        </w:rPr>
      </w:pPr>
      <w:r>
        <w:rPr>
          <w:rFonts w:hint="eastAsia"/>
          <w:sz w:val="21"/>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14:paraId="2A4CA613">
      <w:pPr>
        <w:pStyle w:val="8"/>
        <w:spacing w:before="0" w:beforeAutospacing="0" w:after="0" w:afterAutospacing="0" w:line="360" w:lineRule="auto"/>
        <w:ind w:firstLine="420"/>
        <w:rPr>
          <w:sz w:val="21"/>
          <w:szCs w:val="21"/>
        </w:rPr>
      </w:pPr>
      <w:r>
        <w:rPr>
          <w:rFonts w:hint="eastAsia"/>
          <w:sz w:val="21"/>
          <w:szCs w:val="21"/>
        </w:rPr>
        <w:t>会计师事务所对基金年度报告进行审计时，应对报告期间基金侧袋机制运行相关的会计核算和年报披露，执行适当程序并发表审计意见。</w:t>
      </w:r>
    </w:p>
    <w:p w14:paraId="2C83CCE2">
      <w:pPr>
        <w:pStyle w:val="8"/>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当侧袋账户资产全部完成变现后，基金管理人应参照基金清算报告的相关要求，聘请符合《中华人民共和国证券法》规定的会计师事务所对侧袋账户进行审计并披露专项审计意见。</w:t>
      </w:r>
    </w:p>
    <w:p w14:paraId="1810974C">
      <w:pPr>
        <w:pStyle w:val="8"/>
        <w:spacing w:before="0" w:beforeAutospacing="0" w:after="0" w:afterAutospacing="0" w:line="360" w:lineRule="auto"/>
        <w:ind w:firstLine="420"/>
        <w:rPr>
          <w:sz w:val="21"/>
          <w:szCs w:val="21"/>
        </w:rPr>
      </w:pPr>
      <w:r>
        <w:rPr>
          <w:rStyle w:val="12"/>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40" w:name="chapter_level1_19_74784_section_1_end"/>
      <w:bookmarkEnd w:id="140"/>
      <w:r>
        <w:rPr>
          <w:rStyle w:val="12"/>
          <w:rFonts w:hint="eastAsia"/>
          <w:sz w:val="21"/>
          <w:szCs w:val="21"/>
        </w:rPr>
        <w:t>额持有人大会审议。</w:t>
      </w:r>
    </w:p>
    <w:p w14:paraId="0D1EEAEB">
      <w:pPr>
        <w:widowControl/>
        <w:jc w:val="left"/>
        <w:rPr>
          <w:rFonts w:ascii="宋体" w:hAnsi="宋体" w:eastAsia="宋体"/>
        </w:rPr>
      </w:pPr>
      <w:r>
        <w:rPr>
          <w:rFonts w:ascii="宋体" w:hAnsi="宋体" w:eastAsia="宋体"/>
        </w:rPr>
        <w:br w:type="page"/>
      </w:r>
    </w:p>
    <w:p w14:paraId="3F7FE90E">
      <w:pPr>
        <w:pStyle w:val="2"/>
        <w:jc w:val="center"/>
        <w:rPr>
          <w:rFonts w:ascii="宋体" w:hAnsi="宋体" w:eastAsia="宋体"/>
          <w:sz w:val="30"/>
        </w:rPr>
      </w:pPr>
      <w:bookmarkStart w:id="141" w:name="chapter_level1_20_68"/>
      <w:bookmarkStart w:id="142" w:name="_Toc207939913"/>
      <w:r>
        <w:rPr>
          <w:rFonts w:hint="eastAsia" w:ascii="宋体" w:hAnsi="宋体" w:eastAsia="宋体"/>
          <w:sz w:val="30"/>
        </w:rPr>
        <w:t>第十</w:t>
      </w:r>
      <w:r>
        <w:rPr>
          <w:rFonts w:hint="eastAsia" w:ascii="宋体" w:hAnsi="宋体" w:eastAsia="宋体"/>
          <w:sz w:val="30"/>
          <w:lang w:val="en-US" w:eastAsia="zh-CN"/>
        </w:rPr>
        <w:t>八</w:t>
      </w:r>
      <w:r>
        <w:rPr>
          <w:rFonts w:hint="eastAsia" w:ascii="宋体" w:hAnsi="宋体" w:eastAsia="宋体"/>
          <w:sz w:val="30"/>
        </w:rPr>
        <w:t>部分  风险揭示</w:t>
      </w:r>
      <w:bookmarkEnd w:id="141"/>
      <w:bookmarkEnd w:id="142"/>
    </w:p>
    <w:p w14:paraId="43D63E3D">
      <w:pPr>
        <w:pStyle w:val="8"/>
        <w:spacing w:before="0" w:beforeAutospacing="0" w:after="0" w:afterAutospacing="0" w:line="360" w:lineRule="auto"/>
        <w:ind w:firstLine="420"/>
        <w:rPr>
          <w:sz w:val="21"/>
          <w:szCs w:val="21"/>
        </w:rPr>
      </w:pPr>
      <w:bookmarkStart w:id="143" w:name="chapter_level1_20_68_section_1"/>
      <w:bookmarkEnd w:id="143"/>
      <w:r>
        <w:rPr>
          <w:rStyle w:val="12"/>
          <w:rFonts w:hint="eastAsia"/>
          <w:sz w:val="21"/>
          <w:szCs w:val="21"/>
        </w:rPr>
        <w:t>一、投资于本基金的主要风险</w:t>
      </w:r>
    </w:p>
    <w:p w14:paraId="684373FE">
      <w:pPr>
        <w:pStyle w:val="8"/>
        <w:spacing w:before="0" w:beforeAutospacing="0" w:after="0" w:afterAutospacing="0" w:line="360" w:lineRule="auto"/>
        <w:ind w:firstLine="420"/>
        <w:rPr>
          <w:sz w:val="21"/>
          <w:szCs w:val="21"/>
        </w:rPr>
      </w:pPr>
      <w:r>
        <w:rPr>
          <w:rFonts w:hint="eastAsia"/>
          <w:sz w:val="21"/>
          <w:szCs w:val="21"/>
        </w:rPr>
        <w:t>1、市场风险</w:t>
      </w:r>
    </w:p>
    <w:p w14:paraId="569B9BDF">
      <w:pPr>
        <w:pStyle w:val="8"/>
        <w:spacing w:before="0" w:beforeAutospacing="0" w:after="0" w:afterAutospacing="0" w:line="360" w:lineRule="auto"/>
        <w:ind w:firstLine="420"/>
        <w:rPr>
          <w:sz w:val="21"/>
          <w:szCs w:val="21"/>
        </w:rPr>
      </w:pPr>
      <w:r>
        <w:rPr>
          <w:rFonts w:hint="eastAsia"/>
          <w:sz w:val="21"/>
          <w:szCs w:val="21"/>
        </w:rPr>
        <w:t>证券市场价格受到经济因素、政治因素、投资心理和交易制度等各种因素的影响，导致基金收益水平变化而产生风险，主要包括：</w:t>
      </w:r>
    </w:p>
    <w:p w14:paraId="4EEC4825">
      <w:pPr>
        <w:pStyle w:val="8"/>
        <w:spacing w:before="0" w:beforeAutospacing="0" w:after="0" w:afterAutospacing="0" w:line="360" w:lineRule="auto"/>
        <w:ind w:firstLine="420"/>
        <w:rPr>
          <w:sz w:val="21"/>
          <w:szCs w:val="21"/>
        </w:rPr>
      </w:pPr>
      <w:r>
        <w:rPr>
          <w:rFonts w:hint="eastAsia"/>
          <w:sz w:val="21"/>
          <w:szCs w:val="21"/>
        </w:rPr>
        <w:t>（1）政策风险。因国家宏观政策（如货币政策、财政政策、行业政策、地区发展政策等）发生变化，导致市场价格波动而产生风险。</w:t>
      </w:r>
    </w:p>
    <w:p w14:paraId="5181AC07">
      <w:pPr>
        <w:pStyle w:val="8"/>
        <w:spacing w:before="0" w:beforeAutospacing="0" w:after="0" w:afterAutospacing="0" w:line="360" w:lineRule="auto"/>
        <w:ind w:firstLine="420"/>
        <w:rPr>
          <w:sz w:val="21"/>
          <w:szCs w:val="21"/>
        </w:rPr>
      </w:pPr>
      <w:r>
        <w:rPr>
          <w:rFonts w:hint="eastAsia"/>
          <w:sz w:val="21"/>
          <w:szCs w:val="21"/>
        </w:rPr>
        <w:t>（2）经济周期风险。随经济运行的周期性变化，证券市场的收益水平也呈周期性变化。本基金主要投资于股票，收益水平也会随之变化，从而产生风险。</w:t>
      </w:r>
    </w:p>
    <w:p w14:paraId="637CC57A">
      <w:pPr>
        <w:pStyle w:val="8"/>
        <w:spacing w:before="0" w:beforeAutospacing="0" w:after="0" w:afterAutospacing="0" w:line="360" w:lineRule="auto"/>
        <w:ind w:firstLine="420"/>
        <w:rPr>
          <w:sz w:val="21"/>
          <w:szCs w:val="21"/>
        </w:rPr>
      </w:pPr>
      <w:r>
        <w:rPr>
          <w:rFonts w:hint="eastAsia"/>
          <w:sz w:val="21"/>
          <w:szCs w:val="21"/>
        </w:rPr>
        <w:t>（3）利率风险。利率直接影响着债券的价格和收益率，影响着企业的融资成本和利润。基金投资于债券，其收益水平会受到利率变化的影响。在利率上升时，基金持有的债券价格下降，如基金组合久期较长，则将造成基金资产的损失。</w:t>
      </w:r>
    </w:p>
    <w:p w14:paraId="597CD81C">
      <w:pPr>
        <w:pStyle w:val="8"/>
        <w:spacing w:before="0" w:beforeAutospacing="0" w:after="0" w:afterAutospacing="0" w:line="360" w:lineRule="auto"/>
        <w:ind w:firstLine="420"/>
        <w:rPr>
          <w:sz w:val="21"/>
          <w:szCs w:val="21"/>
        </w:rPr>
      </w:pPr>
      <w:r>
        <w:rPr>
          <w:rFonts w:hint="eastAsia"/>
          <w:sz w:val="21"/>
          <w:szCs w:val="21"/>
        </w:rPr>
        <w:t>（4）购买力风险。基金的利润将主要通过现金形式来分配，而现金可能因为通货膨胀的影响而导致购买力下降，从而使基金的实际收益下降。</w:t>
      </w:r>
    </w:p>
    <w:p w14:paraId="5A121B6E">
      <w:pPr>
        <w:pStyle w:val="8"/>
        <w:spacing w:before="0" w:beforeAutospacing="0" w:after="0" w:afterAutospacing="0" w:line="360" w:lineRule="auto"/>
        <w:ind w:firstLine="420"/>
        <w:rPr>
          <w:sz w:val="21"/>
          <w:szCs w:val="21"/>
        </w:rPr>
      </w:pPr>
      <w:r>
        <w:rPr>
          <w:rFonts w:hint="eastAsia"/>
          <w:sz w:val="21"/>
          <w:szCs w:val="21"/>
        </w:rPr>
        <w:t>（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w:t>
      </w:r>
    </w:p>
    <w:p w14:paraId="279BB091">
      <w:pPr>
        <w:pStyle w:val="8"/>
        <w:spacing w:before="0" w:beforeAutospacing="0" w:after="0" w:afterAutospacing="0" w:line="360" w:lineRule="auto"/>
        <w:ind w:firstLine="420"/>
        <w:rPr>
          <w:sz w:val="21"/>
          <w:szCs w:val="21"/>
        </w:rPr>
      </w:pPr>
      <w:r>
        <w:rPr>
          <w:rFonts w:hint="eastAsia"/>
          <w:sz w:val="21"/>
          <w:szCs w:val="21"/>
        </w:rPr>
        <w:t>（6）信用风险。基金所投资债券的发行人如出现违约、无法支付到期本息，或由于债券发行人信用等级降低导致债券价格下降，将造成基金资产损失。</w:t>
      </w:r>
    </w:p>
    <w:p w14:paraId="39F3C038">
      <w:pPr>
        <w:pStyle w:val="8"/>
        <w:spacing w:before="0" w:beforeAutospacing="0" w:after="0" w:afterAutospacing="0" w:line="360" w:lineRule="auto"/>
        <w:ind w:firstLine="420"/>
        <w:rPr>
          <w:sz w:val="21"/>
          <w:szCs w:val="21"/>
        </w:rPr>
      </w:pPr>
      <w:r>
        <w:rPr>
          <w:rFonts w:hint="eastAsia"/>
          <w:sz w:val="21"/>
          <w:szCs w:val="21"/>
        </w:rPr>
        <w:t>（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14:paraId="0AD6B20C">
      <w:pPr>
        <w:pStyle w:val="8"/>
        <w:spacing w:before="0" w:beforeAutospacing="0" w:after="0" w:afterAutospacing="0" w:line="360" w:lineRule="auto"/>
        <w:ind w:firstLine="420"/>
        <w:rPr>
          <w:sz w:val="21"/>
          <w:szCs w:val="21"/>
        </w:rPr>
      </w:pPr>
      <w:r>
        <w:rPr>
          <w:rFonts w:hint="eastAsia"/>
          <w:sz w:val="21"/>
          <w:szCs w:val="21"/>
        </w:rPr>
        <w:t>（8）上市公司经营风险。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w:t>
      </w:r>
    </w:p>
    <w:p w14:paraId="3BD7F47B">
      <w:pPr>
        <w:pStyle w:val="8"/>
        <w:spacing w:before="0" w:beforeAutospacing="0" w:after="0" w:afterAutospacing="0" w:line="360" w:lineRule="auto"/>
        <w:ind w:firstLine="420"/>
        <w:rPr>
          <w:sz w:val="21"/>
          <w:szCs w:val="21"/>
        </w:rPr>
      </w:pPr>
      <w:r>
        <w:rPr>
          <w:rFonts w:hint="eastAsia"/>
          <w:sz w:val="21"/>
          <w:szCs w:val="21"/>
        </w:rPr>
        <w:t>2、管理风险</w:t>
      </w:r>
    </w:p>
    <w:p w14:paraId="14326086">
      <w:pPr>
        <w:pStyle w:val="8"/>
        <w:spacing w:before="0" w:beforeAutospacing="0" w:after="0" w:afterAutospacing="0" w:line="360" w:lineRule="auto"/>
        <w:ind w:firstLine="420"/>
        <w:rPr>
          <w:sz w:val="21"/>
          <w:szCs w:val="21"/>
        </w:rPr>
      </w:pPr>
      <w:r>
        <w:rPr>
          <w:rFonts w:hint="eastAsia"/>
          <w:sz w:val="21"/>
          <w:szCs w:val="21"/>
        </w:rPr>
        <w:t>基金运作过程中由于基金投资策略、人为因素、管理系统设置不当造成操作失误或基金管理人内部失控而可能产生的损失。管理风险包括：</w:t>
      </w:r>
    </w:p>
    <w:p w14:paraId="6B7E7F3A">
      <w:pPr>
        <w:pStyle w:val="8"/>
        <w:spacing w:before="0" w:beforeAutospacing="0" w:after="0" w:afterAutospacing="0" w:line="360" w:lineRule="auto"/>
        <w:ind w:firstLine="420"/>
        <w:rPr>
          <w:sz w:val="21"/>
          <w:szCs w:val="21"/>
        </w:rPr>
      </w:pPr>
      <w:r>
        <w:rPr>
          <w:rFonts w:hint="eastAsia"/>
          <w:sz w:val="21"/>
          <w:szCs w:val="21"/>
        </w:rPr>
        <w:t>（1）决策风险：指基金投资的投资策略制定、投资决策执行和投资绩效监督检查过程中，由于决策失误而给基金资产造成的可能的损失；</w:t>
      </w:r>
    </w:p>
    <w:p w14:paraId="6530E8B1">
      <w:pPr>
        <w:pStyle w:val="8"/>
        <w:spacing w:before="0" w:beforeAutospacing="0" w:after="0" w:afterAutospacing="0" w:line="360" w:lineRule="auto"/>
        <w:ind w:firstLine="420"/>
        <w:rPr>
          <w:sz w:val="21"/>
          <w:szCs w:val="21"/>
        </w:rPr>
      </w:pPr>
      <w:r>
        <w:rPr>
          <w:rFonts w:hint="eastAsia"/>
          <w:sz w:val="21"/>
          <w:szCs w:val="21"/>
        </w:rPr>
        <w:t>（2）操作风险：指基金投资决策执行中，由于投资指令不明晰、交易操作失误等人为因素而可能导致的损失；</w:t>
      </w:r>
    </w:p>
    <w:p w14:paraId="44FA84F0">
      <w:pPr>
        <w:pStyle w:val="8"/>
        <w:spacing w:before="0" w:beforeAutospacing="0" w:after="0" w:afterAutospacing="0" w:line="360" w:lineRule="auto"/>
        <w:ind w:firstLine="420"/>
        <w:rPr>
          <w:sz w:val="21"/>
          <w:szCs w:val="21"/>
        </w:rPr>
      </w:pPr>
      <w:r>
        <w:rPr>
          <w:rFonts w:hint="eastAsia"/>
          <w:sz w:val="21"/>
          <w:szCs w:val="21"/>
        </w:rPr>
        <w:t>（3）技术风险：是指基金管理人管理信息系统设置不当等因素而可能造成的损失。</w:t>
      </w:r>
    </w:p>
    <w:p w14:paraId="5FA47C66">
      <w:pPr>
        <w:pStyle w:val="8"/>
        <w:spacing w:before="0" w:beforeAutospacing="0" w:after="0" w:afterAutospacing="0" w:line="360" w:lineRule="auto"/>
        <w:ind w:firstLine="420"/>
        <w:rPr>
          <w:sz w:val="21"/>
          <w:szCs w:val="21"/>
        </w:rPr>
      </w:pPr>
      <w:r>
        <w:rPr>
          <w:rFonts w:hint="eastAsia"/>
          <w:sz w:val="21"/>
          <w:szCs w:val="21"/>
        </w:rPr>
        <w:t>3、流动性风险</w:t>
      </w:r>
    </w:p>
    <w:p w14:paraId="0E54DC70">
      <w:pPr>
        <w:pStyle w:val="8"/>
        <w:spacing w:before="0" w:beforeAutospacing="0" w:after="0" w:afterAutospacing="0" w:line="360" w:lineRule="auto"/>
        <w:ind w:firstLine="420"/>
        <w:rPr>
          <w:sz w:val="21"/>
          <w:szCs w:val="21"/>
        </w:rPr>
      </w:pPr>
      <w:r>
        <w:rPr>
          <w:rFonts w:hint="eastAsia"/>
          <w:sz w:val="21"/>
          <w:szCs w:val="21"/>
        </w:rPr>
        <w:t>流动性风险是指因证券市场交易量不足，导致证券不能迅速、低成本地变现的风险。流动性风险还包括基金出现巨额赎回，致使没有足够的现金应付赎回支付所引致的风险。</w:t>
      </w:r>
    </w:p>
    <w:p w14:paraId="4158DCD4">
      <w:pPr>
        <w:pStyle w:val="8"/>
        <w:spacing w:before="0" w:beforeAutospacing="0" w:after="0" w:afterAutospacing="0" w:line="360" w:lineRule="auto"/>
        <w:ind w:firstLine="420"/>
        <w:rPr>
          <w:sz w:val="21"/>
          <w:szCs w:val="21"/>
        </w:rPr>
      </w:pPr>
      <w:r>
        <w:rPr>
          <w:rFonts w:hint="eastAsia"/>
          <w:sz w:val="21"/>
          <w:szCs w:val="21"/>
        </w:rPr>
        <w:t>（1）基金申购、赎回安排</w:t>
      </w:r>
    </w:p>
    <w:p w14:paraId="1308C7CE">
      <w:pPr>
        <w:pStyle w:val="8"/>
        <w:spacing w:before="0" w:beforeAutospacing="0" w:after="0" w:afterAutospacing="0" w:line="360" w:lineRule="auto"/>
        <w:ind w:firstLine="420"/>
        <w:rPr>
          <w:sz w:val="21"/>
          <w:szCs w:val="21"/>
        </w:rPr>
      </w:pPr>
      <w:r>
        <w:rPr>
          <w:rFonts w:hint="eastAsia"/>
          <w:sz w:val="21"/>
          <w:szCs w:val="21"/>
        </w:rPr>
        <w:t>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p>
    <w:p w14:paraId="75DFFEF1">
      <w:pPr>
        <w:pStyle w:val="8"/>
        <w:spacing w:before="0" w:beforeAutospacing="0" w:after="0" w:afterAutospacing="0" w:line="360" w:lineRule="auto"/>
        <w:ind w:firstLine="420"/>
        <w:rPr>
          <w:sz w:val="21"/>
          <w:szCs w:val="21"/>
        </w:rPr>
      </w:pPr>
      <w:r>
        <w:rPr>
          <w:rFonts w:hint="eastAsia"/>
          <w:sz w:val="21"/>
          <w:szCs w:val="21"/>
        </w:rPr>
        <w:t>（2）拟投资市场、行业及资产的流动性风险评估</w:t>
      </w:r>
    </w:p>
    <w:p w14:paraId="5C12848A">
      <w:pPr>
        <w:pStyle w:val="8"/>
        <w:spacing w:before="0" w:beforeAutospacing="0" w:after="0" w:afterAutospacing="0" w:line="360" w:lineRule="auto"/>
        <w:ind w:firstLine="420"/>
        <w:rPr>
          <w:sz w:val="21"/>
          <w:szCs w:val="21"/>
        </w:rPr>
      </w:pPr>
      <w:r>
        <w:rPr>
          <w:rFonts w:hint="eastAsia"/>
          <w:sz w:val="21"/>
          <w:szCs w:val="21"/>
        </w:rPr>
        <w:t>本基金主要投资于目标ETF、标的指数即</w:t>
      </w:r>
      <w:r>
        <w:rPr>
          <w:rFonts w:hint="eastAsia"/>
          <w:sz w:val="21"/>
          <w:szCs w:val="21"/>
          <w:lang w:val="en-US" w:eastAsia="zh-CN"/>
        </w:rPr>
        <w:t>国证粮食</w:t>
      </w:r>
      <w:r>
        <w:rPr>
          <w:rFonts w:hint="eastAsia"/>
          <w:sz w:val="21"/>
          <w:szCs w:val="21"/>
        </w:rPr>
        <w:t>产业指数成份股和备选成份股（含存托凭证），为更好地实现基金的投资目标，本基金可能会少量投资于依法发行上市的非成份股（包括主板、创业板及其他经中国证监会核准或注册上市的股票、存托凭证）、</w:t>
      </w:r>
      <w:r>
        <w:rPr>
          <w:rFonts w:hint="eastAsia"/>
          <w:sz w:val="21"/>
          <w:szCs w:val="21"/>
          <w:lang w:val="en-US" w:eastAsia="zh-CN"/>
        </w:rPr>
        <w:t>港股通标的股票、</w:t>
      </w:r>
      <w:r>
        <w:rPr>
          <w:rFonts w:hint="eastAsia"/>
          <w:sz w:val="21"/>
          <w:szCs w:val="21"/>
        </w:rPr>
        <w:t>债券、资产支持证券、衍生工具、债券回购和货币市场工具等，本基金拟投资市场、行业及资产的流动性良好，因此本基金投资组合资产变现能力较强。当遇到极端市场情况时，基金管理人会按照基金合同及相关法律法规要求，及时启动流动性风险应对措施，保护基金投资者的合法权益。综合评估在正常市场环境下本基金的流动性风险适中。</w:t>
      </w:r>
    </w:p>
    <w:p w14:paraId="261E2869">
      <w:pPr>
        <w:pStyle w:val="8"/>
        <w:spacing w:before="0" w:beforeAutospacing="0" w:after="0" w:afterAutospacing="0" w:line="360" w:lineRule="auto"/>
        <w:ind w:firstLine="420"/>
        <w:rPr>
          <w:sz w:val="21"/>
          <w:szCs w:val="21"/>
        </w:rPr>
      </w:pPr>
      <w:r>
        <w:rPr>
          <w:rFonts w:hint="eastAsia"/>
          <w:sz w:val="21"/>
          <w:szCs w:val="21"/>
        </w:rPr>
        <w:t>（3）巨额赎回情形下的流动性风险管理措施</w:t>
      </w:r>
    </w:p>
    <w:p w14:paraId="5C90DCAE">
      <w:pPr>
        <w:pStyle w:val="8"/>
        <w:spacing w:before="0" w:beforeAutospacing="0" w:after="0" w:afterAutospacing="0" w:line="360" w:lineRule="auto"/>
        <w:ind w:firstLine="420"/>
        <w:rPr>
          <w:sz w:val="21"/>
          <w:szCs w:val="21"/>
        </w:rPr>
      </w:pPr>
      <w:r>
        <w:rPr>
          <w:rFonts w:hint="eastAsia"/>
          <w:sz w:val="21"/>
          <w:szCs w:val="21"/>
        </w:rPr>
        <w:t>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w:t>
      </w:r>
    </w:p>
    <w:p w14:paraId="4089500B">
      <w:pPr>
        <w:pStyle w:val="8"/>
        <w:spacing w:before="0" w:beforeAutospacing="0" w:after="0" w:afterAutospacing="0" w:line="360" w:lineRule="auto"/>
        <w:ind w:firstLine="420"/>
        <w:rPr>
          <w:sz w:val="21"/>
          <w:szCs w:val="21"/>
        </w:rPr>
      </w:pPr>
      <w:r>
        <w:rPr>
          <w:rFonts w:hint="eastAsia"/>
          <w:sz w:val="21"/>
          <w:szCs w:val="21"/>
        </w:rPr>
        <w:t>（4）实施备用的流动性风险管理工具的情形、程序及对投资者的潜在影响</w:t>
      </w:r>
    </w:p>
    <w:p w14:paraId="2B19ACD6">
      <w:pPr>
        <w:pStyle w:val="8"/>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机制、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14:paraId="49C1214F">
      <w:pPr>
        <w:pStyle w:val="8"/>
        <w:spacing w:before="0" w:beforeAutospacing="0" w:after="0" w:afterAutospacing="0" w:line="360" w:lineRule="auto"/>
        <w:ind w:firstLine="420"/>
        <w:rPr>
          <w:sz w:val="21"/>
          <w:szCs w:val="21"/>
        </w:rPr>
      </w:pPr>
      <w:r>
        <w:rPr>
          <w:rFonts w:hint="eastAsia"/>
          <w:sz w:val="21"/>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14:paraId="2CA02BDB">
      <w:pPr>
        <w:pStyle w:val="8"/>
        <w:spacing w:before="0" w:beforeAutospacing="0" w:after="0" w:afterAutospacing="0" w:line="360" w:lineRule="auto"/>
        <w:ind w:firstLine="420"/>
        <w:rPr>
          <w:sz w:val="21"/>
          <w:szCs w:val="21"/>
        </w:rPr>
      </w:pPr>
      <w:r>
        <w:rPr>
          <w:rFonts w:hint="eastAsia"/>
          <w:sz w:val="21"/>
          <w:szCs w:val="21"/>
        </w:rPr>
        <w:t>4、合规性风险</w:t>
      </w:r>
    </w:p>
    <w:p w14:paraId="552A2658">
      <w:pPr>
        <w:pStyle w:val="8"/>
        <w:spacing w:before="0" w:beforeAutospacing="0" w:after="0" w:afterAutospacing="0" w:line="360" w:lineRule="auto"/>
        <w:ind w:firstLine="420"/>
        <w:rPr>
          <w:sz w:val="21"/>
          <w:szCs w:val="21"/>
        </w:rPr>
      </w:pPr>
      <w:r>
        <w:rPr>
          <w:rFonts w:hint="eastAsia"/>
          <w:sz w:val="21"/>
          <w:szCs w:val="21"/>
        </w:rPr>
        <w:t>指基金管理或运作过程中，违反国家法律、法规的规定，或者基金投资违反法规及基金合同有关规定的风险。</w:t>
      </w:r>
    </w:p>
    <w:p w14:paraId="4C7B6C12">
      <w:pPr>
        <w:pStyle w:val="8"/>
        <w:spacing w:before="0" w:beforeAutospacing="0" w:after="0" w:afterAutospacing="0" w:line="360" w:lineRule="auto"/>
        <w:ind w:firstLine="420"/>
        <w:rPr>
          <w:sz w:val="21"/>
          <w:szCs w:val="21"/>
        </w:rPr>
      </w:pPr>
      <w:r>
        <w:rPr>
          <w:rStyle w:val="12"/>
          <w:rFonts w:hint="eastAsia"/>
          <w:sz w:val="21"/>
          <w:szCs w:val="21"/>
        </w:rPr>
        <w:t>二、本基金特有的风险</w:t>
      </w:r>
    </w:p>
    <w:p w14:paraId="332B3AEF">
      <w:pPr>
        <w:pStyle w:val="8"/>
        <w:spacing w:before="0" w:beforeAutospacing="0" w:after="0" w:afterAutospacing="0" w:line="360" w:lineRule="auto"/>
        <w:ind w:firstLine="420"/>
        <w:rPr>
          <w:sz w:val="21"/>
          <w:szCs w:val="21"/>
        </w:rPr>
      </w:pPr>
      <w:r>
        <w:rPr>
          <w:rFonts w:hint="eastAsia"/>
          <w:sz w:val="21"/>
          <w:szCs w:val="21"/>
        </w:rPr>
        <w:t>1、被动投资的风险</w:t>
      </w:r>
    </w:p>
    <w:p w14:paraId="4EA42796">
      <w:pPr>
        <w:pStyle w:val="8"/>
        <w:spacing w:before="0" w:beforeAutospacing="0" w:after="0" w:afterAutospacing="0" w:line="360" w:lineRule="auto"/>
        <w:ind w:firstLine="420"/>
        <w:rPr>
          <w:sz w:val="21"/>
          <w:szCs w:val="21"/>
        </w:rPr>
      </w:pPr>
      <w:r>
        <w:rPr>
          <w:rFonts w:hint="eastAsia"/>
          <w:sz w:val="21"/>
          <w:szCs w:val="21"/>
        </w:rPr>
        <w:t>（1）标的指数的风险</w:t>
      </w:r>
    </w:p>
    <w:p w14:paraId="52382F2E">
      <w:pPr>
        <w:pStyle w:val="8"/>
        <w:spacing w:before="0" w:beforeAutospacing="0" w:after="0" w:afterAutospacing="0" w:line="360" w:lineRule="auto"/>
        <w:ind w:firstLine="420"/>
        <w:rPr>
          <w:sz w:val="21"/>
          <w:szCs w:val="21"/>
        </w:rPr>
      </w:pPr>
      <w:r>
        <w:rPr>
          <w:rFonts w:hint="eastAsia"/>
          <w:sz w:val="21"/>
          <w:szCs w:val="21"/>
        </w:rPr>
        <w:t>即标的指数因为编制方法的缺陷有可能导致标的指数的表现与总体市场表现存在差异，因标的指数编制方法的不成熟也可能导致指数调整较大，增加基金投资成本，并有可能因此而增加跟踪误差，影响投资收益。</w:t>
      </w:r>
    </w:p>
    <w:p w14:paraId="6A2F1FA7">
      <w:pPr>
        <w:pStyle w:val="8"/>
        <w:spacing w:before="0" w:beforeAutospacing="0" w:after="0" w:afterAutospacing="0" w:line="360" w:lineRule="auto"/>
        <w:ind w:firstLine="420"/>
        <w:rPr>
          <w:sz w:val="21"/>
          <w:szCs w:val="21"/>
        </w:rPr>
      </w:pPr>
      <w:r>
        <w:rPr>
          <w:rFonts w:hint="eastAsia"/>
          <w:sz w:val="21"/>
          <w:szCs w:val="21"/>
        </w:rPr>
        <w:t>（2）标的指数下跌的风险</w:t>
      </w:r>
    </w:p>
    <w:p w14:paraId="133EA6FC">
      <w:pPr>
        <w:pStyle w:val="8"/>
        <w:spacing w:before="0" w:beforeAutospacing="0" w:after="0" w:afterAutospacing="0" w:line="360" w:lineRule="auto"/>
        <w:ind w:firstLine="420"/>
        <w:rPr>
          <w:sz w:val="21"/>
          <w:szCs w:val="21"/>
        </w:rPr>
      </w:pPr>
      <w:r>
        <w:rPr>
          <w:rFonts w:hint="eastAsia"/>
          <w:sz w:val="21"/>
          <w:szCs w:val="21"/>
        </w:rPr>
        <w:t>本基金绝大部分基金资产将用于跟踪标的指数，业绩表现将会随着标的指数的波动而波动；同时本基金在多数情况下将维持较高的股票仓位，在股票市场下跌的过程中，可能面临基金净值与标的指数同步下跌的风险。</w:t>
      </w:r>
    </w:p>
    <w:p w14:paraId="2D473697">
      <w:pPr>
        <w:pStyle w:val="8"/>
        <w:spacing w:before="0" w:beforeAutospacing="0" w:after="0" w:afterAutospacing="0" w:line="360" w:lineRule="auto"/>
        <w:ind w:firstLine="420"/>
        <w:rPr>
          <w:sz w:val="21"/>
          <w:szCs w:val="21"/>
        </w:rPr>
      </w:pPr>
      <w:r>
        <w:rPr>
          <w:rFonts w:hint="eastAsia"/>
          <w:sz w:val="21"/>
          <w:szCs w:val="21"/>
        </w:rPr>
        <w:t>（3）跟踪偏离的风险</w:t>
      </w:r>
    </w:p>
    <w:p w14:paraId="2EED7B21">
      <w:pPr>
        <w:pStyle w:val="8"/>
        <w:spacing w:before="0" w:beforeAutospacing="0" w:after="0" w:afterAutospacing="0" w:line="360" w:lineRule="auto"/>
        <w:ind w:firstLine="420"/>
        <w:rPr>
          <w:sz w:val="21"/>
          <w:szCs w:val="21"/>
        </w:rPr>
      </w:pPr>
      <w:r>
        <w:rPr>
          <w:rFonts w:hint="eastAsia"/>
          <w:sz w:val="21"/>
          <w:szCs w:val="21"/>
        </w:rPr>
        <w:t>本基金投资组合收益率可能由于标的指数调整成份股或变更编制方法、成份股派发现金红利、流动性风险（成份股停牌、摘牌或流动性差等原因使本基金无法及时调整投资组合或承担较大的冲击成本）、本基金的运营费用（证券投资中的交易成本、基金管理费、托管费等）、债券投资等原因导致基金的收益率与业绩比较基准收益率发生较大偏离。</w:t>
      </w:r>
    </w:p>
    <w:p w14:paraId="5B371D33">
      <w:pPr>
        <w:pStyle w:val="8"/>
        <w:spacing w:before="0" w:beforeAutospacing="0" w:after="0" w:afterAutospacing="0" w:line="360" w:lineRule="auto"/>
        <w:ind w:firstLine="420"/>
        <w:rPr>
          <w:sz w:val="21"/>
          <w:szCs w:val="21"/>
        </w:rPr>
      </w:pPr>
      <w:r>
        <w:rPr>
          <w:rFonts w:hint="eastAsia"/>
          <w:sz w:val="21"/>
          <w:szCs w:val="21"/>
        </w:rPr>
        <w:t>（4）标的指数变更的风险</w:t>
      </w:r>
    </w:p>
    <w:p w14:paraId="2ECA5A03">
      <w:pPr>
        <w:pStyle w:val="8"/>
        <w:spacing w:before="0" w:beforeAutospacing="0" w:after="0" w:afterAutospacing="0" w:line="360" w:lineRule="auto"/>
        <w:ind w:firstLine="420"/>
        <w:rPr>
          <w:sz w:val="21"/>
          <w:szCs w:val="21"/>
        </w:rPr>
      </w:pPr>
      <w:r>
        <w:rPr>
          <w:rFonts w:hint="eastAsia"/>
          <w:sz w:val="21"/>
          <w:szCs w:val="21"/>
        </w:rPr>
        <w:t>根据基金合同的规定，因标的指数的编制与发布等原因，导致原标的指数不宜继续作为本基金的投资标的指数及业绩比较基准，本基金可能变更标的指数，基金的投资组合将随之调整，基金的收益风险特征可能发生变化，投资者还须承担投资组合调整所带来的风险与成本。</w:t>
      </w:r>
    </w:p>
    <w:p w14:paraId="76AB2857">
      <w:pPr>
        <w:pStyle w:val="8"/>
        <w:spacing w:before="0" w:beforeAutospacing="0" w:after="0" w:afterAutospacing="0" w:line="360" w:lineRule="auto"/>
        <w:ind w:firstLine="420"/>
        <w:rPr>
          <w:sz w:val="21"/>
          <w:szCs w:val="21"/>
        </w:rPr>
      </w:pPr>
      <w:r>
        <w:rPr>
          <w:rFonts w:hint="eastAsia"/>
          <w:sz w:val="21"/>
          <w:szCs w:val="21"/>
        </w:rPr>
        <w:t>（5）指数编制机构停止服务的风险</w:t>
      </w:r>
    </w:p>
    <w:p w14:paraId="6EB7FC0D">
      <w:pPr>
        <w:pStyle w:val="8"/>
        <w:spacing w:before="0" w:beforeAutospacing="0" w:after="0" w:afterAutospacing="0" w:line="360" w:lineRule="auto"/>
        <w:ind w:firstLine="420"/>
        <w:rPr>
          <w:sz w:val="21"/>
          <w:szCs w:val="21"/>
        </w:rPr>
      </w:pPr>
      <w:r>
        <w:rPr>
          <w:rFonts w:hint="eastAsia"/>
          <w:sz w:val="21"/>
          <w:szCs w:val="21"/>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转换运作方式、与其他基金合并或者终止基金合同等，并在6个月内召集基金份额持有人大会进行表决。因此，投资人将面临转换运作方式、与其他基金合并或者终止基金合同等风险。</w:t>
      </w:r>
    </w:p>
    <w:p w14:paraId="3E494C76">
      <w:pPr>
        <w:pStyle w:val="8"/>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14:paraId="585D6328">
      <w:pPr>
        <w:pStyle w:val="8"/>
        <w:spacing w:before="0" w:beforeAutospacing="0" w:after="0" w:afterAutospacing="0" w:line="360" w:lineRule="auto"/>
        <w:ind w:firstLine="420"/>
        <w:rPr>
          <w:sz w:val="21"/>
          <w:szCs w:val="21"/>
        </w:rPr>
      </w:pPr>
      <w:r>
        <w:rPr>
          <w:rFonts w:hint="eastAsia"/>
          <w:sz w:val="21"/>
          <w:szCs w:val="21"/>
        </w:rPr>
        <w:t>（6）成份股停牌的风险</w:t>
      </w:r>
    </w:p>
    <w:p w14:paraId="77C78139">
      <w:pPr>
        <w:pStyle w:val="8"/>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w:t>
      </w:r>
    </w:p>
    <w:p w14:paraId="4BEC2C40">
      <w:pPr>
        <w:pStyle w:val="8"/>
        <w:spacing w:before="0" w:beforeAutospacing="0" w:after="0" w:afterAutospacing="0" w:line="360" w:lineRule="auto"/>
        <w:ind w:firstLine="420"/>
        <w:rPr>
          <w:sz w:val="21"/>
          <w:szCs w:val="21"/>
        </w:rPr>
      </w:pPr>
      <w:r>
        <w:rPr>
          <w:rFonts w:hint="eastAsia"/>
          <w:sz w:val="21"/>
          <w:szCs w:val="21"/>
        </w:rPr>
        <w:t>1）基金可能因无法及时调整投资组合而导致跟踪偏离度和跟踪误差扩大。</w:t>
      </w:r>
    </w:p>
    <w:p w14:paraId="7B962C98">
      <w:pPr>
        <w:pStyle w:val="8"/>
        <w:spacing w:before="0" w:beforeAutospacing="0" w:after="0" w:afterAutospacing="0" w:line="360" w:lineRule="auto"/>
        <w:ind w:firstLine="420"/>
        <w:rPr>
          <w:sz w:val="21"/>
          <w:szCs w:val="21"/>
        </w:rPr>
      </w:pPr>
      <w:r>
        <w:rPr>
          <w:rFonts w:hint="eastAsia"/>
          <w:sz w:val="21"/>
          <w:szCs w:val="21"/>
        </w:rPr>
        <w:t>2）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w:t>
      </w:r>
    </w:p>
    <w:p w14:paraId="2E9F59B2">
      <w:pPr>
        <w:pStyle w:val="8"/>
        <w:spacing w:before="0" w:beforeAutospacing="0" w:after="0" w:afterAutospacing="0" w:line="360" w:lineRule="auto"/>
        <w:ind w:firstLine="420"/>
        <w:rPr>
          <w:sz w:val="21"/>
          <w:szCs w:val="21"/>
        </w:rPr>
      </w:pPr>
      <w:r>
        <w:rPr>
          <w:rFonts w:hint="eastAsia"/>
          <w:sz w:val="21"/>
          <w:szCs w:val="21"/>
        </w:rPr>
        <w:t>（7）成份股退市的风险</w:t>
      </w:r>
    </w:p>
    <w:p w14:paraId="0C6265BA">
      <w:pPr>
        <w:pStyle w:val="8"/>
        <w:spacing w:before="0" w:beforeAutospacing="0" w:after="0" w:afterAutospacing="0" w:line="360" w:lineRule="auto"/>
        <w:ind w:firstLine="420"/>
        <w:rPr>
          <w:sz w:val="21"/>
          <w:szCs w:val="21"/>
        </w:rPr>
      </w:pPr>
      <w:r>
        <w:rPr>
          <w:rFonts w:hint="eastAsia"/>
          <w:sz w:val="21"/>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p>
    <w:p w14:paraId="2A9B95EC">
      <w:pPr>
        <w:pStyle w:val="8"/>
        <w:spacing w:before="0" w:beforeAutospacing="0" w:after="0" w:afterAutospacing="0" w:line="360" w:lineRule="auto"/>
        <w:ind w:firstLine="420"/>
        <w:rPr>
          <w:rFonts w:hint="eastAsia"/>
          <w:sz w:val="21"/>
          <w:szCs w:val="21"/>
        </w:rPr>
      </w:pPr>
      <w:r>
        <w:rPr>
          <w:rFonts w:hint="eastAsia"/>
          <w:sz w:val="21"/>
          <w:szCs w:val="21"/>
        </w:rPr>
        <w:t>（8）投资于目标ETF基金带来的风险</w:t>
      </w:r>
    </w:p>
    <w:p w14:paraId="51C4E24B">
      <w:pPr>
        <w:pStyle w:val="8"/>
        <w:spacing w:before="0" w:beforeAutospacing="0" w:after="0" w:afterAutospacing="0" w:line="360" w:lineRule="auto"/>
        <w:ind w:firstLine="420"/>
        <w:rPr>
          <w:rFonts w:hint="eastAsia"/>
          <w:sz w:val="21"/>
          <w:szCs w:val="21"/>
        </w:rPr>
      </w:pPr>
      <w:r>
        <w:rPr>
          <w:rFonts w:hint="eastAsia"/>
          <w:sz w:val="21"/>
          <w:szCs w:val="21"/>
        </w:rPr>
        <w:t>由于主要投资于目标ETF，所以本基金会面临诸如目标ETF的管理风险与操作风险、目标ETF基金份额二级市场交易价格折溢价的风险、目标ETF的技术风险等风险。</w:t>
      </w:r>
    </w:p>
    <w:p w14:paraId="23AE89C6">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9</w:t>
      </w:r>
      <w:r>
        <w:rPr>
          <w:rFonts w:hint="eastAsia"/>
          <w:sz w:val="21"/>
          <w:szCs w:val="21"/>
        </w:rPr>
        <w:t>）跟踪误差控制未达约定目标的风险</w:t>
      </w:r>
    </w:p>
    <w:p w14:paraId="6F6F5773">
      <w:pPr>
        <w:pStyle w:val="8"/>
        <w:spacing w:before="0" w:beforeAutospacing="0" w:after="0" w:afterAutospacing="0" w:line="360" w:lineRule="auto"/>
        <w:ind w:firstLine="420"/>
        <w:rPr>
          <w:sz w:val="21"/>
          <w:szCs w:val="21"/>
        </w:rPr>
      </w:pPr>
      <w:r>
        <w:rPr>
          <w:rFonts w:hint="eastAsia"/>
          <w:sz w:val="21"/>
          <w:szCs w:val="21"/>
        </w:rPr>
        <w:t>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w:t>
      </w:r>
    </w:p>
    <w:p w14:paraId="527E720D">
      <w:pPr>
        <w:pStyle w:val="8"/>
        <w:spacing w:before="0" w:beforeAutospacing="0" w:after="0" w:afterAutospacing="0" w:line="360" w:lineRule="auto"/>
        <w:ind w:firstLine="420"/>
        <w:rPr>
          <w:sz w:val="21"/>
          <w:szCs w:val="21"/>
        </w:rPr>
      </w:pPr>
      <w:r>
        <w:rPr>
          <w:rFonts w:hint="eastAsia"/>
          <w:sz w:val="21"/>
          <w:szCs w:val="21"/>
        </w:rPr>
        <w:t>2、股指期货投资风险</w:t>
      </w:r>
    </w:p>
    <w:p w14:paraId="0D5CEDCA">
      <w:pPr>
        <w:pStyle w:val="8"/>
        <w:spacing w:before="0" w:beforeAutospacing="0" w:after="0" w:afterAutospacing="0" w:line="360" w:lineRule="auto"/>
        <w:ind w:firstLine="420"/>
        <w:rPr>
          <w:sz w:val="21"/>
          <w:szCs w:val="21"/>
        </w:rPr>
      </w:pPr>
      <w:r>
        <w:rPr>
          <w:rFonts w:hint="eastAsia"/>
          <w:sz w:val="21"/>
          <w:szCs w:val="21"/>
        </w:rPr>
        <w:t>本基金的投资范围包括股指期货，股指期货的主要风险包括，杠杆风险、基差风险、合约展期风险、模型风险和强制平仓风险等。</w:t>
      </w:r>
    </w:p>
    <w:p w14:paraId="66C72927">
      <w:pPr>
        <w:pStyle w:val="8"/>
        <w:spacing w:before="0" w:beforeAutospacing="0" w:after="0" w:afterAutospacing="0" w:line="360" w:lineRule="auto"/>
        <w:ind w:firstLine="420"/>
        <w:rPr>
          <w:sz w:val="21"/>
          <w:szCs w:val="21"/>
        </w:rPr>
      </w:pPr>
      <w:r>
        <w:rPr>
          <w:rFonts w:hint="eastAsia"/>
          <w:sz w:val="21"/>
          <w:szCs w:val="21"/>
        </w:rPr>
        <w:t>（1）杠杆风险</w:t>
      </w:r>
    </w:p>
    <w:p w14:paraId="51889AC7">
      <w:pPr>
        <w:pStyle w:val="8"/>
        <w:spacing w:before="0" w:beforeAutospacing="0" w:after="0" w:afterAutospacing="0" w:line="360" w:lineRule="auto"/>
        <w:ind w:firstLine="420"/>
        <w:rPr>
          <w:sz w:val="21"/>
          <w:szCs w:val="21"/>
        </w:rPr>
      </w:pPr>
      <w:r>
        <w:rPr>
          <w:rFonts w:hint="eastAsia"/>
          <w:sz w:val="21"/>
          <w:szCs w:val="21"/>
        </w:rPr>
        <w:t>股指期货投资具有高杠杆特性，因此会放大基础资产所产生的盈利或损失，加大本基金收益的波动性。</w:t>
      </w:r>
    </w:p>
    <w:p w14:paraId="10F7EF6C">
      <w:pPr>
        <w:pStyle w:val="8"/>
        <w:spacing w:before="0" w:beforeAutospacing="0" w:after="0" w:afterAutospacing="0" w:line="360" w:lineRule="auto"/>
        <w:ind w:firstLine="420"/>
        <w:rPr>
          <w:sz w:val="21"/>
          <w:szCs w:val="21"/>
        </w:rPr>
      </w:pPr>
      <w:r>
        <w:rPr>
          <w:rFonts w:hint="eastAsia"/>
          <w:sz w:val="21"/>
          <w:szCs w:val="21"/>
        </w:rPr>
        <w:t>（2）基差风险</w:t>
      </w:r>
    </w:p>
    <w:p w14:paraId="67227867">
      <w:pPr>
        <w:pStyle w:val="8"/>
        <w:spacing w:before="0" w:beforeAutospacing="0" w:after="0" w:afterAutospacing="0" w:line="360" w:lineRule="auto"/>
        <w:ind w:firstLine="420"/>
        <w:rPr>
          <w:sz w:val="21"/>
          <w:szCs w:val="21"/>
        </w:rPr>
      </w:pPr>
      <w:r>
        <w:rPr>
          <w:rFonts w:hint="eastAsia"/>
          <w:sz w:val="21"/>
          <w:szCs w:val="21"/>
        </w:rPr>
        <w:t>基差是指股票指数现货价格与股指期货价格之间的差额。若本基金运作中出现基差波动不确定性加大、基差向不利方向变动等情况，则可能对本基金投资产生影响。</w:t>
      </w:r>
    </w:p>
    <w:p w14:paraId="17359780">
      <w:pPr>
        <w:pStyle w:val="8"/>
        <w:spacing w:before="0" w:beforeAutospacing="0" w:after="0" w:afterAutospacing="0" w:line="360" w:lineRule="auto"/>
        <w:ind w:firstLine="420"/>
        <w:rPr>
          <w:sz w:val="21"/>
          <w:szCs w:val="21"/>
        </w:rPr>
      </w:pPr>
      <w:r>
        <w:rPr>
          <w:rFonts w:hint="eastAsia"/>
          <w:sz w:val="21"/>
          <w:szCs w:val="21"/>
        </w:rPr>
        <w:t>（3）合约展期风险</w:t>
      </w:r>
    </w:p>
    <w:p w14:paraId="7812CE42">
      <w:pPr>
        <w:pStyle w:val="8"/>
        <w:spacing w:before="0" w:beforeAutospacing="0" w:after="0" w:afterAutospacing="0" w:line="360" w:lineRule="auto"/>
        <w:ind w:firstLine="420"/>
        <w:rPr>
          <w:sz w:val="21"/>
          <w:szCs w:val="21"/>
        </w:rPr>
      </w:pPr>
      <w:r>
        <w:rPr>
          <w:rFonts w:hint="eastAsia"/>
          <w:sz w:val="21"/>
          <w:szCs w:val="21"/>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14:paraId="2EBB2999">
      <w:pPr>
        <w:pStyle w:val="8"/>
        <w:spacing w:before="0" w:beforeAutospacing="0" w:after="0" w:afterAutospacing="0" w:line="360" w:lineRule="auto"/>
        <w:ind w:firstLine="420"/>
        <w:rPr>
          <w:sz w:val="21"/>
          <w:szCs w:val="21"/>
        </w:rPr>
      </w:pPr>
      <w:r>
        <w:rPr>
          <w:rFonts w:hint="eastAsia"/>
          <w:sz w:val="21"/>
          <w:szCs w:val="21"/>
        </w:rPr>
        <w:t>（4）模型风险</w:t>
      </w:r>
    </w:p>
    <w:p w14:paraId="749730BE">
      <w:pPr>
        <w:pStyle w:val="8"/>
        <w:spacing w:before="0" w:beforeAutospacing="0" w:after="0" w:afterAutospacing="0" w:line="360" w:lineRule="auto"/>
        <w:ind w:firstLine="420"/>
        <w:rPr>
          <w:sz w:val="21"/>
          <w:szCs w:val="21"/>
        </w:rPr>
      </w:pPr>
      <w:r>
        <w:rPr>
          <w:rFonts w:hint="eastAsia"/>
          <w:sz w:val="21"/>
          <w:szCs w:val="21"/>
        </w:rPr>
        <w:t>股指期货合约属于虚拟投资品种，投资过程中需要通过模型进行风险定价，当投资人员使用了错误模型或者选择了不当的参数，会导致对风险或交易价格的估计错误而造成损失，损害本基金的投资收益。</w:t>
      </w:r>
    </w:p>
    <w:p w14:paraId="18B6F63E">
      <w:pPr>
        <w:pStyle w:val="8"/>
        <w:spacing w:before="0" w:beforeAutospacing="0" w:after="0" w:afterAutospacing="0" w:line="360" w:lineRule="auto"/>
        <w:ind w:firstLine="420"/>
        <w:rPr>
          <w:sz w:val="21"/>
          <w:szCs w:val="21"/>
        </w:rPr>
      </w:pPr>
      <w:r>
        <w:rPr>
          <w:rFonts w:hint="eastAsia"/>
          <w:sz w:val="21"/>
          <w:szCs w:val="21"/>
        </w:rPr>
        <w:t>（5）强制平仓的风险</w:t>
      </w:r>
    </w:p>
    <w:p w14:paraId="31923E2B">
      <w:pPr>
        <w:pStyle w:val="8"/>
        <w:spacing w:before="0" w:beforeAutospacing="0" w:after="0" w:afterAutospacing="0" w:line="360" w:lineRule="auto"/>
        <w:ind w:firstLine="420"/>
        <w:rPr>
          <w:sz w:val="21"/>
          <w:szCs w:val="21"/>
        </w:rPr>
      </w:pPr>
      <w:r>
        <w:rPr>
          <w:rFonts w:hint="eastAsia"/>
          <w:sz w:val="21"/>
          <w:szCs w:val="21"/>
        </w:rPr>
        <w:t>股指期货采用每日无负债结算制度，如果没有在规定的时间内补足保证金，按规定将被强制平仓，可能给投资带来重大损失。</w:t>
      </w:r>
    </w:p>
    <w:p w14:paraId="11A6B97C">
      <w:pPr>
        <w:pStyle w:val="8"/>
        <w:spacing w:before="0" w:beforeAutospacing="0" w:after="0" w:afterAutospacing="0" w:line="360" w:lineRule="auto"/>
        <w:ind w:firstLine="420"/>
        <w:rPr>
          <w:sz w:val="21"/>
          <w:szCs w:val="21"/>
        </w:rPr>
      </w:pPr>
      <w:r>
        <w:rPr>
          <w:rFonts w:hint="eastAsia"/>
          <w:sz w:val="21"/>
          <w:szCs w:val="21"/>
        </w:rPr>
        <w:t>3、国债期货投资风险</w:t>
      </w:r>
    </w:p>
    <w:p w14:paraId="604AD559">
      <w:pPr>
        <w:pStyle w:val="8"/>
        <w:spacing w:before="0" w:beforeAutospacing="0" w:after="0" w:afterAutospacing="0" w:line="360" w:lineRule="auto"/>
        <w:ind w:firstLine="420"/>
        <w:rPr>
          <w:sz w:val="21"/>
          <w:szCs w:val="21"/>
        </w:rPr>
      </w:pPr>
      <w:r>
        <w:rPr>
          <w:rFonts w:hint="eastAsia"/>
          <w:sz w:val="21"/>
          <w:szCs w:val="21"/>
        </w:rPr>
        <w:t>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14:paraId="41C0A8FE">
      <w:pPr>
        <w:pStyle w:val="8"/>
        <w:spacing w:before="0" w:beforeAutospacing="0" w:after="0" w:afterAutospacing="0" w:line="360" w:lineRule="auto"/>
        <w:ind w:firstLine="420"/>
        <w:rPr>
          <w:sz w:val="21"/>
          <w:szCs w:val="21"/>
        </w:rPr>
      </w:pPr>
      <w:r>
        <w:rPr>
          <w:rFonts w:hint="eastAsia"/>
          <w:sz w:val="21"/>
          <w:szCs w:val="21"/>
        </w:rPr>
        <w:t>4、股票期权投资风险</w:t>
      </w:r>
    </w:p>
    <w:p w14:paraId="40FD6F9A">
      <w:pPr>
        <w:pStyle w:val="8"/>
        <w:spacing w:before="0" w:beforeAutospacing="0" w:after="0" w:afterAutospacing="0" w:line="360" w:lineRule="auto"/>
        <w:ind w:firstLine="420"/>
        <w:rPr>
          <w:sz w:val="21"/>
          <w:szCs w:val="21"/>
        </w:rPr>
      </w:pPr>
      <w:r>
        <w:rPr>
          <w:rFonts w:hint="eastAsia"/>
          <w:sz w:val="21"/>
          <w:szCs w:val="21"/>
        </w:rPr>
        <w:t>（1）流动性风险：由于股票期权合约众多，交易较为分散，股票期权市场的流动性一般较期货市场要低，尤其是深度实值和虚值的股票期权，成交量稀少，持有这些股票期权的投资者容易遇到无法成交、平仓出局的局面。</w:t>
      </w:r>
    </w:p>
    <w:p w14:paraId="2E4EEA80">
      <w:pPr>
        <w:pStyle w:val="8"/>
        <w:spacing w:before="0" w:beforeAutospacing="0" w:after="0" w:afterAutospacing="0" w:line="360" w:lineRule="auto"/>
        <w:ind w:firstLine="420"/>
        <w:rPr>
          <w:sz w:val="21"/>
          <w:szCs w:val="21"/>
        </w:rPr>
      </w:pPr>
      <w:r>
        <w:rPr>
          <w:rFonts w:hint="eastAsia"/>
          <w:sz w:val="21"/>
          <w:szCs w:val="21"/>
        </w:rPr>
        <w:t>（2）价格风险：股票期权买方的价格风险即为他所付出的权利金，风险具有确定性。股票期权卖方的价格风险不定，不过其所收取的权利金可以提供相应保护，当发生亏损时，可以抵消部分损失。</w:t>
      </w:r>
    </w:p>
    <w:p w14:paraId="40E3D225">
      <w:pPr>
        <w:pStyle w:val="8"/>
        <w:spacing w:before="0" w:beforeAutospacing="0" w:after="0" w:afterAutospacing="0" w:line="360" w:lineRule="auto"/>
        <w:ind w:firstLine="420"/>
        <w:rPr>
          <w:sz w:val="21"/>
          <w:szCs w:val="21"/>
        </w:rPr>
      </w:pPr>
      <w:r>
        <w:rPr>
          <w:rFonts w:hint="eastAsia"/>
          <w:sz w:val="21"/>
          <w:szCs w:val="21"/>
        </w:rPr>
        <w:t>（3）操作风险：操作风险是指由于管理不善或者制度执行出现问题等原因所导致的风险。股票期权作为一种衍生品，虽然可以用来管理风险，但若使用不当，也会产生巨额损失。</w:t>
      </w:r>
    </w:p>
    <w:p w14:paraId="6D347F70">
      <w:pPr>
        <w:pStyle w:val="8"/>
        <w:spacing w:before="0" w:beforeAutospacing="0" w:after="0" w:afterAutospacing="0" w:line="360" w:lineRule="auto"/>
        <w:ind w:firstLine="420"/>
        <w:rPr>
          <w:sz w:val="21"/>
          <w:szCs w:val="21"/>
        </w:rPr>
      </w:pPr>
      <w:r>
        <w:rPr>
          <w:rFonts w:hint="eastAsia"/>
          <w:sz w:val="21"/>
          <w:szCs w:val="21"/>
        </w:rPr>
        <w:t>5、资产支持证券（ABS）的投资风险</w:t>
      </w:r>
    </w:p>
    <w:p w14:paraId="0A9C4A66">
      <w:pPr>
        <w:pStyle w:val="8"/>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5F673CDC">
      <w:pPr>
        <w:pStyle w:val="8"/>
        <w:spacing w:before="0" w:beforeAutospacing="0" w:after="0" w:afterAutospacing="0" w:line="360" w:lineRule="auto"/>
        <w:ind w:firstLine="420"/>
        <w:rPr>
          <w:sz w:val="21"/>
          <w:szCs w:val="21"/>
        </w:rPr>
      </w:pPr>
      <w:r>
        <w:rPr>
          <w:rFonts w:hint="eastAsia"/>
          <w:sz w:val="21"/>
          <w:szCs w:val="21"/>
        </w:rPr>
        <w:t>6、港股通机制下，港股投资风险</w:t>
      </w:r>
    </w:p>
    <w:p w14:paraId="26F82423">
      <w:pPr>
        <w:pStyle w:val="8"/>
        <w:spacing w:before="0" w:beforeAutospacing="0" w:after="0" w:afterAutospacing="0" w:line="360" w:lineRule="auto"/>
        <w:ind w:firstLine="420"/>
        <w:rPr>
          <w:sz w:val="21"/>
          <w:szCs w:val="21"/>
        </w:rPr>
      </w:pPr>
      <w:r>
        <w:rPr>
          <w:rFonts w:hint="eastAsia"/>
          <w:sz w:val="21"/>
          <w:szCs w:val="21"/>
        </w:rPr>
        <w:t>本基金可少量投资港股通标的股票，除与其他投资于内地市场股票的基金所面临的共同风险外，本基金还面临港股通机制下因投资环境、投资者结构、投资标的构成、市场制度以及交易规则等差异所带来的特有风险，包括但不限于：</w:t>
      </w:r>
    </w:p>
    <w:p w14:paraId="589AF6AA">
      <w:pPr>
        <w:pStyle w:val="8"/>
        <w:spacing w:before="0" w:beforeAutospacing="0" w:after="0" w:afterAutospacing="0" w:line="360" w:lineRule="auto"/>
        <w:ind w:firstLine="420"/>
        <w:rPr>
          <w:sz w:val="21"/>
          <w:szCs w:val="21"/>
        </w:rPr>
      </w:pPr>
      <w:r>
        <w:rPr>
          <w:rFonts w:hint="eastAsia"/>
          <w:sz w:val="21"/>
          <w:szCs w:val="21"/>
        </w:rPr>
        <w:t>（1）市场联动的风险</w:t>
      </w:r>
    </w:p>
    <w:p w14:paraId="38C6239B">
      <w:pPr>
        <w:pStyle w:val="8"/>
        <w:spacing w:before="0" w:beforeAutospacing="0" w:after="0" w:afterAutospacing="0" w:line="360" w:lineRule="auto"/>
        <w:ind w:firstLine="420"/>
        <w:rPr>
          <w:sz w:val="21"/>
          <w:szCs w:val="21"/>
        </w:rPr>
      </w:pPr>
      <w:r>
        <w:rPr>
          <w:rFonts w:hint="eastAsia"/>
          <w:sz w:val="21"/>
          <w:szCs w:val="21"/>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w:t>
      </w:r>
    </w:p>
    <w:p w14:paraId="59CDD236">
      <w:pPr>
        <w:pStyle w:val="8"/>
        <w:spacing w:before="0" w:beforeAutospacing="0" w:after="0" w:afterAutospacing="0" w:line="360" w:lineRule="auto"/>
        <w:ind w:firstLine="420"/>
        <w:rPr>
          <w:sz w:val="21"/>
          <w:szCs w:val="21"/>
        </w:rPr>
      </w:pPr>
      <w:r>
        <w:rPr>
          <w:rFonts w:hint="eastAsia"/>
          <w:sz w:val="21"/>
          <w:szCs w:val="21"/>
        </w:rPr>
        <w:t>（2）股价波动的风险</w:t>
      </w:r>
    </w:p>
    <w:p w14:paraId="75C9F083">
      <w:pPr>
        <w:pStyle w:val="8"/>
        <w:spacing w:before="0" w:beforeAutospacing="0" w:after="0" w:afterAutospacing="0" w:line="360" w:lineRule="auto"/>
        <w:ind w:firstLine="420"/>
        <w:rPr>
          <w:sz w:val="21"/>
          <w:szCs w:val="21"/>
        </w:rPr>
      </w:pPr>
      <w:r>
        <w:rPr>
          <w:rFonts w:hint="eastAsia"/>
          <w:sz w:val="21"/>
          <w:szCs w:val="21"/>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14:paraId="4E5A0456">
      <w:pPr>
        <w:pStyle w:val="8"/>
        <w:spacing w:before="0" w:beforeAutospacing="0" w:after="0" w:afterAutospacing="0" w:line="360" w:lineRule="auto"/>
        <w:ind w:firstLine="420"/>
        <w:rPr>
          <w:sz w:val="21"/>
          <w:szCs w:val="21"/>
        </w:rPr>
      </w:pPr>
      <w:r>
        <w:rPr>
          <w:rFonts w:hint="eastAsia"/>
          <w:sz w:val="21"/>
          <w:szCs w:val="21"/>
        </w:rPr>
        <w:t>（3）汇率风险</w:t>
      </w:r>
    </w:p>
    <w:p w14:paraId="53917011">
      <w:pPr>
        <w:pStyle w:val="8"/>
        <w:spacing w:before="0" w:beforeAutospacing="0" w:after="0" w:afterAutospacing="0" w:line="360" w:lineRule="auto"/>
        <w:ind w:firstLine="420"/>
        <w:rPr>
          <w:sz w:val="21"/>
          <w:szCs w:val="21"/>
        </w:rPr>
      </w:pPr>
      <w:r>
        <w:rPr>
          <w:rFonts w:hint="eastAsia"/>
          <w:sz w:val="21"/>
          <w:szCs w:val="21"/>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14:paraId="71EF9388">
      <w:pPr>
        <w:pStyle w:val="8"/>
        <w:spacing w:before="0" w:beforeAutospacing="0" w:after="0" w:afterAutospacing="0" w:line="360" w:lineRule="auto"/>
        <w:ind w:firstLine="420"/>
        <w:rPr>
          <w:sz w:val="21"/>
          <w:szCs w:val="21"/>
        </w:rPr>
      </w:pPr>
      <w:r>
        <w:rPr>
          <w:rFonts w:hint="eastAsia"/>
          <w:sz w:val="21"/>
          <w:szCs w:val="21"/>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14:paraId="262B9D7E">
      <w:pPr>
        <w:pStyle w:val="8"/>
        <w:spacing w:before="0" w:beforeAutospacing="0" w:after="0" w:afterAutospacing="0" w:line="360" w:lineRule="auto"/>
        <w:ind w:firstLine="420"/>
        <w:rPr>
          <w:sz w:val="21"/>
          <w:szCs w:val="21"/>
        </w:rPr>
      </w:pPr>
      <w:r>
        <w:rPr>
          <w:rFonts w:hint="eastAsia"/>
          <w:sz w:val="21"/>
          <w:szCs w:val="21"/>
        </w:rPr>
        <w:t>（4）港股通额度限制</w:t>
      </w:r>
    </w:p>
    <w:p w14:paraId="4FC3B728">
      <w:pPr>
        <w:pStyle w:val="8"/>
        <w:spacing w:before="0" w:beforeAutospacing="0" w:after="0" w:afterAutospacing="0" w:line="360" w:lineRule="auto"/>
        <w:ind w:firstLine="420"/>
        <w:rPr>
          <w:sz w:val="21"/>
          <w:szCs w:val="21"/>
        </w:rPr>
      </w:pPr>
      <w:r>
        <w:rPr>
          <w:rFonts w:hint="eastAsia"/>
          <w:sz w:val="21"/>
          <w:szCs w:val="21"/>
        </w:rPr>
        <w:t>现行的港股通规则，对港股通设有每日额度上限的限制；本基金可能因为港股通市场每日额度不足，而不能买入看好之投资标的进而错失投资机会的风险。</w:t>
      </w:r>
    </w:p>
    <w:p w14:paraId="4EB89178">
      <w:pPr>
        <w:pStyle w:val="8"/>
        <w:spacing w:before="0" w:beforeAutospacing="0" w:after="0" w:afterAutospacing="0" w:line="360" w:lineRule="auto"/>
        <w:ind w:firstLine="420"/>
        <w:rPr>
          <w:sz w:val="21"/>
          <w:szCs w:val="21"/>
        </w:rPr>
      </w:pPr>
      <w:r>
        <w:rPr>
          <w:rFonts w:hint="eastAsia"/>
          <w:sz w:val="21"/>
          <w:szCs w:val="21"/>
        </w:rPr>
        <w:t>（5）港股通可投资标的范围调整带来的风险</w:t>
      </w:r>
    </w:p>
    <w:p w14:paraId="68736D47">
      <w:pPr>
        <w:pStyle w:val="8"/>
        <w:spacing w:before="0" w:beforeAutospacing="0" w:after="0" w:afterAutospacing="0" w:line="360" w:lineRule="auto"/>
        <w:ind w:firstLine="420"/>
        <w:rPr>
          <w:sz w:val="21"/>
          <w:szCs w:val="21"/>
        </w:rPr>
      </w:pPr>
      <w:r>
        <w:rPr>
          <w:rFonts w:hint="eastAsia"/>
          <w:sz w:val="21"/>
          <w:szCs w:val="21"/>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14:paraId="4B87C942">
      <w:pPr>
        <w:pStyle w:val="8"/>
        <w:spacing w:before="0" w:beforeAutospacing="0" w:after="0" w:afterAutospacing="0" w:line="360" w:lineRule="auto"/>
        <w:ind w:firstLine="420"/>
        <w:rPr>
          <w:sz w:val="21"/>
          <w:szCs w:val="21"/>
        </w:rPr>
      </w:pPr>
      <w:r>
        <w:rPr>
          <w:rFonts w:hint="eastAsia"/>
          <w:sz w:val="21"/>
          <w:szCs w:val="21"/>
        </w:rPr>
        <w:t>（6）港股通交易日设定的风险</w:t>
      </w:r>
    </w:p>
    <w:p w14:paraId="6EFF99E2">
      <w:pPr>
        <w:pStyle w:val="8"/>
        <w:spacing w:before="0" w:beforeAutospacing="0" w:after="0" w:afterAutospacing="0" w:line="360" w:lineRule="auto"/>
        <w:ind w:firstLine="420"/>
        <w:rPr>
          <w:sz w:val="21"/>
          <w:szCs w:val="21"/>
        </w:rPr>
      </w:pPr>
      <w:r>
        <w:rPr>
          <w:rFonts w:hint="eastAsia"/>
          <w:sz w:val="21"/>
          <w:szCs w:val="21"/>
        </w:rPr>
        <w:t>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14:paraId="7775E055">
      <w:pPr>
        <w:pStyle w:val="8"/>
        <w:spacing w:before="0" w:beforeAutospacing="0" w:after="0" w:afterAutospacing="0" w:line="360" w:lineRule="auto"/>
        <w:ind w:firstLine="420"/>
        <w:rPr>
          <w:sz w:val="21"/>
          <w:szCs w:val="21"/>
        </w:rPr>
      </w:pPr>
      <w:r>
        <w:rPr>
          <w:rFonts w:hint="eastAsia"/>
          <w:sz w:val="21"/>
          <w:szCs w:val="21"/>
        </w:rPr>
        <w:t>（7）交收制度带来的基金流动性风险</w:t>
      </w:r>
    </w:p>
    <w:p w14:paraId="2D55F1C1">
      <w:pPr>
        <w:pStyle w:val="8"/>
        <w:spacing w:before="0" w:beforeAutospacing="0" w:after="0" w:afterAutospacing="0" w:line="360" w:lineRule="auto"/>
        <w:ind w:firstLine="420"/>
        <w:rPr>
          <w:sz w:val="21"/>
          <w:szCs w:val="21"/>
        </w:rPr>
      </w:pPr>
      <w:r>
        <w:rPr>
          <w:rFonts w:hint="eastAsia"/>
          <w:sz w:val="21"/>
          <w:szCs w:val="21"/>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14:paraId="5CBC9FFE">
      <w:pPr>
        <w:pStyle w:val="8"/>
        <w:spacing w:before="0" w:beforeAutospacing="0" w:after="0" w:afterAutospacing="0" w:line="360" w:lineRule="auto"/>
        <w:ind w:firstLine="420"/>
        <w:rPr>
          <w:sz w:val="21"/>
          <w:szCs w:val="21"/>
        </w:rPr>
      </w:pPr>
      <w:r>
        <w:rPr>
          <w:rFonts w:hint="eastAsia"/>
          <w:sz w:val="21"/>
          <w:szCs w:val="21"/>
        </w:rPr>
        <w:t>（8）港股通下对公司行为的处理规则带来的风险</w:t>
      </w:r>
    </w:p>
    <w:p w14:paraId="7F061694">
      <w:pPr>
        <w:pStyle w:val="8"/>
        <w:spacing w:before="0" w:beforeAutospacing="0" w:after="0" w:afterAutospacing="0" w:line="360" w:lineRule="auto"/>
        <w:ind w:firstLine="420"/>
        <w:rPr>
          <w:sz w:val="21"/>
          <w:szCs w:val="21"/>
        </w:rPr>
      </w:pPr>
      <w:r>
        <w:rPr>
          <w:rFonts w:hint="eastAsia"/>
          <w:sz w:val="21"/>
          <w:szCs w:val="21"/>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14:paraId="2DC029BB">
      <w:pPr>
        <w:pStyle w:val="8"/>
        <w:spacing w:before="0" w:beforeAutospacing="0" w:after="0" w:afterAutospacing="0" w:line="360" w:lineRule="auto"/>
        <w:ind w:firstLine="420"/>
        <w:rPr>
          <w:sz w:val="21"/>
          <w:szCs w:val="21"/>
        </w:rPr>
      </w:pPr>
      <w:r>
        <w:rPr>
          <w:rFonts w:hint="eastAsia"/>
          <w:sz w:val="21"/>
          <w:szCs w:val="21"/>
        </w:rPr>
        <w:t>本基金存在因上述规则，利益得不到最大化甚至受损的风险。</w:t>
      </w:r>
    </w:p>
    <w:p w14:paraId="6BFE9BE1">
      <w:pPr>
        <w:pStyle w:val="8"/>
        <w:spacing w:before="0" w:beforeAutospacing="0" w:after="0" w:afterAutospacing="0" w:line="360" w:lineRule="auto"/>
        <w:ind w:firstLine="420"/>
        <w:rPr>
          <w:sz w:val="21"/>
          <w:szCs w:val="21"/>
        </w:rPr>
      </w:pPr>
      <w:r>
        <w:rPr>
          <w:rFonts w:hint="eastAsia"/>
          <w:sz w:val="21"/>
          <w:szCs w:val="21"/>
        </w:rPr>
        <w:t>（9）香港联合交易所停牌、退市等制度性差异带来的风险</w:t>
      </w:r>
    </w:p>
    <w:p w14:paraId="7ACB9677">
      <w:pPr>
        <w:pStyle w:val="8"/>
        <w:spacing w:before="0" w:beforeAutospacing="0" w:after="0" w:afterAutospacing="0" w:line="360" w:lineRule="auto"/>
        <w:ind w:firstLine="420"/>
        <w:rPr>
          <w:sz w:val="21"/>
          <w:szCs w:val="21"/>
        </w:rPr>
      </w:pPr>
      <w:r>
        <w:rPr>
          <w:rFonts w:hint="eastAsia"/>
          <w:sz w:val="21"/>
          <w:szCs w:val="21"/>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14:paraId="15E23A41">
      <w:pPr>
        <w:pStyle w:val="8"/>
        <w:spacing w:before="0" w:beforeAutospacing="0" w:after="0" w:afterAutospacing="0" w:line="360" w:lineRule="auto"/>
        <w:ind w:firstLine="420"/>
        <w:rPr>
          <w:sz w:val="21"/>
          <w:szCs w:val="21"/>
        </w:rPr>
      </w:pPr>
      <w:r>
        <w:rPr>
          <w:rFonts w:hint="eastAsia"/>
          <w:sz w:val="21"/>
          <w:szCs w:val="21"/>
        </w:rPr>
        <w:t>因该等制度性差异，本基金可能存在因所持个股遭遇非预期性的停牌甚至退市而给基金带来损失的风险。</w:t>
      </w:r>
    </w:p>
    <w:p w14:paraId="72D58B85">
      <w:pPr>
        <w:pStyle w:val="8"/>
        <w:spacing w:before="0" w:beforeAutospacing="0" w:after="0" w:afterAutospacing="0" w:line="360" w:lineRule="auto"/>
        <w:ind w:firstLine="420"/>
        <w:rPr>
          <w:sz w:val="21"/>
          <w:szCs w:val="21"/>
        </w:rPr>
      </w:pPr>
      <w:r>
        <w:rPr>
          <w:rFonts w:hint="eastAsia"/>
          <w:sz w:val="21"/>
          <w:szCs w:val="21"/>
        </w:rPr>
        <w:t>（10）港股通规则变动带来的风险</w:t>
      </w:r>
    </w:p>
    <w:p w14:paraId="205EB931">
      <w:pPr>
        <w:pStyle w:val="8"/>
        <w:spacing w:before="0" w:beforeAutospacing="0" w:after="0" w:afterAutospacing="0" w:line="360" w:lineRule="auto"/>
        <w:ind w:firstLine="420"/>
        <w:rPr>
          <w:sz w:val="21"/>
          <w:szCs w:val="21"/>
        </w:rPr>
      </w:pPr>
      <w:r>
        <w:rPr>
          <w:rFonts w:hint="eastAsia"/>
          <w:sz w:val="21"/>
          <w:szCs w:val="21"/>
        </w:rPr>
        <w:t>本基金是在港股通机制和规则下参与香港联交所证券的投资，受港股通规则的限制和影响；本基金存在因港股通规则变动而带来基金投资受阻或所持资产组合价值发生波动的风险。</w:t>
      </w:r>
    </w:p>
    <w:p w14:paraId="790469AC">
      <w:pPr>
        <w:pStyle w:val="8"/>
        <w:spacing w:before="0" w:beforeAutospacing="0" w:after="0" w:afterAutospacing="0" w:line="360" w:lineRule="auto"/>
        <w:ind w:firstLine="420"/>
        <w:rPr>
          <w:sz w:val="21"/>
          <w:szCs w:val="21"/>
        </w:rPr>
      </w:pPr>
      <w:r>
        <w:rPr>
          <w:rFonts w:hint="eastAsia"/>
          <w:sz w:val="21"/>
          <w:szCs w:val="21"/>
        </w:rPr>
        <w:t>（11）其他可能的风险</w:t>
      </w:r>
    </w:p>
    <w:p w14:paraId="324FF4E4">
      <w:pPr>
        <w:pStyle w:val="8"/>
        <w:spacing w:before="0" w:beforeAutospacing="0" w:after="0" w:afterAutospacing="0" w:line="360" w:lineRule="auto"/>
        <w:ind w:firstLine="420"/>
        <w:rPr>
          <w:sz w:val="21"/>
          <w:szCs w:val="21"/>
        </w:rPr>
      </w:pPr>
      <w:r>
        <w:rPr>
          <w:rFonts w:hint="eastAsia"/>
          <w:sz w:val="21"/>
          <w:szCs w:val="21"/>
        </w:rPr>
        <w:t>除上述显著风险外，本基金参与港股通投资，还可能面临的其他风险，包括但不限于：</w:t>
      </w:r>
    </w:p>
    <w:p w14:paraId="6343ABEB">
      <w:pPr>
        <w:pStyle w:val="8"/>
        <w:spacing w:before="0" w:beforeAutospacing="0" w:after="0" w:afterAutospacing="0" w:line="360" w:lineRule="auto"/>
        <w:ind w:firstLine="420"/>
        <w:rPr>
          <w:sz w:val="21"/>
          <w:szCs w:val="21"/>
        </w:rPr>
      </w:pPr>
      <w:r>
        <w:rPr>
          <w:rFonts w:hint="eastAsia"/>
          <w:sz w:val="21"/>
          <w:szCs w:val="21"/>
        </w:rPr>
        <w:t>1）除因股票交易而发生的佣金、交易征费、交易费、交易系统费、印花税、过户费等税费外，在不进行交易时也可能要继续缴纳证券组合费等项费用，本基金存在因费用估算不准而导致账户透支的风险；</w:t>
      </w:r>
    </w:p>
    <w:p w14:paraId="75492BB4">
      <w:pPr>
        <w:pStyle w:val="8"/>
        <w:spacing w:before="0" w:beforeAutospacing="0" w:after="0" w:afterAutospacing="0" w:line="360" w:lineRule="auto"/>
        <w:ind w:firstLine="420"/>
        <w:rPr>
          <w:sz w:val="21"/>
          <w:szCs w:val="21"/>
        </w:rPr>
      </w:pPr>
      <w:r>
        <w:rPr>
          <w:rFonts w:hint="eastAsia"/>
          <w:sz w:val="21"/>
          <w:szCs w:val="21"/>
        </w:rPr>
        <w:t>2）在香港市场，部分中小市值港股成交量则相对较少，流动性较为缺乏，本基金投资此类股票可能因缺乏交易对手而面临个股流动性风险；</w:t>
      </w:r>
    </w:p>
    <w:p w14:paraId="67142D27">
      <w:pPr>
        <w:pStyle w:val="8"/>
        <w:spacing w:before="0" w:beforeAutospacing="0" w:after="0" w:afterAutospacing="0" w:line="360" w:lineRule="auto"/>
        <w:ind w:firstLine="420"/>
        <w:rPr>
          <w:sz w:val="21"/>
          <w:szCs w:val="21"/>
        </w:rPr>
      </w:pPr>
      <w:r>
        <w:rPr>
          <w:rFonts w:hint="eastAsia"/>
          <w:sz w:val="21"/>
          <w:szCs w:val="21"/>
        </w:rPr>
        <w:t>3）在本基金参与港股通交易中若香港联交所与内地交易所的证券交易服务公司之间的报盘系统或者通信链路出现故障，可能导致15分钟以上不能申报和撤销申报的交易中断风险；</w:t>
      </w:r>
    </w:p>
    <w:p w14:paraId="608CEA43">
      <w:pPr>
        <w:pStyle w:val="8"/>
        <w:spacing w:before="0" w:beforeAutospacing="0" w:after="0" w:afterAutospacing="0" w:line="360" w:lineRule="auto"/>
        <w:ind w:firstLine="420"/>
        <w:rPr>
          <w:sz w:val="21"/>
          <w:szCs w:val="21"/>
        </w:rPr>
      </w:pPr>
      <w:r>
        <w:rPr>
          <w:rFonts w:hint="eastAsia"/>
          <w:sz w:val="21"/>
          <w:szCs w:val="21"/>
        </w:rPr>
        <w:t>4）存在港股通香港结算机构因极端情况下无法交付证券和资金的结算风险；另外港股通境内结算实施分级结算原则，本基金可能面临 以下风险：①因结算参与人未完成与中国结算的集中交收，导致本基金应收资金或证券被暂不交付或处置；②结算参与人对本基金出现交收违约导致本基金未能取得应收证券或资金；③结算参与人向中国结算发送的有关本基金的证券划付指令有误的导致本基金权益受损；④其他因结算参与人未遵守相关业务规则导致本基金利益受到损害的情况。</w:t>
      </w:r>
    </w:p>
    <w:p w14:paraId="21E152D6">
      <w:pPr>
        <w:pStyle w:val="8"/>
        <w:spacing w:before="0" w:beforeAutospacing="0" w:after="0" w:afterAutospacing="0" w:line="360" w:lineRule="auto"/>
        <w:ind w:firstLine="420"/>
        <w:rPr>
          <w:sz w:val="21"/>
          <w:szCs w:val="21"/>
        </w:rPr>
      </w:pPr>
      <w:r>
        <w:rPr>
          <w:rFonts w:hint="eastAsia"/>
          <w:sz w:val="21"/>
          <w:szCs w:val="21"/>
        </w:rPr>
        <w:t>本基金可根据投资策略需要或不同配置地市场环境的变化，选择将部分基金资产投资于港股或选择不将基金资产投资于港股，基金资产并非必然投资港股。</w:t>
      </w:r>
    </w:p>
    <w:p w14:paraId="75B9656E">
      <w:pPr>
        <w:pStyle w:val="8"/>
        <w:spacing w:before="0" w:beforeAutospacing="0" w:after="0" w:afterAutospacing="0" w:line="360" w:lineRule="auto"/>
        <w:ind w:firstLine="420"/>
        <w:rPr>
          <w:sz w:val="21"/>
          <w:szCs w:val="21"/>
        </w:rPr>
      </w:pPr>
      <w:r>
        <w:rPr>
          <w:rFonts w:hint="eastAsia"/>
          <w:sz w:val="21"/>
          <w:szCs w:val="21"/>
        </w:rPr>
        <w:t>7、新股申购风险</w:t>
      </w:r>
    </w:p>
    <w:p w14:paraId="71A6F41F">
      <w:pPr>
        <w:pStyle w:val="8"/>
        <w:spacing w:before="0" w:beforeAutospacing="0" w:after="0" w:afterAutospacing="0" w:line="360" w:lineRule="auto"/>
        <w:ind w:firstLine="420"/>
        <w:rPr>
          <w:sz w:val="21"/>
          <w:szCs w:val="21"/>
        </w:rPr>
      </w:pPr>
      <w:r>
        <w:rPr>
          <w:rFonts w:hint="eastAsia"/>
          <w:sz w:val="21"/>
          <w:szCs w:val="21"/>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w:t>
      </w:r>
    </w:p>
    <w:p w14:paraId="3AD9FFB7">
      <w:pPr>
        <w:pStyle w:val="8"/>
        <w:spacing w:before="0" w:beforeAutospacing="0" w:after="0" w:afterAutospacing="0" w:line="360" w:lineRule="auto"/>
        <w:ind w:firstLine="420"/>
        <w:rPr>
          <w:sz w:val="21"/>
          <w:szCs w:val="21"/>
        </w:rPr>
      </w:pPr>
      <w:r>
        <w:rPr>
          <w:rFonts w:hint="eastAsia"/>
          <w:sz w:val="21"/>
          <w:szCs w:val="21"/>
        </w:rPr>
        <w:t>8、融资及转融通证券出借业务的主要风险</w:t>
      </w:r>
    </w:p>
    <w:p w14:paraId="1F5AF947">
      <w:pPr>
        <w:pStyle w:val="8"/>
        <w:spacing w:before="0" w:beforeAutospacing="0" w:after="0" w:afterAutospacing="0" w:line="360" w:lineRule="auto"/>
        <w:ind w:firstLine="420"/>
        <w:rPr>
          <w:sz w:val="21"/>
          <w:szCs w:val="21"/>
        </w:rPr>
      </w:pPr>
      <w:r>
        <w:rPr>
          <w:rFonts w:hint="eastAsia"/>
          <w:sz w:val="21"/>
          <w:szCs w:val="21"/>
        </w:rPr>
        <w:t>（1）流动性风险</w:t>
      </w:r>
    </w:p>
    <w:p w14:paraId="13B316E0">
      <w:pPr>
        <w:pStyle w:val="8"/>
        <w:spacing w:before="0" w:beforeAutospacing="0" w:after="0" w:afterAutospacing="0" w:line="360" w:lineRule="auto"/>
        <w:ind w:firstLine="420"/>
        <w:rPr>
          <w:sz w:val="21"/>
          <w:szCs w:val="21"/>
        </w:rPr>
      </w:pPr>
      <w:r>
        <w:rPr>
          <w:rFonts w:hint="eastAsia"/>
          <w:sz w:val="21"/>
          <w:szCs w:val="21"/>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14:paraId="041F3392">
      <w:pPr>
        <w:pStyle w:val="8"/>
        <w:spacing w:before="0" w:beforeAutospacing="0" w:after="0" w:afterAutospacing="0" w:line="360" w:lineRule="auto"/>
        <w:ind w:firstLine="420"/>
        <w:rPr>
          <w:sz w:val="21"/>
          <w:szCs w:val="21"/>
        </w:rPr>
      </w:pPr>
      <w:r>
        <w:rPr>
          <w:rFonts w:hint="eastAsia"/>
          <w:sz w:val="21"/>
          <w:szCs w:val="21"/>
        </w:rPr>
        <w:t>（2）交易对手违约风险</w:t>
      </w:r>
    </w:p>
    <w:p w14:paraId="6E420378">
      <w:pPr>
        <w:pStyle w:val="8"/>
        <w:spacing w:before="0" w:beforeAutospacing="0" w:after="0" w:afterAutospacing="0" w:line="360" w:lineRule="auto"/>
        <w:ind w:firstLine="420"/>
        <w:rPr>
          <w:sz w:val="21"/>
          <w:szCs w:val="21"/>
        </w:rPr>
      </w:pPr>
      <w:r>
        <w:rPr>
          <w:rFonts w:hint="eastAsia"/>
          <w:sz w:val="21"/>
          <w:szCs w:val="21"/>
        </w:rPr>
        <w:t>存在由于交易对手违约而导致证券到期不能按时或足额归还、相应权益补偿和借券费用不能支付等交易对手违约风险。</w:t>
      </w:r>
    </w:p>
    <w:p w14:paraId="0BA2FCE0">
      <w:pPr>
        <w:pStyle w:val="8"/>
        <w:spacing w:before="0" w:beforeAutospacing="0" w:after="0" w:afterAutospacing="0" w:line="360" w:lineRule="auto"/>
        <w:ind w:firstLine="420"/>
        <w:rPr>
          <w:sz w:val="21"/>
          <w:szCs w:val="21"/>
        </w:rPr>
      </w:pPr>
      <w:r>
        <w:rPr>
          <w:rFonts w:hint="eastAsia"/>
          <w:sz w:val="21"/>
          <w:szCs w:val="21"/>
        </w:rPr>
        <w:t>（3）市场风险</w:t>
      </w:r>
    </w:p>
    <w:p w14:paraId="390C961A">
      <w:pPr>
        <w:pStyle w:val="8"/>
        <w:spacing w:before="0" w:beforeAutospacing="0" w:after="0" w:afterAutospacing="0" w:line="360" w:lineRule="auto"/>
        <w:ind w:firstLine="420"/>
        <w:rPr>
          <w:sz w:val="21"/>
          <w:szCs w:val="21"/>
        </w:rPr>
      </w:pPr>
      <w:r>
        <w:rPr>
          <w:rFonts w:hint="eastAsia"/>
          <w:sz w:val="21"/>
          <w:szCs w:val="21"/>
        </w:rPr>
        <w:t>转融通出借收益按照证券当日收市后市值、融出日（或展期日）费率和实际出借天数计算，因此可能面临证券市值波动、费率变动而导致的市场风险。</w:t>
      </w:r>
    </w:p>
    <w:p w14:paraId="2B02817F">
      <w:pPr>
        <w:pStyle w:val="8"/>
        <w:spacing w:before="0" w:beforeAutospacing="0" w:after="0" w:afterAutospacing="0" w:line="360" w:lineRule="auto"/>
        <w:ind w:firstLine="420"/>
        <w:rPr>
          <w:sz w:val="21"/>
          <w:szCs w:val="21"/>
        </w:rPr>
      </w:pPr>
      <w:r>
        <w:rPr>
          <w:rFonts w:hint="eastAsia"/>
          <w:sz w:val="21"/>
          <w:szCs w:val="21"/>
        </w:rPr>
        <w:t>（4）提前或延迟了结风险</w:t>
      </w:r>
    </w:p>
    <w:p w14:paraId="611D6421">
      <w:pPr>
        <w:pStyle w:val="8"/>
        <w:spacing w:before="0" w:beforeAutospacing="0" w:after="0" w:afterAutospacing="0" w:line="360" w:lineRule="auto"/>
        <w:ind w:firstLine="420"/>
        <w:rPr>
          <w:sz w:val="21"/>
          <w:szCs w:val="21"/>
        </w:rPr>
      </w:pPr>
      <w:r>
        <w:rPr>
          <w:rFonts w:hint="eastAsia"/>
          <w:sz w:val="21"/>
          <w:szCs w:val="21"/>
        </w:rPr>
        <w:t>证券出借期间，如发生标的证券范围调整、标的证券暂停交易、标的证券对应的上市公司被以终止上市为目的进行收购、终止上市等情况，可能面临合约提前了结或延迟了结的风险。</w:t>
      </w:r>
    </w:p>
    <w:p w14:paraId="533BEF49">
      <w:pPr>
        <w:pStyle w:val="8"/>
        <w:spacing w:before="0" w:beforeAutospacing="0" w:after="0" w:afterAutospacing="0" w:line="360" w:lineRule="auto"/>
        <w:ind w:firstLine="420"/>
        <w:rPr>
          <w:sz w:val="21"/>
          <w:szCs w:val="21"/>
        </w:rPr>
      </w:pPr>
      <w:r>
        <w:rPr>
          <w:rFonts w:hint="eastAsia"/>
          <w:sz w:val="21"/>
          <w:szCs w:val="21"/>
        </w:rPr>
        <w:t>（5）跟踪误差风险</w:t>
      </w:r>
    </w:p>
    <w:p w14:paraId="58899963">
      <w:pPr>
        <w:pStyle w:val="8"/>
        <w:spacing w:before="0" w:beforeAutospacing="0" w:after="0" w:afterAutospacing="0" w:line="360" w:lineRule="auto"/>
        <w:ind w:firstLine="420"/>
        <w:rPr>
          <w:sz w:val="21"/>
          <w:szCs w:val="21"/>
        </w:rPr>
      </w:pPr>
      <w:r>
        <w:rPr>
          <w:rFonts w:hint="eastAsia"/>
          <w:sz w:val="21"/>
          <w:szCs w:val="21"/>
        </w:rPr>
        <w:t>对于指数型组合，当组合发生大额赎回或市场大幅波动时，存在由于转融通出借证券无法提前了结并变现，单一股票占比被动上升而导致组合跟踪误差扩大的风险。</w:t>
      </w:r>
    </w:p>
    <w:p w14:paraId="23770707">
      <w:pPr>
        <w:pStyle w:val="8"/>
        <w:spacing w:before="0" w:beforeAutospacing="0" w:after="0" w:afterAutospacing="0" w:line="360" w:lineRule="auto"/>
        <w:ind w:firstLine="420"/>
        <w:rPr>
          <w:sz w:val="21"/>
          <w:szCs w:val="21"/>
        </w:rPr>
      </w:pPr>
      <w:r>
        <w:rPr>
          <w:rFonts w:hint="eastAsia"/>
          <w:sz w:val="21"/>
          <w:szCs w:val="21"/>
        </w:rPr>
        <w:t>（6）杠杆效应放大风险</w:t>
      </w:r>
    </w:p>
    <w:p w14:paraId="1EF5AEAC">
      <w:pPr>
        <w:pStyle w:val="8"/>
        <w:spacing w:before="0" w:beforeAutospacing="0" w:after="0" w:afterAutospacing="0" w:line="360" w:lineRule="auto"/>
        <w:ind w:firstLine="420"/>
        <w:rPr>
          <w:sz w:val="21"/>
          <w:szCs w:val="21"/>
        </w:rPr>
      </w:pPr>
      <w:r>
        <w:rPr>
          <w:rFonts w:hint="eastAsia"/>
          <w:sz w:val="21"/>
          <w:szCs w:val="21"/>
        </w:rPr>
        <w:t>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14:paraId="4BD9F942">
      <w:pPr>
        <w:pStyle w:val="8"/>
        <w:spacing w:before="0" w:beforeAutospacing="0" w:after="0" w:afterAutospacing="0" w:line="360" w:lineRule="auto"/>
        <w:ind w:firstLine="420"/>
        <w:rPr>
          <w:sz w:val="21"/>
          <w:szCs w:val="21"/>
        </w:rPr>
      </w:pPr>
      <w:r>
        <w:rPr>
          <w:rFonts w:hint="eastAsia"/>
          <w:sz w:val="21"/>
          <w:szCs w:val="21"/>
        </w:rPr>
        <w:t>（7）担保能力及限制交易风险</w:t>
      </w:r>
    </w:p>
    <w:p w14:paraId="0B2E57AD">
      <w:pPr>
        <w:pStyle w:val="8"/>
        <w:spacing w:before="0" w:beforeAutospacing="0" w:after="0" w:afterAutospacing="0" w:line="360" w:lineRule="auto"/>
        <w:ind w:firstLine="420"/>
        <w:rPr>
          <w:sz w:val="21"/>
          <w:szCs w:val="21"/>
        </w:rPr>
      </w:pPr>
      <w:r>
        <w:rPr>
          <w:rFonts w:hint="eastAsia"/>
          <w:sz w:val="21"/>
          <w:szCs w:val="21"/>
        </w:rPr>
        <w:t>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w:t>
      </w:r>
    </w:p>
    <w:p w14:paraId="073DC7D3">
      <w:pPr>
        <w:pStyle w:val="8"/>
        <w:spacing w:before="0" w:beforeAutospacing="0" w:after="0" w:afterAutospacing="0" w:line="360" w:lineRule="auto"/>
        <w:ind w:firstLine="420"/>
        <w:rPr>
          <w:sz w:val="21"/>
          <w:szCs w:val="21"/>
        </w:rPr>
      </w:pPr>
      <w:r>
        <w:rPr>
          <w:rFonts w:hint="eastAsia"/>
          <w:sz w:val="21"/>
          <w:szCs w:val="21"/>
        </w:rPr>
        <w:t>（8）强制平仓风险</w:t>
      </w:r>
    </w:p>
    <w:p w14:paraId="3F74C957">
      <w:pPr>
        <w:pStyle w:val="8"/>
        <w:spacing w:before="0" w:beforeAutospacing="0" w:after="0" w:afterAutospacing="0" w:line="360" w:lineRule="auto"/>
        <w:ind w:firstLine="420"/>
        <w:rPr>
          <w:sz w:val="21"/>
          <w:szCs w:val="21"/>
        </w:rPr>
      </w:pPr>
      <w:r>
        <w:rPr>
          <w:rFonts w:hint="eastAsia"/>
          <w:sz w:val="21"/>
          <w:szCs w:val="21"/>
        </w:rPr>
        <w:t>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14:paraId="095715CA">
      <w:pPr>
        <w:pStyle w:val="8"/>
        <w:spacing w:before="0" w:beforeAutospacing="0" w:after="0" w:afterAutospacing="0" w:line="360" w:lineRule="auto"/>
        <w:ind w:firstLine="420"/>
        <w:rPr>
          <w:sz w:val="21"/>
          <w:szCs w:val="21"/>
        </w:rPr>
      </w:pPr>
      <w:r>
        <w:rPr>
          <w:rFonts w:hint="eastAsia"/>
          <w:sz w:val="21"/>
          <w:szCs w:val="21"/>
        </w:rPr>
        <w:t>（9）操作风险</w:t>
      </w:r>
    </w:p>
    <w:p w14:paraId="54DE61A6">
      <w:pPr>
        <w:pStyle w:val="8"/>
        <w:spacing w:before="0" w:beforeAutospacing="0" w:after="0" w:afterAutospacing="0" w:line="360" w:lineRule="auto"/>
        <w:ind w:firstLine="420"/>
        <w:rPr>
          <w:sz w:val="21"/>
          <w:szCs w:val="21"/>
        </w:rPr>
      </w:pPr>
      <w:r>
        <w:rPr>
          <w:rFonts w:hint="eastAsia"/>
          <w:sz w:val="21"/>
          <w:szCs w:val="21"/>
        </w:rPr>
        <w:t>融资交易和转融通业务具体实施过程中，在投资决策、交易等环节，可能面临由于操作人员操作失误、系统不完善等原因引发的操作风险。</w:t>
      </w:r>
    </w:p>
    <w:p w14:paraId="095C7435">
      <w:pPr>
        <w:pStyle w:val="8"/>
        <w:spacing w:before="0" w:beforeAutospacing="0" w:after="0" w:afterAutospacing="0" w:line="360" w:lineRule="auto"/>
        <w:ind w:firstLine="420"/>
        <w:rPr>
          <w:sz w:val="21"/>
          <w:szCs w:val="21"/>
        </w:rPr>
      </w:pPr>
      <w:r>
        <w:rPr>
          <w:rFonts w:hint="eastAsia"/>
          <w:sz w:val="21"/>
          <w:szCs w:val="21"/>
        </w:rPr>
        <w:t>（10）法律合规风险</w:t>
      </w:r>
    </w:p>
    <w:p w14:paraId="31B4E578">
      <w:pPr>
        <w:pStyle w:val="8"/>
        <w:spacing w:before="0" w:beforeAutospacing="0" w:after="0" w:afterAutospacing="0" w:line="360" w:lineRule="auto"/>
        <w:ind w:firstLine="420"/>
        <w:rPr>
          <w:sz w:val="21"/>
          <w:szCs w:val="21"/>
        </w:rPr>
      </w:pPr>
      <w:r>
        <w:rPr>
          <w:rFonts w:hint="eastAsia"/>
          <w:sz w:val="21"/>
          <w:szCs w:val="21"/>
        </w:rPr>
        <w:t>在融资交易和转融通证券出借过程中，存在由于标的证券价格波动导致组合合规指标超标且无法进行调整的风险，以及在业务开展过程中发生操纵价格、利益输送等法律合规风险。</w:t>
      </w:r>
    </w:p>
    <w:p w14:paraId="5A709FC7">
      <w:pPr>
        <w:pStyle w:val="8"/>
        <w:spacing w:before="0" w:beforeAutospacing="0" w:after="0" w:afterAutospacing="0" w:line="360" w:lineRule="auto"/>
        <w:ind w:firstLine="420"/>
        <w:rPr>
          <w:sz w:val="21"/>
          <w:szCs w:val="21"/>
        </w:rPr>
      </w:pPr>
      <w:r>
        <w:rPr>
          <w:rFonts w:hint="eastAsia"/>
          <w:sz w:val="21"/>
          <w:szCs w:val="21"/>
        </w:rPr>
        <w:t>9、投资于存托凭证的风险</w:t>
      </w:r>
    </w:p>
    <w:p w14:paraId="23F1CDA4">
      <w:pPr>
        <w:pStyle w:val="8"/>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095779E5">
      <w:pPr>
        <w:pStyle w:val="8"/>
        <w:spacing w:before="0" w:beforeAutospacing="0" w:after="0" w:afterAutospacing="0" w:line="360" w:lineRule="auto"/>
        <w:ind w:firstLine="420"/>
        <w:rPr>
          <w:sz w:val="21"/>
          <w:szCs w:val="21"/>
        </w:rPr>
      </w:pPr>
      <w:r>
        <w:rPr>
          <w:rFonts w:hint="eastAsia"/>
          <w:sz w:val="21"/>
          <w:szCs w:val="21"/>
        </w:rPr>
        <w:t>10、自动清算的风险</w:t>
      </w:r>
    </w:p>
    <w:p w14:paraId="128D64EC">
      <w:pPr>
        <w:pStyle w:val="8"/>
        <w:spacing w:before="0" w:beforeAutospacing="0" w:after="0" w:afterAutospacing="0" w:line="360" w:lineRule="auto"/>
        <w:ind w:firstLine="420"/>
        <w:rPr>
          <w:rFonts w:hint="eastAsia"/>
          <w:sz w:val="21"/>
          <w:szCs w:val="21"/>
        </w:rPr>
      </w:pPr>
      <w:r>
        <w:rPr>
          <w:rFonts w:hint="eastAsia"/>
          <w:sz w:val="21"/>
          <w:szCs w:val="21"/>
        </w:rPr>
        <w:t>《博时国证粮食产业指数型发起式证券投资基金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w:t>
      </w:r>
    </w:p>
    <w:p w14:paraId="5FE33ECA">
      <w:pPr>
        <w:pStyle w:val="8"/>
        <w:spacing w:before="0" w:beforeAutospacing="0" w:after="0" w:afterAutospacing="0" w:line="360" w:lineRule="auto"/>
        <w:ind w:firstLine="420"/>
        <w:rPr>
          <w:sz w:val="21"/>
          <w:szCs w:val="21"/>
        </w:rPr>
      </w:pPr>
      <w:r>
        <w:rPr>
          <w:rFonts w:hint="eastAsia"/>
          <w:sz w:val="21"/>
          <w:szCs w:val="21"/>
        </w:rPr>
        <w:t>本基金在《博时国证粮食产业指数型发起式证券投资基金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w:t>
      </w:r>
    </w:p>
    <w:p w14:paraId="456B7C22">
      <w:pPr>
        <w:pStyle w:val="8"/>
        <w:spacing w:before="0" w:beforeAutospacing="0" w:after="0" w:afterAutospacing="0" w:line="360" w:lineRule="auto"/>
        <w:ind w:firstLine="420"/>
        <w:rPr>
          <w:sz w:val="21"/>
          <w:szCs w:val="21"/>
        </w:rPr>
      </w:pPr>
      <w:r>
        <w:rPr>
          <w:rFonts w:hint="eastAsia"/>
          <w:sz w:val="21"/>
          <w:szCs w:val="21"/>
        </w:rPr>
        <w:t>因此本基金有面临自动清算的风险。</w:t>
      </w:r>
    </w:p>
    <w:p w14:paraId="2926C5DD">
      <w:pPr>
        <w:pStyle w:val="8"/>
        <w:spacing w:before="0" w:beforeAutospacing="0" w:after="0" w:afterAutospacing="0" w:line="360" w:lineRule="auto"/>
        <w:ind w:firstLine="420"/>
        <w:rPr>
          <w:sz w:val="21"/>
          <w:szCs w:val="21"/>
        </w:rPr>
      </w:pPr>
      <w:r>
        <w:rPr>
          <w:rStyle w:val="12"/>
          <w:rFonts w:hint="eastAsia"/>
          <w:sz w:val="21"/>
          <w:szCs w:val="21"/>
        </w:rPr>
        <w:t>三、本基金法律文件风险收益特征表述与销售机构基金风险评价可能不一致的风险</w:t>
      </w:r>
    </w:p>
    <w:p w14:paraId="60F1D24D">
      <w:pPr>
        <w:pStyle w:val="8"/>
        <w:spacing w:before="0" w:beforeAutospacing="0" w:after="0" w:afterAutospacing="0" w:line="360" w:lineRule="auto"/>
        <w:ind w:firstLine="420"/>
        <w:rPr>
          <w:sz w:val="21"/>
          <w:szCs w:val="21"/>
        </w:rPr>
      </w:pPr>
      <w:r>
        <w:rPr>
          <w:rFonts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w:t>
      </w:r>
    </w:p>
    <w:p w14:paraId="584D726F">
      <w:pPr>
        <w:pStyle w:val="8"/>
        <w:spacing w:before="0" w:beforeAutospacing="0" w:after="0" w:afterAutospacing="0" w:line="360" w:lineRule="auto"/>
        <w:ind w:firstLine="420"/>
        <w:rPr>
          <w:sz w:val="21"/>
          <w:szCs w:val="21"/>
        </w:rPr>
      </w:pPr>
      <w:r>
        <w:rPr>
          <w:rStyle w:val="12"/>
          <w:rFonts w:hint="eastAsia"/>
          <w:sz w:val="21"/>
          <w:szCs w:val="21"/>
        </w:rPr>
        <w:t>四、其他风险</w:t>
      </w:r>
    </w:p>
    <w:p w14:paraId="35AF5F56">
      <w:pPr>
        <w:pStyle w:val="8"/>
        <w:spacing w:before="0" w:beforeAutospacing="0" w:after="0" w:afterAutospacing="0" w:line="360" w:lineRule="auto"/>
        <w:ind w:firstLine="420"/>
        <w:rPr>
          <w:sz w:val="21"/>
          <w:szCs w:val="21"/>
        </w:rPr>
      </w:pPr>
      <w:r>
        <w:rPr>
          <w:rFonts w:hint="eastAsia"/>
          <w:sz w:val="21"/>
          <w:szCs w:val="21"/>
        </w:rPr>
        <w:t>1、因技术因素而产生的风险，如电脑系统不可靠产生的风险；</w:t>
      </w:r>
    </w:p>
    <w:p w14:paraId="58E2D8EB">
      <w:pPr>
        <w:pStyle w:val="8"/>
        <w:spacing w:before="0" w:beforeAutospacing="0" w:after="0" w:afterAutospacing="0" w:line="360" w:lineRule="auto"/>
        <w:ind w:firstLine="420"/>
        <w:rPr>
          <w:sz w:val="21"/>
          <w:szCs w:val="21"/>
        </w:rPr>
      </w:pPr>
      <w:r>
        <w:rPr>
          <w:rFonts w:hint="eastAsia"/>
          <w:sz w:val="21"/>
          <w:szCs w:val="21"/>
        </w:rPr>
        <w:t>2、因业务快速发展而在制度建设、人员配备、内控制度建立等不完善而产生的风险；</w:t>
      </w:r>
    </w:p>
    <w:p w14:paraId="1E294DFE">
      <w:pPr>
        <w:pStyle w:val="8"/>
        <w:spacing w:before="0" w:beforeAutospacing="0" w:after="0" w:afterAutospacing="0" w:line="360" w:lineRule="auto"/>
        <w:ind w:firstLine="420"/>
        <w:rPr>
          <w:sz w:val="21"/>
          <w:szCs w:val="21"/>
        </w:rPr>
      </w:pPr>
      <w:r>
        <w:rPr>
          <w:rFonts w:hint="eastAsia"/>
          <w:sz w:val="21"/>
          <w:szCs w:val="21"/>
        </w:rPr>
        <w:t>3、因人为因素而产生的风险、如内幕交易、欺诈行为等产生的风险；</w:t>
      </w:r>
    </w:p>
    <w:p w14:paraId="16A771D3">
      <w:pPr>
        <w:pStyle w:val="8"/>
        <w:spacing w:before="0" w:beforeAutospacing="0" w:after="0" w:afterAutospacing="0" w:line="360" w:lineRule="auto"/>
        <w:ind w:firstLine="420"/>
        <w:rPr>
          <w:sz w:val="21"/>
          <w:szCs w:val="21"/>
        </w:rPr>
      </w:pPr>
      <w:r>
        <w:rPr>
          <w:rFonts w:hint="eastAsia"/>
          <w:sz w:val="21"/>
          <w:szCs w:val="21"/>
        </w:rPr>
        <w:t>4、对主要业务人员如基金经理的依赖而可能产生的风险；</w:t>
      </w:r>
    </w:p>
    <w:p w14:paraId="4879A16C">
      <w:pPr>
        <w:pStyle w:val="8"/>
        <w:spacing w:before="0" w:beforeAutospacing="0" w:after="0" w:afterAutospacing="0" w:line="360" w:lineRule="auto"/>
        <w:ind w:firstLine="420"/>
        <w:rPr>
          <w:sz w:val="21"/>
          <w:szCs w:val="21"/>
        </w:rPr>
      </w:pPr>
      <w:r>
        <w:rPr>
          <w:rFonts w:hint="eastAsia"/>
          <w:sz w:val="21"/>
          <w:szCs w:val="21"/>
        </w:rPr>
        <w:t>5、因业务竞争压力可能产生的风险；</w:t>
      </w:r>
    </w:p>
    <w:p w14:paraId="699B4B26">
      <w:pPr>
        <w:pStyle w:val="8"/>
        <w:spacing w:before="0" w:beforeAutospacing="0" w:after="0" w:afterAutospacing="0" w:line="360" w:lineRule="auto"/>
        <w:ind w:firstLine="420"/>
        <w:rPr>
          <w:sz w:val="21"/>
          <w:szCs w:val="21"/>
        </w:rPr>
      </w:pPr>
      <w:r>
        <w:rPr>
          <w:rFonts w:hint="eastAsia"/>
          <w:sz w:val="21"/>
          <w:szCs w:val="21"/>
        </w:rPr>
        <w:t>6、不可抗力可能导致基金资产的损失，影响基金收益水平，从而带来风险；</w:t>
      </w:r>
    </w:p>
    <w:p w14:paraId="58F8F861">
      <w:pPr>
        <w:pStyle w:val="8"/>
        <w:spacing w:before="0" w:beforeAutospacing="0" w:after="0" w:afterAutospacing="0" w:line="360" w:lineRule="auto"/>
        <w:ind w:firstLine="420"/>
        <w:rPr>
          <w:sz w:val="21"/>
          <w:szCs w:val="21"/>
        </w:rPr>
      </w:pPr>
      <w:r>
        <w:rPr>
          <w:rFonts w:hint="eastAsia"/>
          <w:sz w:val="21"/>
          <w:szCs w:val="21"/>
        </w:rPr>
        <w:t>7、其他意外导致的风险。</w:t>
      </w:r>
    </w:p>
    <w:p w14:paraId="44A7037A">
      <w:pPr>
        <w:pStyle w:val="8"/>
        <w:spacing w:before="0" w:beforeAutospacing="0" w:after="0" w:afterAutospacing="0" w:line="360" w:lineRule="auto"/>
        <w:ind w:firstLine="420"/>
        <w:rPr>
          <w:sz w:val="21"/>
          <w:szCs w:val="21"/>
        </w:rPr>
      </w:pPr>
      <w:r>
        <w:rPr>
          <w:rStyle w:val="12"/>
          <w:rFonts w:hint="eastAsia"/>
          <w:sz w:val="21"/>
          <w:szCs w:val="21"/>
        </w:rPr>
        <w:t>五、声明</w:t>
      </w:r>
    </w:p>
    <w:p w14:paraId="7787D2C0">
      <w:pPr>
        <w:pStyle w:val="8"/>
        <w:spacing w:before="0" w:beforeAutospacing="0" w:after="0" w:afterAutospacing="0" w:line="360" w:lineRule="auto"/>
        <w:ind w:firstLine="420"/>
        <w:rPr>
          <w:sz w:val="21"/>
          <w:szCs w:val="21"/>
        </w:rPr>
      </w:pPr>
      <w:r>
        <w:rPr>
          <w:rFonts w:hint="eastAsia"/>
          <w:sz w:val="21"/>
          <w:szCs w:val="21"/>
        </w:rPr>
        <w:t>1、投资者投资于本基金，须自行承担投资风险；</w:t>
      </w:r>
    </w:p>
    <w:p w14:paraId="7A0346FF">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44" w:name="chapter_level1_20_68_section_1_end"/>
      <w:bookmarkEnd w:id="144"/>
      <w:r>
        <w:rPr>
          <w:rFonts w:hint="eastAsia"/>
          <w:sz w:val="21"/>
          <w:szCs w:val="21"/>
        </w:rPr>
        <w:t>金管理人与基金代销机构都不能保证其收益或本金安全。</w:t>
      </w:r>
    </w:p>
    <w:p w14:paraId="2070AA4A">
      <w:pPr>
        <w:widowControl/>
        <w:jc w:val="left"/>
        <w:rPr>
          <w:rFonts w:ascii="宋体" w:hAnsi="宋体" w:eastAsia="宋体"/>
        </w:rPr>
      </w:pPr>
      <w:r>
        <w:rPr>
          <w:rFonts w:ascii="宋体" w:hAnsi="宋体" w:eastAsia="宋体"/>
        </w:rPr>
        <w:br w:type="page"/>
      </w:r>
    </w:p>
    <w:p w14:paraId="6D01369D">
      <w:pPr>
        <w:pStyle w:val="2"/>
        <w:jc w:val="center"/>
        <w:rPr>
          <w:rFonts w:ascii="宋体" w:hAnsi="宋体" w:eastAsia="宋体"/>
          <w:sz w:val="30"/>
        </w:rPr>
      </w:pPr>
      <w:bookmarkStart w:id="145" w:name="_Toc207939914"/>
      <w:bookmarkStart w:id="146" w:name="chapter_level1_21_69"/>
      <w:r>
        <w:rPr>
          <w:rFonts w:hint="eastAsia" w:ascii="宋体" w:hAnsi="宋体" w:eastAsia="宋体"/>
          <w:sz w:val="30"/>
        </w:rPr>
        <w:t>第十</w:t>
      </w:r>
      <w:r>
        <w:rPr>
          <w:rFonts w:hint="eastAsia" w:ascii="宋体" w:hAnsi="宋体" w:eastAsia="宋体"/>
          <w:sz w:val="30"/>
          <w:lang w:val="en-US" w:eastAsia="zh-CN"/>
        </w:rPr>
        <w:t>九</w:t>
      </w:r>
      <w:r>
        <w:rPr>
          <w:rFonts w:hint="eastAsia" w:ascii="宋体" w:hAnsi="宋体" w:eastAsia="宋体"/>
          <w:sz w:val="30"/>
        </w:rPr>
        <w:t>部分  基金合同的变更、终止与基金财产的清算</w:t>
      </w:r>
      <w:bookmarkEnd w:id="145"/>
      <w:bookmarkEnd w:id="146"/>
    </w:p>
    <w:p w14:paraId="3B63C65B">
      <w:pPr>
        <w:pStyle w:val="8"/>
        <w:spacing w:before="0" w:beforeAutospacing="0" w:after="0" w:afterAutospacing="0" w:line="360" w:lineRule="auto"/>
        <w:ind w:firstLine="420"/>
        <w:rPr>
          <w:sz w:val="21"/>
          <w:szCs w:val="21"/>
        </w:rPr>
      </w:pPr>
      <w:bookmarkStart w:id="147" w:name="chapter_level1_21_69_section_1"/>
      <w:bookmarkEnd w:id="147"/>
      <w:r>
        <w:rPr>
          <w:rStyle w:val="12"/>
          <w:rFonts w:hint="eastAsia"/>
          <w:sz w:val="21"/>
          <w:szCs w:val="21"/>
        </w:rPr>
        <w:t>一、《基金合同》的变更</w:t>
      </w:r>
    </w:p>
    <w:p w14:paraId="0912474B">
      <w:pPr>
        <w:pStyle w:val="8"/>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1168625F">
      <w:pPr>
        <w:pStyle w:val="8"/>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2F6A83B0">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322F5748">
      <w:pPr>
        <w:pStyle w:val="8"/>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4F0A6100">
      <w:pPr>
        <w:pStyle w:val="8"/>
        <w:spacing w:before="0" w:beforeAutospacing="0" w:after="0" w:afterAutospacing="0" w:line="360" w:lineRule="auto"/>
        <w:ind w:firstLine="420"/>
        <w:rPr>
          <w:sz w:val="21"/>
          <w:szCs w:val="21"/>
        </w:rPr>
      </w:pPr>
      <w:r>
        <w:rPr>
          <w:rFonts w:hint="eastAsia"/>
          <w:sz w:val="21"/>
          <w:szCs w:val="21"/>
        </w:rPr>
        <w:t>1、基金份额持有人大会决定终止的；</w:t>
      </w:r>
    </w:p>
    <w:p w14:paraId="4B309910">
      <w:pPr>
        <w:pStyle w:val="8"/>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60995FBB">
      <w:pPr>
        <w:pStyle w:val="8"/>
        <w:spacing w:before="0" w:beforeAutospacing="0" w:after="0" w:afterAutospacing="0" w:line="360" w:lineRule="auto"/>
        <w:ind w:firstLine="420"/>
        <w:rPr>
          <w:sz w:val="21"/>
          <w:szCs w:val="21"/>
        </w:rPr>
      </w:pPr>
      <w:r>
        <w:rPr>
          <w:rFonts w:hint="eastAsia"/>
          <w:sz w:val="21"/>
          <w:szCs w:val="21"/>
        </w:rPr>
        <w:t>3、《基金合同》约定的其他情形；</w:t>
      </w:r>
    </w:p>
    <w:p w14:paraId="1E242F0B">
      <w:pPr>
        <w:pStyle w:val="8"/>
        <w:spacing w:before="0" w:beforeAutospacing="0" w:after="0" w:afterAutospacing="0" w:line="360" w:lineRule="auto"/>
        <w:ind w:firstLine="420"/>
        <w:rPr>
          <w:sz w:val="21"/>
          <w:szCs w:val="21"/>
        </w:rPr>
      </w:pPr>
      <w:r>
        <w:rPr>
          <w:rFonts w:hint="eastAsia"/>
          <w:sz w:val="21"/>
          <w:szCs w:val="21"/>
        </w:rPr>
        <w:t>4、相关法律法规和中国证监会规定的其他情况。</w:t>
      </w:r>
    </w:p>
    <w:p w14:paraId="6E348665">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18FF83B9">
      <w:pPr>
        <w:pStyle w:val="8"/>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14:paraId="4924DAAB">
      <w:pPr>
        <w:pStyle w:val="8"/>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380DD99F">
      <w:pPr>
        <w:pStyle w:val="8"/>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53664533">
      <w:pPr>
        <w:pStyle w:val="8"/>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55BCD2EF">
      <w:pPr>
        <w:pStyle w:val="8"/>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6B194D7A">
      <w:pPr>
        <w:pStyle w:val="8"/>
        <w:spacing w:before="0" w:beforeAutospacing="0" w:after="0" w:afterAutospacing="0" w:line="360" w:lineRule="auto"/>
        <w:ind w:firstLine="420"/>
        <w:rPr>
          <w:sz w:val="21"/>
          <w:szCs w:val="21"/>
        </w:rPr>
      </w:pPr>
      <w:r>
        <w:rPr>
          <w:rFonts w:hint="eastAsia"/>
          <w:sz w:val="21"/>
          <w:szCs w:val="21"/>
        </w:rPr>
        <w:t>6、基金财产清算程序：</w:t>
      </w:r>
    </w:p>
    <w:p w14:paraId="65174F9E">
      <w:pPr>
        <w:pStyle w:val="8"/>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1E400492">
      <w:pPr>
        <w:pStyle w:val="8"/>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3314B588">
      <w:pPr>
        <w:pStyle w:val="8"/>
        <w:spacing w:before="0" w:beforeAutospacing="0" w:after="0" w:afterAutospacing="0" w:line="360" w:lineRule="auto"/>
        <w:ind w:firstLine="420"/>
        <w:rPr>
          <w:sz w:val="21"/>
          <w:szCs w:val="21"/>
        </w:rPr>
      </w:pPr>
      <w:r>
        <w:rPr>
          <w:rFonts w:hint="eastAsia"/>
          <w:sz w:val="21"/>
          <w:szCs w:val="21"/>
        </w:rPr>
        <w:t>（3）对基金财产进行估值和变现；</w:t>
      </w:r>
    </w:p>
    <w:p w14:paraId="568E58EC">
      <w:pPr>
        <w:pStyle w:val="8"/>
        <w:spacing w:before="0" w:beforeAutospacing="0" w:after="0" w:afterAutospacing="0" w:line="360" w:lineRule="auto"/>
        <w:ind w:firstLine="420"/>
        <w:rPr>
          <w:sz w:val="21"/>
          <w:szCs w:val="21"/>
        </w:rPr>
      </w:pPr>
      <w:r>
        <w:rPr>
          <w:rFonts w:hint="eastAsia"/>
          <w:sz w:val="21"/>
          <w:szCs w:val="21"/>
        </w:rPr>
        <w:t>（4）制作清算报告；</w:t>
      </w:r>
    </w:p>
    <w:p w14:paraId="6717A629">
      <w:pPr>
        <w:pStyle w:val="8"/>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090238BA">
      <w:pPr>
        <w:pStyle w:val="8"/>
        <w:spacing w:before="0" w:beforeAutospacing="0" w:after="0" w:afterAutospacing="0" w:line="360" w:lineRule="auto"/>
        <w:ind w:firstLine="420"/>
        <w:rPr>
          <w:sz w:val="21"/>
          <w:szCs w:val="21"/>
        </w:rPr>
      </w:pPr>
      <w:r>
        <w:rPr>
          <w:rFonts w:hint="eastAsia"/>
          <w:sz w:val="21"/>
          <w:szCs w:val="21"/>
        </w:rPr>
        <w:t>（6）将清算报告报中国证监会备案并公告；</w:t>
      </w:r>
    </w:p>
    <w:p w14:paraId="4D50CDA3">
      <w:pPr>
        <w:pStyle w:val="8"/>
        <w:spacing w:before="0" w:beforeAutospacing="0" w:after="0" w:afterAutospacing="0" w:line="360" w:lineRule="auto"/>
        <w:ind w:firstLine="420"/>
        <w:rPr>
          <w:sz w:val="21"/>
          <w:szCs w:val="21"/>
        </w:rPr>
      </w:pPr>
      <w:r>
        <w:rPr>
          <w:rFonts w:hint="eastAsia"/>
          <w:sz w:val="21"/>
          <w:szCs w:val="21"/>
        </w:rPr>
        <w:t>（7）对基金剩余财产进行分配。</w:t>
      </w:r>
    </w:p>
    <w:p w14:paraId="0AE837C8">
      <w:pPr>
        <w:pStyle w:val="8"/>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14:paraId="77FDD4B7">
      <w:pPr>
        <w:pStyle w:val="8"/>
        <w:spacing w:before="0" w:beforeAutospacing="0" w:after="0" w:afterAutospacing="0" w:line="360" w:lineRule="auto"/>
        <w:ind w:firstLine="420"/>
        <w:rPr>
          <w:sz w:val="21"/>
          <w:szCs w:val="21"/>
        </w:rPr>
      </w:pPr>
      <w:r>
        <w:rPr>
          <w:rStyle w:val="12"/>
          <w:rFonts w:hint="eastAsia"/>
          <w:sz w:val="21"/>
          <w:szCs w:val="21"/>
        </w:rPr>
        <w:t>四、清算费用</w:t>
      </w:r>
    </w:p>
    <w:p w14:paraId="36720730">
      <w:pPr>
        <w:pStyle w:val="8"/>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6F4C2B3B">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073F0D66">
      <w:pPr>
        <w:pStyle w:val="8"/>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4137591A">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156F6101">
      <w:pPr>
        <w:pStyle w:val="8"/>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EE735E5">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03CA2705">
      <w:pPr>
        <w:pStyle w:val="8"/>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14:paraId="772921DA">
      <w:pPr>
        <w:pStyle w:val="8"/>
        <w:spacing w:before="0" w:beforeAutospacing="0" w:after="0" w:afterAutospacing="0" w:line="360" w:lineRule="auto"/>
        <w:ind w:firstLine="420"/>
        <w:rPr>
          <w:sz w:val="21"/>
          <w:szCs w:val="21"/>
        </w:rPr>
      </w:pPr>
      <w:r>
        <w:rPr>
          <w:rStyle w:val="12"/>
          <w:rFonts w:hint="eastAsia"/>
          <w:sz w:val="21"/>
          <w:szCs w:val="21"/>
        </w:rPr>
        <w:t>八、基金合并</w:t>
      </w:r>
    </w:p>
    <w:p w14:paraId="0119BF81">
      <w:pPr>
        <w:pStyle w:val="8"/>
        <w:spacing w:before="0" w:beforeAutospacing="0" w:after="0" w:afterAutospacing="0" w:line="360" w:lineRule="auto"/>
        <w:ind w:firstLine="420"/>
        <w:rPr>
          <w:sz w:val="21"/>
          <w:szCs w:val="21"/>
        </w:rPr>
      </w:pPr>
      <w:bookmarkStart w:id="148" w:name="chapter_level1_21_69_section_1_end"/>
      <w:bookmarkEnd w:id="148"/>
      <w:r>
        <w:rPr>
          <w:rFonts w:hint="eastAsia"/>
          <w:sz w:val="21"/>
          <w:szCs w:val="21"/>
        </w:rPr>
        <w:t>本基金与其他基金的合并应当按照法律法规规定的程序进行。</w:t>
      </w:r>
    </w:p>
    <w:p w14:paraId="3F8DE6B2">
      <w:pPr>
        <w:widowControl/>
        <w:jc w:val="left"/>
        <w:rPr>
          <w:rFonts w:ascii="宋体" w:hAnsi="宋体" w:eastAsia="宋体"/>
        </w:rPr>
      </w:pPr>
      <w:r>
        <w:rPr>
          <w:rFonts w:ascii="宋体" w:hAnsi="宋体" w:eastAsia="宋体"/>
        </w:rPr>
        <w:br w:type="page"/>
      </w:r>
    </w:p>
    <w:p w14:paraId="07D28603">
      <w:pPr>
        <w:pStyle w:val="2"/>
        <w:jc w:val="center"/>
        <w:rPr>
          <w:rFonts w:ascii="宋体" w:hAnsi="宋体" w:eastAsia="宋体"/>
          <w:sz w:val="30"/>
        </w:rPr>
      </w:pPr>
      <w:bookmarkStart w:id="149" w:name="chapter_level1_22_71"/>
      <w:bookmarkStart w:id="150" w:name="_Toc207939915"/>
      <w:r>
        <w:rPr>
          <w:rFonts w:hint="eastAsia" w:ascii="宋体" w:hAnsi="宋体" w:eastAsia="宋体"/>
          <w:sz w:val="30"/>
        </w:rPr>
        <w:t>第</w:t>
      </w:r>
      <w:r>
        <w:rPr>
          <w:rFonts w:hint="eastAsia" w:ascii="宋体" w:hAnsi="宋体" w:eastAsia="宋体"/>
          <w:sz w:val="30"/>
          <w:lang w:val="en-US" w:eastAsia="zh-CN"/>
        </w:rPr>
        <w:t>二</w:t>
      </w:r>
      <w:r>
        <w:rPr>
          <w:rFonts w:hint="eastAsia" w:ascii="宋体" w:hAnsi="宋体" w:eastAsia="宋体"/>
          <w:sz w:val="30"/>
        </w:rPr>
        <w:t>十部分  基金合同的内容摘要</w:t>
      </w:r>
      <w:bookmarkEnd w:id="149"/>
      <w:bookmarkEnd w:id="150"/>
    </w:p>
    <w:p w14:paraId="64D9AFFA">
      <w:pPr>
        <w:pStyle w:val="8"/>
        <w:spacing w:before="0" w:beforeAutospacing="0" w:after="0" w:afterAutospacing="0" w:line="360" w:lineRule="auto"/>
        <w:ind w:firstLine="420"/>
        <w:rPr>
          <w:sz w:val="21"/>
          <w:szCs w:val="21"/>
        </w:rPr>
      </w:pPr>
      <w:bookmarkStart w:id="151" w:name="chapter_level1_22_71_section_1"/>
      <w:bookmarkEnd w:id="151"/>
      <w:r>
        <w:rPr>
          <w:rStyle w:val="12"/>
          <w:rFonts w:hint="eastAsia"/>
          <w:sz w:val="21"/>
          <w:szCs w:val="21"/>
        </w:rPr>
        <w:t>一、基金份额持有人、基金管理人和基金托管人的权利、义务</w:t>
      </w:r>
    </w:p>
    <w:p w14:paraId="7917C820">
      <w:pPr>
        <w:pStyle w:val="8"/>
        <w:spacing w:before="0" w:beforeAutospacing="0" w:after="0" w:afterAutospacing="0" w:line="360" w:lineRule="auto"/>
        <w:ind w:firstLine="420"/>
        <w:rPr>
          <w:sz w:val="21"/>
          <w:szCs w:val="21"/>
        </w:rPr>
      </w:pPr>
      <w:r>
        <w:rPr>
          <w:rFonts w:hint="eastAsia"/>
          <w:sz w:val="21"/>
          <w:szCs w:val="21"/>
        </w:rPr>
        <w:t>（一）基金管理人的权利与义务</w:t>
      </w:r>
    </w:p>
    <w:p w14:paraId="7906D3E2">
      <w:pPr>
        <w:pStyle w:val="8"/>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14:paraId="541B6B92">
      <w:pPr>
        <w:pStyle w:val="8"/>
        <w:spacing w:before="0" w:beforeAutospacing="0" w:after="0" w:afterAutospacing="0" w:line="360" w:lineRule="auto"/>
        <w:ind w:firstLine="420"/>
        <w:rPr>
          <w:sz w:val="21"/>
          <w:szCs w:val="21"/>
        </w:rPr>
      </w:pPr>
      <w:r>
        <w:rPr>
          <w:rFonts w:hint="eastAsia"/>
          <w:sz w:val="21"/>
          <w:szCs w:val="21"/>
        </w:rPr>
        <w:t>（1）依法募集资金；</w:t>
      </w:r>
    </w:p>
    <w:p w14:paraId="60ADA14E">
      <w:pPr>
        <w:pStyle w:val="8"/>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14:paraId="327C76FA">
      <w:pPr>
        <w:pStyle w:val="8"/>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14:paraId="1D58A092">
      <w:pPr>
        <w:pStyle w:val="8"/>
        <w:spacing w:before="0" w:beforeAutospacing="0" w:after="0" w:afterAutospacing="0" w:line="360" w:lineRule="auto"/>
        <w:ind w:firstLine="420"/>
        <w:rPr>
          <w:sz w:val="21"/>
          <w:szCs w:val="21"/>
        </w:rPr>
      </w:pPr>
      <w:r>
        <w:rPr>
          <w:rFonts w:hint="eastAsia"/>
          <w:sz w:val="21"/>
          <w:szCs w:val="21"/>
        </w:rPr>
        <w:t>（4）销售基金份额；</w:t>
      </w:r>
    </w:p>
    <w:p w14:paraId="5EA06D4B">
      <w:pPr>
        <w:pStyle w:val="8"/>
        <w:spacing w:before="0" w:beforeAutospacing="0" w:after="0" w:afterAutospacing="0" w:line="360" w:lineRule="auto"/>
        <w:ind w:firstLine="420"/>
        <w:rPr>
          <w:sz w:val="21"/>
          <w:szCs w:val="21"/>
        </w:rPr>
      </w:pPr>
      <w:r>
        <w:rPr>
          <w:rFonts w:hint="eastAsia"/>
          <w:sz w:val="21"/>
          <w:szCs w:val="21"/>
        </w:rPr>
        <w:t>（5）按照规定召集基金份额持有人大会；</w:t>
      </w:r>
    </w:p>
    <w:p w14:paraId="20E56F05">
      <w:pPr>
        <w:pStyle w:val="8"/>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14:paraId="2869A743">
      <w:pPr>
        <w:pStyle w:val="8"/>
        <w:spacing w:before="0" w:beforeAutospacing="0" w:after="0" w:afterAutospacing="0" w:line="360" w:lineRule="auto"/>
        <w:ind w:firstLine="420"/>
        <w:rPr>
          <w:sz w:val="21"/>
          <w:szCs w:val="21"/>
        </w:rPr>
      </w:pPr>
      <w:r>
        <w:rPr>
          <w:rFonts w:hint="eastAsia"/>
          <w:sz w:val="21"/>
          <w:szCs w:val="21"/>
        </w:rPr>
        <w:t>（7）在基金托管人更换时，提名新的基金托管人；</w:t>
      </w:r>
    </w:p>
    <w:p w14:paraId="08025D1D">
      <w:pPr>
        <w:pStyle w:val="8"/>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14:paraId="22A8AE99">
      <w:pPr>
        <w:pStyle w:val="8"/>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14:paraId="1C636C94">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74032454">
      <w:pPr>
        <w:pStyle w:val="8"/>
        <w:spacing w:before="0" w:beforeAutospacing="0" w:after="0" w:afterAutospacing="0" w:line="360" w:lineRule="auto"/>
        <w:ind w:firstLine="420"/>
        <w:rPr>
          <w:sz w:val="21"/>
          <w:szCs w:val="21"/>
        </w:rPr>
      </w:pPr>
      <w:r>
        <w:rPr>
          <w:rFonts w:hint="eastAsia"/>
          <w:sz w:val="21"/>
          <w:szCs w:val="21"/>
        </w:rPr>
        <w:t>（11）在《基金合同》约定的范围内，拒绝或暂停受理申购、赎回与转换申请； </w:t>
      </w:r>
    </w:p>
    <w:p w14:paraId="0761C6F7">
      <w:pPr>
        <w:pStyle w:val="8"/>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14:paraId="18E53BAC">
      <w:pPr>
        <w:pStyle w:val="8"/>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（13）在法律法规允许的前提下，为基金的利益依法为基金进行融资及转融通证券出借业务；</w:t>
      </w:r>
    </w:p>
    <w:p w14:paraId="2B85A81B">
      <w:pPr>
        <w:pStyle w:val="8"/>
        <w:spacing w:before="0" w:beforeAutospacing="0" w:after="0" w:afterAutospacing="0" w:line="360" w:lineRule="auto"/>
        <w:ind w:firstLine="420"/>
        <w:rPr>
          <w:sz w:val="21"/>
          <w:szCs w:val="21"/>
        </w:rPr>
      </w:pPr>
      <w:r>
        <w:rPr>
          <w:rFonts w:hint="eastAsia"/>
          <w:sz w:val="21"/>
          <w:szCs w:val="21"/>
        </w:rPr>
        <w:t>（14）以基金管理人的名义，代表基金份额持有人的利益行使诉讼权利或者实施其他法律行为；</w:t>
      </w:r>
    </w:p>
    <w:p w14:paraId="0C9CD336">
      <w:pPr>
        <w:pStyle w:val="8"/>
        <w:spacing w:before="0" w:beforeAutospacing="0" w:after="0" w:afterAutospacing="0" w:line="360" w:lineRule="auto"/>
        <w:ind w:firstLine="420"/>
        <w:rPr>
          <w:sz w:val="21"/>
          <w:szCs w:val="21"/>
        </w:rPr>
      </w:pPr>
      <w:r>
        <w:rPr>
          <w:rFonts w:hint="eastAsia"/>
          <w:sz w:val="21"/>
          <w:szCs w:val="21"/>
        </w:rPr>
        <w:t>（15）选择、更换律师事务所、会计师事务所、证券、期货经纪商或其他为基金提供服务的外部机构；</w:t>
      </w:r>
    </w:p>
    <w:p w14:paraId="1B0B1001">
      <w:pPr>
        <w:pStyle w:val="8"/>
        <w:spacing w:before="0" w:beforeAutospacing="0" w:after="0" w:afterAutospacing="0" w:line="360" w:lineRule="auto"/>
        <w:ind w:firstLine="420"/>
        <w:rPr>
          <w:sz w:val="21"/>
          <w:szCs w:val="21"/>
        </w:rPr>
      </w:pPr>
      <w:r>
        <w:rPr>
          <w:rFonts w:hint="eastAsia"/>
          <w:sz w:val="21"/>
          <w:szCs w:val="21"/>
        </w:rPr>
        <w:t>（16）在符合有关法律、法规的前提下，制订和调整有关基金认购、申购、赎回、转换、定期定额投资和非交易过户等业务规则；</w:t>
      </w:r>
    </w:p>
    <w:p w14:paraId="12FD40B5">
      <w:pPr>
        <w:pStyle w:val="8"/>
        <w:spacing w:before="0" w:beforeAutospacing="0" w:after="0" w:afterAutospacing="0" w:line="360" w:lineRule="auto"/>
        <w:ind w:firstLine="420"/>
        <w:rPr>
          <w:sz w:val="21"/>
          <w:szCs w:val="21"/>
        </w:rPr>
      </w:pPr>
      <w:r>
        <w:rPr>
          <w:rFonts w:hint="eastAsia"/>
          <w:sz w:val="21"/>
          <w:szCs w:val="21"/>
        </w:rPr>
        <w:t>（17）代表基金份额持有人的利益行使因基金财产投资于目标ETF所产生的权利，基金合同另有约定的除外；</w:t>
      </w:r>
    </w:p>
    <w:p w14:paraId="28B03669">
      <w:pPr>
        <w:pStyle w:val="8"/>
        <w:spacing w:before="0" w:beforeAutospacing="0" w:after="0" w:afterAutospacing="0" w:line="360" w:lineRule="auto"/>
        <w:ind w:firstLine="420"/>
        <w:rPr>
          <w:sz w:val="21"/>
          <w:szCs w:val="21"/>
        </w:rPr>
      </w:pPr>
      <w:r>
        <w:rPr>
          <w:rFonts w:hint="eastAsia"/>
          <w:sz w:val="21"/>
          <w:szCs w:val="21"/>
        </w:rPr>
        <w:t>（18）法律法规及中国证监会规定的和《基金合同》约定的其他权利。</w:t>
      </w:r>
    </w:p>
    <w:p w14:paraId="0B511687">
      <w:pPr>
        <w:pStyle w:val="8"/>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14:paraId="21556A8D">
      <w:pPr>
        <w:pStyle w:val="8"/>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（1）依法募集资金，办理或者委托经中国证监会认定的其他机构代为办理基金份额的申购、赎回和登记事宜；</w:t>
      </w:r>
    </w:p>
    <w:p w14:paraId="1C92EF14">
      <w:pPr>
        <w:pStyle w:val="8"/>
        <w:spacing w:before="0" w:beforeAutospacing="0" w:after="0" w:afterAutospacing="0" w:line="360" w:lineRule="auto"/>
        <w:ind w:firstLine="420"/>
        <w:rPr>
          <w:sz w:val="21"/>
          <w:szCs w:val="21"/>
        </w:rPr>
      </w:pPr>
      <w:r>
        <w:rPr>
          <w:rFonts w:hint="eastAsia"/>
          <w:sz w:val="21"/>
          <w:szCs w:val="21"/>
        </w:rPr>
        <w:t>（2）办理基金备案手续；</w:t>
      </w:r>
    </w:p>
    <w:p w14:paraId="1F0C2159">
      <w:pPr>
        <w:pStyle w:val="8"/>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14:paraId="197E10EE">
      <w:pPr>
        <w:pStyle w:val="8"/>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14:paraId="3BC17880">
      <w:pPr>
        <w:pStyle w:val="8"/>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14:paraId="645A2FAB">
      <w:pPr>
        <w:pStyle w:val="8"/>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14:paraId="44E7E1A4">
      <w:pPr>
        <w:pStyle w:val="8"/>
        <w:spacing w:before="0" w:beforeAutospacing="0" w:after="0" w:afterAutospacing="0" w:line="360" w:lineRule="auto"/>
        <w:ind w:firstLine="420"/>
        <w:rPr>
          <w:sz w:val="21"/>
          <w:szCs w:val="21"/>
        </w:rPr>
      </w:pPr>
      <w:r>
        <w:rPr>
          <w:rFonts w:hint="eastAsia"/>
          <w:sz w:val="21"/>
          <w:szCs w:val="21"/>
        </w:rPr>
        <w:t>（7）依法接受基金托管人的监督；</w:t>
      </w:r>
    </w:p>
    <w:p w14:paraId="047DD322">
      <w:pPr>
        <w:pStyle w:val="8"/>
        <w:spacing w:before="0" w:beforeAutospacing="0" w:after="0" w:afterAutospacing="0" w:line="360" w:lineRule="auto"/>
        <w:ind w:firstLine="420"/>
        <w:rPr>
          <w:sz w:val="21"/>
          <w:szCs w:val="21"/>
        </w:rPr>
      </w:pPr>
      <w:r>
        <w:rPr>
          <w:rFonts w:hint="eastAsia"/>
          <w:sz w:val="21"/>
          <w:szCs w:val="21"/>
        </w:rPr>
        <w:t>（8）采取适当合理的措施使计算基金份额申购、赎回和注销价格的方法符合《基金合同》等法律文件的规定，按有关规定计算并公告基金净值信息，确定基金份额申购、赎回的价格；</w:t>
      </w:r>
    </w:p>
    <w:p w14:paraId="3DC80E7E">
      <w:pPr>
        <w:pStyle w:val="8"/>
        <w:spacing w:before="0" w:beforeAutospacing="0" w:after="0" w:afterAutospacing="0" w:line="360" w:lineRule="auto"/>
        <w:ind w:firstLine="420"/>
        <w:rPr>
          <w:sz w:val="21"/>
          <w:szCs w:val="21"/>
        </w:rPr>
      </w:pPr>
      <w:r>
        <w:rPr>
          <w:rFonts w:hint="eastAsia"/>
          <w:sz w:val="21"/>
          <w:szCs w:val="21"/>
        </w:rPr>
        <w:t>（9）进行基金会计核算并编制基金财务会计报告；</w:t>
      </w:r>
    </w:p>
    <w:p w14:paraId="50775D82">
      <w:pPr>
        <w:pStyle w:val="8"/>
        <w:spacing w:before="0" w:beforeAutospacing="0" w:after="0" w:afterAutospacing="0" w:line="360" w:lineRule="auto"/>
        <w:ind w:firstLine="420"/>
        <w:rPr>
          <w:sz w:val="21"/>
          <w:szCs w:val="21"/>
        </w:rPr>
      </w:pPr>
      <w:r>
        <w:rPr>
          <w:rFonts w:hint="eastAsia"/>
          <w:sz w:val="21"/>
          <w:szCs w:val="21"/>
        </w:rPr>
        <w:t>（10）编制季度报告、中期报告和年度报告；</w:t>
      </w:r>
    </w:p>
    <w:p w14:paraId="604A48E0">
      <w:pPr>
        <w:pStyle w:val="8"/>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14:paraId="3DD4BEB0">
      <w:pPr>
        <w:pStyle w:val="8"/>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2E1B8DFB">
      <w:pPr>
        <w:pStyle w:val="8"/>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14:paraId="360CD602">
      <w:pPr>
        <w:pStyle w:val="8"/>
        <w:spacing w:before="0" w:beforeAutospacing="0" w:after="0" w:afterAutospacing="0" w:line="360" w:lineRule="auto"/>
        <w:ind w:firstLine="420"/>
        <w:rPr>
          <w:sz w:val="21"/>
          <w:szCs w:val="21"/>
        </w:rPr>
      </w:pPr>
      <w:r>
        <w:rPr>
          <w:rFonts w:hint="eastAsia"/>
          <w:sz w:val="21"/>
          <w:szCs w:val="21"/>
        </w:rPr>
        <w:t>（14）按规定受理申购与赎回申请，及时、足额支付赎回款项；</w:t>
      </w:r>
    </w:p>
    <w:p w14:paraId="518B839B">
      <w:pPr>
        <w:pStyle w:val="8"/>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14:paraId="6536848D">
      <w:pPr>
        <w:pStyle w:val="8"/>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w:t>
      </w:r>
    </w:p>
    <w:p w14:paraId="67A59C5A">
      <w:pPr>
        <w:pStyle w:val="8"/>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7AEAA57">
      <w:pPr>
        <w:pStyle w:val="8"/>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14:paraId="3BFDD7BD">
      <w:pPr>
        <w:pStyle w:val="8"/>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14:paraId="7D5CCD37">
      <w:pPr>
        <w:pStyle w:val="8"/>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14:paraId="42568B97">
      <w:pPr>
        <w:pStyle w:val="8"/>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14:paraId="5CAA6209">
      <w:pPr>
        <w:pStyle w:val="8"/>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14:paraId="0F35EB86">
      <w:pPr>
        <w:pStyle w:val="8"/>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w:t>
      </w:r>
    </w:p>
    <w:p w14:paraId="07B41B35">
      <w:pPr>
        <w:pStyle w:val="8"/>
        <w:spacing w:before="0" w:beforeAutospacing="0" w:after="0" w:afterAutospacing="0" w:line="360" w:lineRule="auto"/>
        <w:ind w:firstLine="420"/>
        <w:rPr>
          <w:sz w:val="21"/>
          <w:szCs w:val="21"/>
        </w:rPr>
      </w:pPr>
      <w:r>
        <w:rPr>
          <w:rFonts w:hint="eastAsia"/>
          <w:sz w:val="21"/>
          <w:szCs w:val="21"/>
        </w:rPr>
        <w:t>（24）执行生效的基金份额持有人大会的决议；</w:t>
      </w:r>
    </w:p>
    <w:p w14:paraId="4076F521">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5</w:t>
      </w:r>
      <w:r>
        <w:rPr>
          <w:rFonts w:hint="eastAsia"/>
          <w:sz w:val="21"/>
          <w:szCs w:val="21"/>
        </w:rPr>
        <w:t>）建立并保存基金份额持有人名册；</w:t>
      </w:r>
    </w:p>
    <w:p w14:paraId="3BA0FDB0">
      <w:pPr>
        <w:pStyle w:val="8"/>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6</w:t>
      </w:r>
      <w:r>
        <w:rPr>
          <w:rFonts w:hint="eastAsia"/>
          <w:sz w:val="21"/>
          <w:szCs w:val="21"/>
        </w:rPr>
        <w:t>）法律法规及中国证监会规定的和《基金合同》约定的其他义务。</w:t>
      </w:r>
    </w:p>
    <w:p w14:paraId="1155FFB0">
      <w:pPr>
        <w:pStyle w:val="8"/>
        <w:spacing w:before="0" w:beforeAutospacing="0" w:after="0" w:afterAutospacing="0" w:line="360" w:lineRule="auto"/>
        <w:ind w:firstLine="420"/>
        <w:rPr>
          <w:sz w:val="21"/>
          <w:szCs w:val="21"/>
        </w:rPr>
      </w:pPr>
      <w:r>
        <w:rPr>
          <w:rFonts w:hint="eastAsia"/>
          <w:sz w:val="21"/>
          <w:szCs w:val="21"/>
        </w:rPr>
        <w:t>（二）基金托管人的权利与义务</w:t>
      </w:r>
    </w:p>
    <w:p w14:paraId="65DE82A9">
      <w:pPr>
        <w:pStyle w:val="8"/>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14:paraId="1DE101A0">
      <w:pPr>
        <w:pStyle w:val="8"/>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14:paraId="3107C912">
      <w:pPr>
        <w:pStyle w:val="8"/>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14:paraId="0FF20177">
      <w:pPr>
        <w:pStyle w:val="8"/>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4989C92">
      <w:pPr>
        <w:pStyle w:val="8"/>
        <w:spacing w:before="0" w:beforeAutospacing="0" w:after="0" w:afterAutospacing="0" w:line="360" w:lineRule="auto"/>
        <w:ind w:firstLine="420"/>
        <w:rPr>
          <w:sz w:val="21"/>
          <w:szCs w:val="21"/>
        </w:rPr>
      </w:pPr>
      <w:r>
        <w:rPr>
          <w:rFonts w:hint="eastAsia"/>
          <w:sz w:val="21"/>
          <w:szCs w:val="21"/>
        </w:rPr>
        <w:t>（4）根据相关市场规则，为基金开设托管账户、证券账户等投资所需账户，为基金办理证券、期货交易资金清算；</w:t>
      </w:r>
    </w:p>
    <w:p w14:paraId="635F3C1C">
      <w:pPr>
        <w:pStyle w:val="8"/>
        <w:spacing w:before="0" w:beforeAutospacing="0" w:after="0" w:afterAutospacing="0" w:line="360" w:lineRule="auto"/>
        <w:ind w:firstLine="420"/>
        <w:rPr>
          <w:sz w:val="21"/>
          <w:szCs w:val="21"/>
        </w:rPr>
      </w:pPr>
      <w:r>
        <w:rPr>
          <w:rFonts w:hint="eastAsia"/>
          <w:sz w:val="21"/>
          <w:szCs w:val="21"/>
        </w:rPr>
        <w:t>（5）提议召开或召集基金份额持有人大会；</w:t>
      </w:r>
    </w:p>
    <w:p w14:paraId="3DD1EDE5">
      <w:pPr>
        <w:pStyle w:val="8"/>
        <w:spacing w:before="0" w:beforeAutospacing="0" w:after="0" w:afterAutospacing="0" w:line="360" w:lineRule="auto"/>
        <w:ind w:firstLine="420"/>
        <w:rPr>
          <w:sz w:val="21"/>
          <w:szCs w:val="21"/>
        </w:rPr>
      </w:pPr>
      <w:r>
        <w:rPr>
          <w:rFonts w:hint="eastAsia"/>
          <w:sz w:val="21"/>
          <w:szCs w:val="21"/>
        </w:rPr>
        <w:t>（6）在基金管理人更换时，提名新的基金管理人；</w:t>
      </w:r>
    </w:p>
    <w:p w14:paraId="65E0A00C">
      <w:pPr>
        <w:pStyle w:val="8"/>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14:paraId="50E24767">
      <w:pPr>
        <w:pStyle w:val="8"/>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14:paraId="6B58C019">
      <w:pPr>
        <w:pStyle w:val="8"/>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14:paraId="4CD3CE5B">
      <w:pPr>
        <w:pStyle w:val="8"/>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14:paraId="601EFFD8">
      <w:pPr>
        <w:pStyle w:val="8"/>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8579A21">
      <w:pPr>
        <w:pStyle w:val="8"/>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14:paraId="41FD1EDC">
      <w:pPr>
        <w:pStyle w:val="8"/>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14:paraId="254CD2A7">
      <w:pPr>
        <w:pStyle w:val="8"/>
        <w:spacing w:before="0" w:beforeAutospacing="0" w:after="0" w:afterAutospacing="0" w:line="360" w:lineRule="auto"/>
        <w:ind w:firstLine="420"/>
        <w:rPr>
          <w:sz w:val="21"/>
          <w:szCs w:val="21"/>
        </w:rPr>
      </w:pPr>
      <w:r>
        <w:rPr>
          <w:rFonts w:hint="eastAsia"/>
          <w:sz w:val="21"/>
          <w:szCs w:val="21"/>
        </w:rPr>
        <w:t>（6）按规定开设基金财产的托管账户和证券账户等投资所需账户，按照《基金合同》的约定，根据基金管理人的投资指令，及时办理清算、交割事宜；</w:t>
      </w:r>
    </w:p>
    <w:p w14:paraId="2537668C">
      <w:pPr>
        <w:pStyle w:val="8"/>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0C484975">
      <w:pPr>
        <w:pStyle w:val="8"/>
        <w:spacing w:before="0" w:beforeAutospacing="0" w:after="0" w:afterAutospacing="0" w:line="360" w:lineRule="auto"/>
        <w:ind w:firstLine="420"/>
        <w:rPr>
          <w:sz w:val="21"/>
          <w:szCs w:val="21"/>
        </w:rPr>
      </w:pPr>
      <w:r>
        <w:rPr>
          <w:rFonts w:hint="eastAsia"/>
          <w:sz w:val="21"/>
          <w:szCs w:val="21"/>
        </w:rPr>
        <w:t>（8）复核、审查基金管理人计算的基金资产净值、各类基金份额净值、基金份额申购、赎回价格；</w:t>
      </w:r>
    </w:p>
    <w:p w14:paraId="4698C109">
      <w:pPr>
        <w:pStyle w:val="8"/>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14:paraId="2B39057A">
      <w:pPr>
        <w:pStyle w:val="8"/>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2CCB978A">
      <w:pPr>
        <w:pStyle w:val="8"/>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（11）保存基金托管业务活动的记录、账册、报表和其他相关资料不低于法律法规规定的最低期限；</w:t>
      </w:r>
    </w:p>
    <w:p w14:paraId="1F97419D">
      <w:pPr>
        <w:pStyle w:val="8"/>
        <w:spacing w:before="0" w:beforeAutospacing="0" w:after="0" w:afterAutospacing="0" w:line="360" w:lineRule="auto"/>
        <w:ind w:firstLine="420"/>
        <w:rPr>
          <w:sz w:val="21"/>
          <w:szCs w:val="21"/>
        </w:rPr>
      </w:pPr>
      <w:r>
        <w:rPr>
          <w:rFonts w:hint="eastAsia"/>
          <w:sz w:val="21"/>
          <w:szCs w:val="21"/>
        </w:rPr>
        <w:t>（12）保存基金份额持有人名册；</w:t>
      </w:r>
    </w:p>
    <w:p w14:paraId="4813FEF5">
      <w:pPr>
        <w:pStyle w:val="8"/>
        <w:spacing w:before="0" w:beforeAutospacing="0" w:after="0" w:afterAutospacing="0" w:line="360" w:lineRule="auto"/>
        <w:ind w:firstLine="420"/>
        <w:rPr>
          <w:sz w:val="21"/>
          <w:szCs w:val="21"/>
        </w:rPr>
      </w:pPr>
      <w:r>
        <w:rPr>
          <w:rFonts w:hint="eastAsia"/>
          <w:sz w:val="21"/>
          <w:szCs w:val="21"/>
        </w:rPr>
        <w:t>（13）按规定制作相关账册并与基金管理人核对；</w:t>
      </w:r>
    </w:p>
    <w:p w14:paraId="58C1EAFD">
      <w:pPr>
        <w:pStyle w:val="8"/>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（14）依据基金管理人的指令或有关规定向基金份额持有人支付基金收益和赎回款项；</w:t>
      </w:r>
    </w:p>
    <w:p w14:paraId="1F9C6E92">
      <w:pPr>
        <w:pStyle w:val="8"/>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14:paraId="1FC5B0B9">
      <w:pPr>
        <w:pStyle w:val="8"/>
        <w:spacing w:before="0" w:beforeAutospacing="0" w:after="0" w:afterAutospacing="0" w:line="360" w:lineRule="auto"/>
        <w:ind w:firstLine="420"/>
        <w:rPr>
          <w:sz w:val="21"/>
          <w:szCs w:val="21"/>
        </w:rPr>
      </w:pPr>
      <w:r>
        <w:rPr>
          <w:rFonts w:hint="eastAsia"/>
          <w:sz w:val="21"/>
          <w:szCs w:val="21"/>
        </w:rPr>
        <w:t>（16）按照法律法规和《基金合同》的规定监督基金管理人的投资运作；</w:t>
      </w:r>
    </w:p>
    <w:p w14:paraId="4BF1C5CA">
      <w:pPr>
        <w:pStyle w:val="8"/>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14:paraId="1A688459">
      <w:pPr>
        <w:pStyle w:val="8"/>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（18）面临解散、依法被撤销或者被依法宣告破产时，及时报告中国证监会和银行业监督管理机构，并通知基金管理人；</w:t>
      </w:r>
    </w:p>
    <w:p w14:paraId="058DF0B9">
      <w:pPr>
        <w:pStyle w:val="8"/>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14:paraId="2E0AF265">
      <w:pPr>
        <w:pStyle w:val="8"/>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14:paraId="4E4ACA16">
      <w:pPr>
        <w:pStyle w:val="8"/>
        <w:spacing w:before="0" w:beforeAutospacing="0" w:after="0" w:afterAutospacing="0" w:line="360" w:lineRule="auto"/>
        <w:ind w:firstLine="420"/>
        <w:rPr>
          <w:sz w:val="21"/>
          <w:szCs w:val="21"/>
        </w:rPr>
      </w:pPr>
      <w:r>
        <w:rPr>
          <w:rFonts w:hint="eastAsia"/>
          <w:sz w:val="21"/>
          <w:szCs w:val="21"/>
        </w:rPr>
        <w:t>（21）执行生效的基金份额持有人大会的决议；</w:t>
      </w:r>
    </w:p>
    <w:p w14:paraId="65DB1C3E">
      <w:pPr>
        <w:pStyle w:val="8"/>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14:paraId="234CCAD1">
      <w:pPr>
        <w:pStyle w:val="8"/>
        <w:spacing w:before="0" w:beforeAutospacing="0" w:after="0" w:afterAutospacing="0" w:line="360" w:lineRule="auto"/>
        <w:ind w:firstLine="420"/>
        <w:rPr>
          <w:sz w:val="21"/>
          <w:szCs w:val="21"/>
        </w:rPr>
      </w:pPr>
      <w:r>
        <w:rPr>
          <w:rFonts w:hint="eastAsia"/>
          <w:sz w:val="21"/>
          <w:szCs w:val="21"/>
        </w:rPr>
        <w:t>（三）基金份额持有人的权利与义务</w:t>
      </w:r>
    </w:p>
    <w:p w14:paraId="1DFFA4BE">
      <w:pPr>
        <w:pStyle w:val="8"/>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0414F5E">
      <w:pPr>
        <w:pStyle w:val="8"/>
        <w:spacing w:before="0" w:beforeAutospacing="0" w:after="0" w:afterAutospacing="0" w:line="360" w:lineRule="auto"/>
        <w:ind w:firstLine="420"/>
        <w:rPr>
          <w:sz w:val="21"/>
          <w:szCs w:val="21"/>
        </w:rPr>
      </w:pPr>
      <w:r>
        <w:rPr>
          <w:rFonts w:hint="eastAsia"/>
          <w:sz w:val="21"/>
          <w:szCs w:val="21"/>
        </w:rPr>
        <w:t>除法律法规另有规定或本基金合同另有约定外，同一类别每份基金份额具有同等的合法权益。</w:t>
      </w:r>
    </w:p>
    <w:p w14:paraId="51FABA14">
      <w:pPr>
        <w:pStyle w:val="8"/>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14:paraId="0AA90A4E">
      <w:pPr>
        <w:pStyle w:val="8"/>
        <w:spacing w:before="0" w:beforeAutospacing="0" w:after="0" w:afterAutospacing="0" w:line="360" w:lineRule="auto"/>
        <w:ind w:firstLine="420"/>
        <w:rPr>
          <w:sz w:val="21"/>
          <w:szCs w:val="21"/>
        </w:rPr>
      </w:pPr>
      <w:r>
        <w:rPr>
          <w:rFonts w:hint="eastAsia"/>
          <w:sz w:val="21"/>
          <w:szCs w:val="21"/>
        </w:rPr>
        <w:t>（1）分享基金财产收益；</w:t>
      </w:r>
    </w:p>
    <w:p w14:paraId="1DFC1181">
      <w:pPr>
        <w:pStyle w:val="8"/>
        <w:spacing w:before="0" w:beforeAutospacing="0" w:after="0" w:afterAutospacing="0" w:line="360" w:lineRule="auto"/>
        <w:ind w:firstLine="420"/>
        <w:rPr>
          <w:sz w:val="21"/>
          <w:szCs w:val="21"/>
        </w:rPr>
      </w:pPr>
      <w:r>
        <w:rPr>
          <w:rFonts w:hint="eastAsia"/>
          <w:sz w:val="21"/>
          <w:szCs w:val="21"/>
        </w:rPr>
        <w:t>（2）参与分配清算后的剩余基金财产；</w:t>
      </w:r>
    </w:p>
    <w:p w14:paraId="02D7F6D8">
      <w:pPr>
        <w:pStyle w:val="8"/>
        <w:spacing w:before="0" w:beforeAutospacing="0" w:after="0" w:afterAutospacing="0" w:line="360" w:lineRule="auto"/>
        <w:ind w:firstLine="420"/>
        <w:rPr>
          <w:sz w:val="21"/>
          <w:szCs w:val="21"/>
        </w:rPr>
      </w:pPr>
      <w:r>
        <w:rPr>
          <w:rFonts w:hint="eastAsia"/>
          <w:sz w:val="21"/>
          <w:szCs w:val="21"/>
        </w:rPr>
        <w:t>（3）依法转让或者申请赎回其持有的基金份额；</w:t>
      </w:r>
    </w:p>
    <w:p w14:paraId="7E56C146">
      <w:pPr>
        <w:pStyle w:val="8"/>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14:paraId="05045006">
      <w:pPr>
        <w:pStyle w:val="8"/>
        <w:spacing w:before="0" w:beforeAutospacing="0" w:after="0" w:afterAutospacing="0" w:line="360" w:lineRule="auto"/>
        <w:ind w:firstLine="420"/>
        <w:rPr>
          <w:sz w:val="21"/>
          <w:szCs w:val="21"/>
        </w:rPr>
      </w:pPr>
      <w:r>
        <w:rPr>
          <w:rFonts w:hint="eastAsia"/>
          <w:sz w:val="21"/>
          <w:szCs w:val="21"/>
        </w:rPr>
        <w:t>（5）出席或者委派代表出席本基金或目标ETF的基金份额持有人大会，对本基金或目标ETF的基金份额持有人大会审议事项行使表决权；</w:t>
      </w:r>
    </w:p>
    <w:p w14:paraId="1A4154A7">
      <w:pPr>
        <w:pStyle w:val="8"/>
        <w:spacing w:before="0" w:beforeAutospacing="0" w:after="0" w:afterAutospacing="0" w:line="360" w:lineRule="auto"/>
        <w:ind w:firstLine="420"/>
        <w:rPr>
          <w:sz w:val="21"/>
          <w:szCs w:val="21"/>
        </w:rPr>
      </w:pPr>
      <w:r>
        <w:rPr>
          <w:rFonts w:hint="eastAsia"/>
          <w:sz w:val="21"/>
          <w:szCs w:val="21"/>
        </w:rPr>
        <w:t>（6）查阅或者复制公开披露的基金信息资料；</w:t>
      </w:r>
    </w:p>
    <w:p w14:paraId="5569738F">
      <w:pPr>
        <w:pStyle w:val="8"/>
        <w:spacing w:before="0" w:beforeAutospacing="0" w:after="0" w:afterAutospacing="0" w:line="360" w:lineRule="auto"/>
        <w:ind w:firstLine="420"/>
        <w:rPr>
          <w:sz w:val="21"/>
          <w:szCs w:val="21"/>
        </w:rPr>
      </w:pPr>
      <w:r>
        <w:rPr>
          <w:rFonts w:hint="eastAsia"/>
          <w:sz w:val="21"/>
          <w:szCs w:val="21"/>
        </w:rPr>
        <w:t>（7）监督基金管理人的投资运作；</w:t>
      </w:r>
    </w:p>
    <w:p w14:paraId="1001A99A">
      <w:pPr>
        <w:pStyle w:val="8"/>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14:paraId="30FB4DA1">
      <w:pPr>
        <w:pStyle w:val="8"/>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14:paraId="0742BC15">
      <w:pPr>
        <w:pStyle w:val="8"/>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14:paraId="4D280F7A">
      <w:pPr>
        <w:pStyle w:val="8"/>
        <w:spacing w:before="0" w:beforeAutospacing="0" w:after="0" w:afterAutospacing="0" w:line="360" w:lineRule="auto"/>
        <w:ind w:firstLine="420"/>
        <w:rPr>
          <w:sz w:val="21"/>
          <w:szCs w:val="21"/>
        </w:rPr>
      </w:pPr>
      <w:r>
        <w:rPr>
          <w:rFonts w:hint="eastAsia"/>
          <w:sz w:val="21"/>
          <w:szCs w:val="21"/>
        </w:rPr>
        <w:t>（1）认真阅读并遵守《基金合同》、招募说明书等信息披露文件；</w:t>
      </w:r>
    </w:p>
    <w:p w14:paraId="694B4788">
      <w:pPr>
        <w:pStyle w:val="8"/>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14:paraId="72C0E327">
      <w:pPr>
        <w:pStyle w:val="8"/>
        <w:spacing w:before="0" w:beforeAutospacing="0" w:after="0" w:afterAutospacing="0" w:line="360" w:lineRule="auto"/>
        <w:ind w:firstLine="420"/>
        <w:rPr>
          <w:sz w:val="21"/>
          <w:szCs w:val="21"/>
        </w:rPr>
      </w:pPr>
      <w:r>
        <w:rPr>
          <w:rFonts w:hint="eastAsia"/>
          <w:sz w:val="21"/>
          <w:szCs w:val="21"/>
        </w:rPr>
        <w:t>（3）关注基金信息披露，及时行使权利和履行义务；</w:t>
      </w:r>
    </w:p>
    <w:p w14:paraId="34C35EF4">
      <w:pPr>
        <w:pStyle w:val="8"/>
        <w:spacing w:before="0" w:beforeAutospacing="0" w:after="0" w:afterAutospacing="0" w:line="360" w:lineRule="auto"/>
        <w:ind w:firstLine="420"/>
        <w:rPr>
          <w:sz w:val="21"/>
          <w:szCs w:val="21"/>
        </w:rPr>
      </w:pPr>
      <w:r>
        <w:rPr>
          <w:rFonts w:hint="eastAsia"/>
          <w:sz w:val="21"/>
          <w:szCs w:val="21"/>
        </w:rPr>
        <w:t>（4）交纳基金申购款项及法律法规和《基金合同》所规定的费用；</w:t>
      </w:r>
    </w:p>
    <w:p w14:paraId="314EB6E5">
      <w:pPr>
        <w:pStyle w:val="8"/>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14:paraId="0F296F55">
      <w:pPr>
        <w:pStyle w:val="8"/>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14:paraId="0CD53C87">
      <w:pPr>
        <w:pStyle w:val="8"/>
        <w:spacing w:before="0" w:beforeAutospacing="0" w:after="0" w:afterAutospacing="0" w:line="360" w:lineRule="auto"/>
        <w:ind w:firstLine="420"/>
        <w:rPr>
          <w:sz w:val="21"/>
          <w:szCs w:val="21"/>
        </w:rPr>
      </w:pPr>
      <w:r>
        <w:rPr>
          <w:rFonts w:hint="eastAsia"/>
          <w:sz w:val="21"/>
          <w:szCs w:val="21"/>
        </w:rPr>
        <w:t>（7）执行生效的基金份额持有人大会的决议；</w:t>
      </w:r>
    </w:p>
    <w:p w14:paraId="4A2137CF">
      <w:pPr>
        <w:pStyle w:val="8"/>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14:paraId="25C8E388">
      <w:pPr>
        <w:pStyle w:val="8"/>
        <w:spacing w:before="0" w:beforeAutospacing="0" w:after="0" w:afterAutospacing="0" w:line="360" w:lineRule="auto"/>
        <w:ind w:firstLine="420"/>
        <w:rPr>
          <w:sz w:val="21"/>
          <w:szCs w:val="21"/>
        </w:rPr>
      </w:pPr>
      <w:r>
        <w:rPr>
          <w:rFonts w:hint="eastAsia"/>
          <w:sz w:val="21"/>
          <w:szCs w:val="21"/>
        </w:rPr>
        <w:t>（9）发起资金提供方持有认购的基金份额不少于3年，法律法规或监管机构另有规定的除外；</w:t>
      </w:r>
    </w:p>
    <w:p w14:paraId="78CF1A44">
      <w:pPr>
        <w:pStyle w:val="8"/>
        <w:spacing w:before="0" w:beforeAutospacing="0" w:after="0" w:afterAutospacing="0" w:line="360" w:lineRule="auto"/>
        <w:ind w:firstLine="420"/>
        <w:rPr>
          <w:sz w:val="21"/>
          <w:szCs w:val="21"/>
        </w:rPr>
      </w:pPr>
      <w:r>
        <w:rPr>
          <w:rFonts w:hint="eastAsia"/>
          <w:sz w:val="21"/>
          <w:szCs w:val="21"/>
        </w:rPr>
        <w:t>（10）法律法规及中国证监会规定的和《基金合同》约定的其他义务。</w:t>
      </w:r>
    </w:p>
    <w:p w14:paraId="0278C7AE">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w:t>
      </w:r>
    </w:p>
    <w:p w14:paraId="16C782F5">
      <w:pPr>
        <w:pStyle w:val="8"/>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7CFF08F4">
      <w:pPr>
        <w:pStyle w:val="8"/>
        <w:spacing w:before="0" w:beforeAutospacing="0" w:after="0" w:afterAutospacing="0" w:line="360" w:lineRule="auto"/>
        <w:ind w:firstLine="420"/>
        <w:rPr>
          <w:sz w:val="21"/>
          <w:szCs w:val="21"/>
        </w:rPr>
      </w:pPr>
      <w:r>
        <w:rPr>
          <w:rFonts w:hint="eastAsia"/>
          <w:sz w:val="21"/>
          <w:szCs w:val="21"/>
        </w:rPr>
        <w:t>本基金份额持有人大会不设日常机构。</w:t>
      </w:r>
    </w:p>
    <w:p w14:paraId="7765079F">
      <w:pPr>
        <w:pStyle w:val="8"/>
        <w:spacing w:before="0" w:beforeAutospacing="0" w:after="0" w:afterAutospacing="0" w:line="360" w:lineRule="auto"/>
        <w:ind w:firstLine="420"/>
        <w:rPr>
          <w:sz w:val="21"/>
          <w:szCs w:val="21"/>
        </w:rPr>
      </w:pPr>
      <w:r>
        <w:rPr>
          <w:rFonts w:hint="eastAsia"/>
          <w:sz w:val="21"/>
          <w:szCs w:val="21"/>
        </w:rPr>
        <w:t>（一）召开事由</w:t>
      </w:r>
    </w:p>
    <w:p w14:paraId="34E227A7">
      <w:pPr>
        <w:pStyle w:val="8"/>
        <w:spacing w:before="0" w:beforeAutospacing="0" w:after="0" w:afterAutospacing="0" w:line="360" w:lineRule="auto"/>
        <w:ind w:firstLine="420"/>
        <w:rPr>
          <w:sz w:val="21"/>
          <w:szCs w:val="21"/>
        </w:rPr>
      </w:pPr>
      <w:r>
        <w:rPr>
          <w:rFonts w:hint="eastAsia"/>
          <w:sz w:val="21"/>
          <w:szCs w:val="21"/>
        </w:rPr>
        <w:t>1、除法律法规和中国证监会另有规定或《基金合同》另有约定外，当出现或需要决定下列事由之一的，应当召开基金份额持有人大会：</w:t>
      </w:r>
    </w:p>
    <w:p w14:paraId="4764CFE4">
      <w:pPr>
        <w:pStyle w:val="8"/>
        <w:spacing w:before="0" w:beforeAutospacing="0" w:after="0" w:afterAutospacing="0" w:line="360" w:lineRule="auto"/>
        <w:ind w:firstLine="420"/>
        <w:rPr>
          <w:sz w:val="21"/>
          <w:szCs w:val="21"/>
        </w:rPr>
      </w:pPr>
      <w:r>
        <w:rPr>
          <w:rFonts w:hint="eastAsia"/>
          <w:sz w:val="21"/>
          <w:szCs w:val="21"/>
        </w:rPr>
        <w:t>（1）终止《基金合同》；</w:t>
      </w:r>
    </w:p>
    <w:p w14:paraId="4D184D64">
      <w:pPr>
        <w:pStyle w:val="8"/>
        <w:spacing w:before="0" w:beforeAutospacing="0" w:after="0" w:afterAutospacing="0" w:line="360" w:lineRule="auto"/>
        <w:ind w:firstLine="420"/>
        <w:rPr>
          <w:sz w:val="21"/>
          <w:szCs w:val="21"/>
        </w:rPr>
      </w:pPr>
      <w:r>
        <w:rPr>
          <w:rFonts w:hint="eastAsia"/>
          <w:sz w:val="21"/>
          <w:szCs w:val="21"/>
        </w:rPr>
        <w:t>（2）更换基金管理人；</w:t>
      </w:r>
    </w:p>
    <w:p w14:paraId="31FA9C74">
      <w:pPr>
        <w:pStyle w:val="8"/>
        <w:spacing w:before="0" w:beforeAutospacing="0" w:after="0" w:afterAutospacing="0" w:line="360" w:lineRule="auto"/>
        <w:ind w:firstLine="420"/>
        <w:rPr>
          <w:sz w:val="21"/>
          <w:szCs w:val="21"/>
        </w:rPr>
      </w:pPr>
      <w:r>
        <w:rPr>
          <w:rFonts w:hint="eastAsia"/>
          <w:sz w:val="21"/>
          <w:szCs w:val="21"/>
        </w:rPr>
        <w:t>（3）更换基金托管人；</w:t>
      </w:r>
    </w:p>
    <w:p w14:paraId="12DDD99F">
      <w:pPr>
        <w:pStyle w:val="8"/>
        <w:spacing w:before="0" w:beforeAutospacing="0" w:after="0" w:afterAutospacing="0" w:line="360" w:lineRule="auto"/>
        <w:ind w:firstLine="420"/>
        <w:rPr>
          <w:sz w:val="21"/>
          <w:szCs w:val="21"/>
        </w:rPr>
      </w:pPr>
      <w:r>
        <w:rPr>
          <w:rFonts w:hint="eastAsia"/>
          <w:sz w:val="21"/>
          <w:szCs w:val="21"/>
        </w:rPr>
        <w:t>（4）转换基金运作方式；</w:t>
      </w:r>
    </w:p>
    <w:p w14:paraId="7A71E888">
      <w:pPr>
        <w:pStyle w:val="8"/>
        <w:spacing w:before="0" w:beforeAutospacing="0" w:after="0" w:afterAutospacing="0" w:line="360" w:lineRule="auto"/>
        <w:ind w:firstLine="420"/>
        <w:rPr>
          <w:sz w:val="21"/>
          <w:szCs w:val="21"/>
        </w:rPr>
      </w:pPr>
      <w:r>
        <w:rPr>
          <w:rFonts w:hint="eastAsia"/>
          <w:sz w:val="21"/>
          <w:szCs w:val="21"/>
        </w:rPr>
        <w:t>（5）调整基金管理人、基金托管人的报酬标准或提高销售服务费率；</w:t>
      </w:r>
    </w:p>
    <w:p w14:paraId="54E0ABAC">
      <w:pPr>
        <w:pStyle w:val="8"/>
        <w:spacing w:before="0" w:beforeAutospacing="0" w:after="0" w:afterAutospacing="0" w:line="360" w:lineRule="auto"/>
        <w:ind w:firstLine="420"/>
        <w:rPr>
          <w:sz w:val="21"/>
          <w:szCs w:val="21"/>
        </w:rPr>
      </w:pPr>
      <w:r>
        <w:rPr>
          <w:rFonts w:hint="eastAsia"/>
          <w:sz w:val="21"/>
          <w:szCs w:val="21"/>
        </w:rPr>
        <w:t>（6）变更基金类别；</w:t>
      </w:r>
    </w:p>
    <w:p w14:paraId="1AFBAB80">
      <w:pPr>
        <w:pStyle w:val="8"/>
        <w:spacing w:before="0" w:beforeAutospacing="0" w:after="0" w:afterAutospacing="0" w:line="360" w:lineRule="auto"/>
        <w:ind w:firstLine="420"/>
        <w:rPr>
          <w:sz w:val="21"/>
          <w:szCs w:val="21"/>
        </w:rPr>
      </w:pPr>
      <w:r>
        <w:rPr>
          <w:rFonts w:hint="eastAsia"/>
          <w:sz w:val="21"/>
          <w:szCs w:val="21"/>
        </w:rPr>
        <w:t>（7）本基金与其他基金的合并；</w:t>
      </w:r>
    </w:p>
    <w:p w14:paraId="7B90CB68">
      <w:pPr>
        <w:pStyle w:val="8"/>
        <w:spacing w:before="0" w:beforeAutospacing="0" w:after="0" w:afterAutospacing="0" w:line="360" w:lineRule="auto"/>
        <w:ind w:firstLine="420"/>
        <w:rPr>
          <w:sz w:val="21"/>
          <w:szCs w:val="21"/>
        </w:rPr>
      </w:pPr>
      <w:r>
        <w:rPr>
          <w:rFonts w:hint="eastAsia"/>
          <w:sz w:val="21"/>
          <w:szCs w:val="21"/>
        </w:rPr>
        <w:t>（8）变更基金投资目标、范围或策略；</w:t>
      </w:r>
    </w:p>
    <w:p w14:paraId="25B36CBB">
      <w:pPr>
        <w:pStyle w:val="8"/>
        <w:spacing w:before="0" w:beforeAutospacing="0" w:after="0" w:afterAutospacing="0" w:line="360" w:lineRule="auto"/>
        <w:ind w:firstLine="420"/>
        <w:rPr>
          <w:sz w:val="21"/>
          <w:szCs w:val="21"/>
        </w:rPr>
      </w:pPr>
      <w:r>
        <w:rPr>
          <w:rFonts w:hint="eastAsia"/>
          <w:sz w:val="21"/>
          <w:szCs w:val="21"/>
        </w:rPr>
        <w:t>（9）变更基金份额持有人大会程序；</w:t>
      </w:r>
    </w:p>
    <w:p w14:paraId="63849F5D">
      <w:pPr>
        <w:pStyle w:val="8"/>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14:paraId="034F1255">
      <w:pPr>
        <w:pStyle w:val="8"/>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14:paraId="32D97F2A">
      <w:pPr>
        <w:pStyle w:val="8"/>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14:paraId="75D5C9CE">
      <w:pPr>
        <w:pStyle w:val="8"/>
        <w:spacing w:before="0" w:beforeAutospacing="0" w:after="0" w:afterAutospacing="0" w:line="360" w:lineRule="auto"/>
        <w:ind w:firstLine="420"/>
        <w:rPr>
          <w:sz w:val="21"/>
          <w:szCs w:val="21"/>
        </w:rPr>
      </w:pPr>
      <w:r>
        <w:rPr>
          <w:rFonts w:hint="eastAsia"/>
          <w:sz w:val="21"/>
          <w:szCs w:val="21"/>
        </w:rPr>
        <w:t>（13）基金管理人代表本基金的基金份额持有人提议召开或召集目标ETF基金份额持有人大会；</w:t>
      </w:r>
    </w:p>
    <w:p w14:paraId="3DED9CB6">
      <w:pPr>
        <w:pStyle w:val="8"/>
        <w:spacing w:before="0" w:beforeAutospacing="0" w:after="0" w:afterAutospacing="0" w:line="360" w:lineRule="auto"/>
        <w:ind w:firstLine="420"/>
        <w:rPr>
          <w:sz w:val="21"/>
          <w:szCs w:val="21"/>
        </w:rPr>
      </w:pPr>
      <w:r>
        <w:rPr>
          <w:rFonts w:hint="eastAsia"/>
          <w:sz w:val="21"/>
          <w:szCs w:val="21"/>
        </w:rPr>
        <w:t>（14）法律法规、《基金合同》或中国证监会规定的其他应当召开基金份额持有人大会的事项。</w:t>
      </w:r>
    </w:p>
    <w:p w14:paraId="0E605161">
      <w:pPr>
        <w:pStyle w:val="8"/>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14:paraId="132E9093">
      <w:pPr>
        <w:pStyle w:val="8"/>
        <w:spacing w:before="0" w:beforeAutospacing="0" w:after="0" w:afterAutospacing="0" w:line="360" w:lineRule="auto"/>
        <w:ind w:firstLine="420"/>
        <w:rPr>
          <w:sz w:val="21"/>
          <w:szCs w:val="21"/>
        </w:rPr>
      </w:pPr>
      <w:r>
        <w:rPr>
          <w:rFonts w:hint="eastAsia"/>
          <w:sz w:val="21"/>
          <w:szCs w:val="21"/>
        </w:rPr>
        <w:t>（1）法律法规要求增加的基金费用的收取；</w:t>
      </w:r>
    </w:p>
    <w:p w14:paraId="71F4B7EE">
      <w:pPr>
        <w:pStyle w:val="8"/>
        <w:spacing w:before="0" w:beforeAutospacing="0" w:after="0" w:afterAutospacing="0" w:line="360" w:lineRule="auto"/>
        <w:ind w:firstLine="420"/>
        <w:rPr>
          <w:sz w:val="21"/>
          <w:szCs w:val="21"/>
        </w:rPr>
      </w:pPr>
      <w:r>
        <w:rPr>
          <w:rFonts w:hint="eastAsia"/>
          <w:sz w:val="21"/>
          <w:szCs w:val="21"/>
        </w:rPr>
        <w:t>（2）调整本基金的申购费率、调低赎回费率、调低销售服务费率或变更收费方式，调整基金份额类别设置、对基金份额分类办法及规则进行调整；</w:t>
      </w:r>
    </w:p>
    <w:p w14:paraId="6FEAA7D5">
      <w:pPr>
        <w:pStyle w:val="8"/>
        <w:spacing w:before="0" w:beforeAutospacing="0" w:after="0" w:afterAutospacing="0" w:line="360" w:lineRule="auto"/>
        <w:ind w:firstLine="420"/>
        <w:rPr>
          <w:sz w:val="21"/>
          <w:szCs w:val="21"/>
        </w:rPr>
      </w:pPr>
      <w:r>
        <w:rPr>
          <w:rFonts w:hint="eastAsia"/>
          <w:sz w:val="21"/>
          <w:szCs w:val="21"/>
        </w:rPr>
        <w:t>（3）因相应的法律法规发生变动而应当对《基金合同》进行修改；</w:t>
      </w:r>
    </w:p>
    <w:p w14:paraId="5982F2DC">
      <w:pPr>
        <w:pStyle w:val="8"/>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14:paraId="0346001B">
      <w:pPr>
        <w:pStyle w:val="8"/>
        <w:spacing w:before="0" w:beforeAutospacing="0" w:after="0" w:afterAutospacing="0" w:line="360" w:lineRule="auto"/>
        <w:ind w:firstLine="420"/>
        <w:rPr>
          <w:sz w:val="21"/>
          <w:szCs w:val="21"/>
        </w:rPr>
      </w:pPr>
      <w:r>
        <w:rPr>
          <w:rFonts w:hint="eastAsia"/>
          <w:sz w:val="21"/>
          <w:szCs w:val="21"/>
        </w:rPr>
        <w:t>（5）基金管理人、登记机构、基金销售机构调整有关申购、赎回、转换、基金交易、非交易过户、转托管等业务规则；</w:t>
      </w:r>
    </w:p>
    <w:p w14:paraId="76572D34">
      <w:pPr>
        <w:pStyle w:val="8"/>
        <w:spacing w:before="0" w:beforeAutospacing="0" w:after="0" w:afterAutospacing="0" w:line="360" w:lineRule="auto"/>
        <w:ind w:firstLine="420"/>
        <w:rPr>
          <w:sz w:val="21"/>
          <w:szCs w:val="21"/>
        </w:rPr>
      </w:pPr>
      <w:r>
        <w:rPr>
          <w:rFonts w:hint="eastAsia"/>
          <w:sz w:val="21"/>
          <w:szCs w:val="21"/>
        </w:rPr>
        <w:t>（6）履行相关程序后，基金推出新业务或服务；</w:t>
      </w:r>
    </w:p>
    <w:p w14:paraId="5ABA30EF">
      <w:pPr>
        <w:pStyle w:val="8"/>
        <w:spacing w:before="0" w:beforeAutospacing="0" w:after="0" w:afterAutospacing="0" w:line="360" w:lineRule="auto"/>
        <w:ind w:firstLine="420"/>
        <w:rPr>
          <w:sz w:val="21"/>
          <w:szCs w:val="21"/>
        </w:rPr>
      </w:pPr>
      <w:r>
        <w:rPr>
          <w:rFonts w:hint="eastAsia"/>
          <w:sz w:val="21"/>
          <w:szCs w:val="21"/>
        </w:rPr>
        <w:t>（7）由于目标ETF交易方式发生重大变更致使本基金的投资策略难以实现、目标ETF终止上市或目标ETF基金合同终止等情形时本基金变更为直接投资该标的指数的指数基金；</w:t>
      </w:r>
    </w:p>
    <w:p w14:paraId="05B3C476">
      <w:pPr>
        <w:pStyle w:val="8"/>
        <w:spacing w:before="0" w:beforeAutospacing="0" w:after="0" w:afterAutospacing="0" w:line="360" w:lineRule="auto"/>
        <w:ind w:firstLine="420"/>
        <w:rPr>
          <w:sz w:val="21"/>
          <w:szCs w:val="21"/>
        </w:rPr>
      </w:pPr>
      <w:r>
        <w:rPr>
          <w:rFonts w:hint="eastAsia"/>
          <w:sz w:val="21"/>
          <w:szCs w:val="21"/>
        </w:rPr>
        <w:t>（8）按照法律法规和《基金合同》规定不需召开基金份额持有人大会的其他情形。</w:t>
      </w:r>
    </w:p>
    <w:p w14:paraId="757FE9B9">
      <w:pPr>
        <w:pStyle w:val="8"/>
        <w:spacing w:before="0" w:beforeAutospacing="0" w:after="0" w:afterAutospacing="0" w:line="360" w:lineRule="auto"/>
        <w:ind w:firstLine="420"/>
        <w:rPr>
          <w:sz w:val="21"/>
          <w:szCs w:val="21"/>
        </w:rPr>
      </w:pPr>
      <w:r>
        <w:rPr>
          <w:rFonts w:hint="eastAsia"/>
          <w:sz w:val="21"/>
          <w:szCs w:val="21"/>
        </w:rPr>
        <w:t>（二）会议召集人及召集方式</w:t>
      </w:r>
    </w:p>
    <w:p w14:paraId="32EA373B">
      <w:pPr>
        <w:pStyle w:val="8"/>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14:paraId="2FA883CF">
      <w:pPr>
        <w:pStyle w:val="8"/>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14:paraId="7D0A8B20">
      <w:pPr>
        <w:pStyle w:val="8"/>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22FD595">
      <w:pPr>
        <w:pStyle w:val="8"/>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099A1C4">
      <w:pPr>
        <w:pStyle w:val="8"/>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FA30DC4">
      <w:pPr>
        <w:pStyle w:val="8"/>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14:paraId="621FD9D3">
      <w:pPr>
        <w:pStyle w:val="8"/>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14:paraId="2EB9385C">
      <w:pPr>
        <w:pStyle w:val="8"/>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14:paraId="664E11AD">
      <w:pPr>
        <w:pStyle w:val="8"/>
        <w:spacing w:before="0" w:beforeAutospacing="0" w:after="0" w:afterAutospacing="0" w:line="360" w:lineRule="auto"/>
        <w:ind w:firstLine="420"/>
        <w:rPr>
          <w:sz w:val="21"/>
          <w:szCs w:val="21"/>
        </w:rPr>
      </w:pPr>
      <w:r>
        <w:rPr>
          <w:rFonts w:hint="eastAsia"/>
          <w:sz w:val="21"/>
          <w:szCs w:val="21"/>
        </w:rPr>
        <w:t>（1）会议召开的时间、地点和会议形式；</w:t>
      </w:r>
    </w:p>
    <w:p w14:paraId="3E3EF412">
      <w:pPr>
        <w:pStyle w:val="8"/>
        <w:spacing w:before="0" w:beforeAutospacing="0" w:after="0" w:afterAutospacing="0" w:line="360" w:lineRule="auto"/>
        <w:ind w:firstLine="420"/>
        <w:rPr>
          <w:sz w:val="21"/>
          <w:szCs w:val="21"/>
        </w:rPr>
      </w:pPr>
      <w:r>
        <w:rPr>
          <w:rFonts w:hint="eastAsia"/>
          <w:sz w:val="21"/>
          <w:szCs w:val="21"/>
        </w:rPr>
        <w:t>（2）会议拟审议的事项、议事程序和表决方式；</w:t>
      </w:r>
    </w:p>
    <w:p w14:paraId="726D6BD8">
      <w:pPr>
        <w:pStyle w:val="8"/>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14:paraId="55BC5F89">
      <w:pPr>
        <w:pStyle w:val="8"/>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14:paraId="471FD763">
      <w:pPr>
        <w:pStyle w:val="8"/>
        <w:spacing w:before="0" w:beforeAutospacing="0" w:after="0" w:afterAutospacing="0" w:line="360" w:lineRule="auto"/>
        <w:ind w:firstLine="420"/>
        <w:rPr>
          <w:sz w:val="21"/>
          <w:szCs w:val="21"/>
        </w:rPr>
      </w:pPr>
      <w:r>
        <w:rPr>
          <w:rFonts w:hint="eastAsia"/>
          <w:sz w:val="21"/>
          <w:szCs w:val="21"/>
        </w:rPr>
        <w:t>（5）会务常设联系人姓名及联系电话；</w:t>
      </w:r>
    </w:p>
    <w:p w14:paraId="408B0C55">
      <w:pPr>
        <w:pStyle w:val="8"/>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14:paraId="0DEE4425">
      <w:pPr>
        <w:pStyle w:val="8"/>
        <w:spacing w:before="0" w:beforeAutospacing="0" w:after="0" w:afterAutospacing="0" w:line="360" w:lineRule="auto"/>
        <w:ind w:firstLine="420"/>
        <w:rPr>
          <w:sz w:val="21"/>
          <w:szCs w:val="21"/>
        </w:rPr>
      </w:pPr>
      <w:r>
        <w:rPr>
          <w:rFonts w:hint="eastAsia"/>
          <w:sz w:val="21"/>
          <w:szCs w:val="21"/>
        </w:rPr>
        <w:t>（7）召集人需要通知的其他事项。</w:t>
      </w:r>
    </w:p>
    <w:p w14:paraId="1E18C841">
      <w:pPr>
        <w:pStyle w:val="8"/>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3C42B40">
      <w:pPr>
        <w:pStyle w:val="8"/>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0D920427">
      <w:pPr>
        <w:pStyle w:val="8"/>
        <w:spacing w:before="0" w:beforeAutospacing="0" w:after="0" w:afterAutospacing="0" w:line="360" w:lineRule="auto"/>
        <w:ind w:firstLine="420"/>
        <w:rPr>
          <w:sz w:val="21"/>
          <w:szCs w:val="21"/>
        </w:rPr>
      </w:pPr>
      <w:r>
        <w:rPr>
          <w:rFonts w:hint="eastAsia"/>
          <w:sz w:val="21"/>
          <w:szCs w:val="21"/>
        </w:rPr>
        <w:t>（四）基金份额持有人出席会议的方式</w:t>
      </w:r>
    </w:p>
    <w:p w14:paraId="07A0C446">
      <w:pPr>
        <w:pStyle w:val="8"/>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14:paraId="13B4E750">
      <w:pPr>
        <w:pStyle w:val="8"/>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6C42640">
      <w:pPr>
        <w:pStyle w:val="8"/>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07C2553">
      <w:pPr>
        <w:pStyle w:val="8"/>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3BFEBA74">
      <w:pPr>
        <w:pStyle w:val="8"/>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505DC295">
      <w:pPr>
        <w:pStyle w:val="8"/>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14:paraId="181BF2F3">
      <w:pPr>
        <w:pStyle w:val="8"/>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w:t>
      </w:r>
    </w:p>
    <w:p w14:paraId="630FFD66">
      <w:pPr>
        <w:pStyle w:val="8"/>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B8AF9E8">
      <w:pPr>
        <w:pStyle w:val="8"/>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3BC53B2">
      <w:pPr>
        <w:pStyle w:val="8"/>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40CDAF5E">
      <w:pPr>
        <w:pStyle w:val="8"/>
        <w:spacing w:before="0" w:beforeAutospacing="0" w:after="0" w:afterAutospacing="0" w:line="360" w:lineRule="auto"/>
        <w:ind w:firstLine="420"/>
        <w:rPr>
          <w:sz w:val="21"/>
          <w:szCs w:val="21"/>
        </w:rPr>
      </w:pPr>
      <w:r>
        <w:rPr>
          <w:rFonts w:hint="eastAsia"/>
          <w:sz w:val="21"/>
          <w:szCs w:val="21"/>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5AE9FAAA">
      <w:pPr>
        <w:pStyle w:val="8"/>
        <w:spacing w:before="0" w:beforeAutospacing="0" w:after="0" w:afterAutospacing="0" w:line="360" w:lineRule="auto"/>
        <w:ind w:firstLine="420"/>
        <w:rPr>
          <w:sz w:val="21"/>
          <w:szCs w:val="21"/>
        </w:rPr>
      </w:pPr>
      <w:r>
        <w:rPr>
          <w:rFonts w:hint="eastAsia"/>
          <w:sz w:val="21"/>
          <w:szCs w:val="21"/>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E3864A4">
      <w:pPr>
        <w:pStyle w:val="8"/>
        <w:spacing w:before="0" w:beforeAutospacing="0" w:after="0" w:afterAutospacing="0" w:line="360" w:lineRule="auto"/>
        <w:ind w:firstLine="420"/>
        <w:rPr>
          <w:sz w:val="21"/>
          <w:szCs w:val="21"/>
        </w:rPr>
      </w:pPr>
      <w:r>
        <w:rPr>
          <w:rFonts w:hint="eastAsia"/>
          <w:sz w:val="21"/>
          <w:szCs w:val="21"/>
        </w:rPr>
        <w:t>（五）议事内容与程序</w:t>
      </w:r>
    </w:p>
    <w:p w14:paraId="7897751A">
      <w:pPr>
        <w:pStyle w:val="8"/>
        <w:spacing w:before="0" w:beforeAutospacing="0" w:after="0" w:afterAutospacing="0" w:line="360" w:lineRule="auto"/>
        <w:ind w:firstLine="420"/>
        <w:rPr>
          <w:sz w:val="21"/>
          <w:szCs w:val="21"/>
        </w:rPr>
      </w:pPr>
      <w:r>
        <w:rPr>
          <w:rFonts w:hint="eastAsia"/>
          <w:sz w:val="21"/>
          <w:szCs w:val="21"/>
        </w:rPr>
        <w:t>1、议事内容及提案权</w:t>
      </w:r>
    </w:p>
    <w:p w14:paraId="2DC0BED7">
      <w:pPr>
        <w:pStyle w:val="8"/>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63BA5FE7">
      <w:pPr>
        <w:pStyle w:val="8"/>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14:paraId="0A8A5409">
      <w:pPr>
        <w:pStyle w:val="8"/>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14:paraId="5E993D94">
      <w:pPr>
        <w:pStyle w:val="8"/>
        <w:spacing w:before="0" w:beforeAutospacing="0" w:after="0" w:afterAutospacing="0" w:line="360" w:lineRule="auto"/>
        <w:ind w:firstLine="420"/>
        <w:rPr>
          <w:sz w:val="21"/>
          <w:szCs w:val="21"/>
        </w:rPr>
      </w:pPr>
      <w:r>
        <w:rPr>
          <w:rFonts w:hint="eastAsia"/>
          <w:sz w:val="21"/>
          <w:szCs w:val="21"/>
        </w:rPr>
        <w:t>2、议事程序</w:t>
      </w:r>
    </w:p>
    <w:p w14:paraId="30F6C868">
      <w:pPr>
        <w:pStyle w:val="8"/>
        <w:spacing w:before="0" w:beforeAutospacing="0" w:after="0" w:afterAutospacing="0" w:line="360" w:lineRule="auto"/>
        <w:ind w:firstLine="420"/>
        <w:rPr>
          <w:sz w:val="21"/>
          <w:szCs w:val="21"/>
        </w:rPr>
      </w:pPr>
      <w:r>
        <w:rPr>
          <w:rFonts w:hint="eastAsia"/>
          <w:sz w:val="21"/>
          <w:szCs w:val="21"/>
        </w:rPr>
        <w:t>（1）现场开会</w:t>
      </w:r>
    </w:p>
    <w:p w14:paraId="4690EA23">
      <w:pPr>
        <w:pStyle w:val="8"/>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58996D48">
      <w:pPr>
        <w:pStyle w:val="8"/>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14:paraId="5BFFC78F">
      <w:pPr>
        <w:pStyle w:val="8"/>
        <w:spacing w:before="0" w:beforeAutospacing="0" w:after="0" w:afterAutospacing="0" w:line="360" w:lineRule="auto"/>
        <w:ind w:firstLine="420"/>
        <w:rPr>
          <w:sz w:val="21"/>
          <w:szCs w:val="21"/>
        </w:rPr>
      </w:pPr>
      <w:r>
        <w:rPr>
          <w:rFonts w:hint="eastAsia"/>
          <w:sz w:val="21"/>
          <w:szCs w:val="21"/>
        </w:rPr>
        <w:t>（2）通讯开会</w:t>
      </w:r>
    </w:p>
    <w:p w14:paraId="68429722">
      <w:pPr>
        <w:pStyle w:val="8"/>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14:paraId="3F6D535B">
      <w:pPr>
        <w:pStyle w:val="8"/>
        <w:spacing w:before="0" w:beforeAutospacing="0" w:after="0" w:afterAutospacing="0" w:line="360" w:lineRule="auto"/>
        <w:ind w:firstLine="420"/>
        <w:rPr>
          <w:sz w:val="21"/>
          <w:szCs w:val="21"/>
        </w:rPr>
      </w:pPr>
      <w:r>
        <w:rPr>
          <w:rFonts w:hint="eastAsia"/>
          <w:sz w:val="21"/>
          <w:szCs w:val="21"/>
        </w:rPr>
        <w:t>（六）表决</w:t>
      </w:r>
    </w:p>
    <w:p w14:paraId="3C7FDAEE">
      <w:pPr>
        <w:pStyle w:val="8"/>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14:paraId="466064CD">
      <w:pPr>
        <w:pStyle w:val="8"/>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14:paraId="20F539E2">
      <w:pPr>
        <w:pStyle w:val="8"/>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7347C1DC">
      <w:pPr>
        <w:pStyle w:val="8"/>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49B4909B">
      <w:pPr>
        <w:pStyle w:val="8"/>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14:paraId="40F2EACB">
      <w:pPr>
        <w:pStyle w:val="8"/>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1D3597DF">
      <w:pPr>
        <w:pStyle w:val="8"/>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14:paraId="6E2DDB2D">
      <w:pPr>
        <w:pStyle w:val="8"/>
        <w:spacing w:before="0" w:beforeAutospacing="0" w:after="0" w:afterAutospacing="0" w:line="360" w:lineRule="auto"/>
        <w:ind w:firstLine="420"/>
        <w:rPr>
          <w:sz w:val="21"/>
          <w:szCs w:val="21"/>
        </w:rPr>
      </w:pPr>
      <w:r>
        <w:rPr>
          <w:rFonts w:hint="eastAsia"/>
          <w:sz w:val="21"/>
          <w:szCs w:val="21"/>
        </w:rPr>
        <w:t>（七）计票</w:t>
      </w:r>
    </w:p>
    <w:p w14:paraId="47C04946">
      <w:pPr>
        <w:pStyle w:val="8"/>
        <w:spacing w:before="0" w:beforeAutospacing="0" w:after="0" w:afterAutospacing="0" w:line="360" w:lineRule="auto"/>
        <w:ind w:firstLine="420"/>
        <w:rPr>
          <w:sz w:val="21"/>
          <w:szCs w:val="21"/>
        </w:rPr>
      </w:pPr>
      <w:r>
        <w:rPr>
          <w:rFonts w:hint="eastAsia"/>
          <w:sz w:val="21"/>
          <w:szCs w:val="21"/>
        </w:rPr>
        <w:t>1、现场开会</w:t>
      </w:r>
    </w:p>
    <w:p w14:paraId="499BD1F4">
      <w:pPr>
        <w:pStyle w:val="8"/>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E87C543">
      <w:pPr>
        <w:pStyle w:val="8"/>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14:paraId="366094F6">
      <w:pPr>
        <w:pStyle w:val="8"/>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CB94D2A">
      <w:pPr>
        <w:pStyle w:val="8"/>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14:paraId="4128C63E">
      <w:pPr>
        <w:pStyle w:val="8"/>
        <w:spacing w:before="0" w:beforeAutospacing="0" w:after="0" w:afterAutospacing="0" w:line="360" w:lineRule="auto"/>
        <w:ind w:firstLine="420"/>
        <w:rPr>
          <w:sz w:val="21"/>
          <w:szCs w:val="21"/>
        </w:rPr>
      </w:pPr>
      <w:r>
        <w:rPr>
          <w:rFonts w:hint="eastAsia"/>
          <w:sz w:val="21"/>
          <w:szCs w:val="21"/>
        </w:rPr>
        <w:t>2、通讯开会</w:t>
      </w:r>
    </w:p>
    <w:p w14:paraId="1DF74E16">
      <w:pPr>
        <w:pStyle w:val="8"/>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2DAC1E31">
      <w:pPr>
        <w:pStyle w:val="8"/>
        <w:spacing w:before="0" w:beforeAutospacing="0" w:after="0" w:afterAutospacing="0" w:line="360" w:lineRule="auto"/>
        <w:ind w:firstLine="420"/>
        <w:rPr>
          <w:sz w:val="21"/>
          <w:szCs w:val="21"/>
        </w:rPr>
      </w:pPr>
      <w:r>
        <w:rPr>
          <w:rFonts w:hint="eastAsia"/>
          <w:sz w:val="21"/>
          <w:szCs w:val="21"/>
        </w:rPr>
        <w:t>（八）生效与公告</w:t>
      </w:r>
    </w:p>
    <w:p w14:paraId="54986C9D">
      <w:pPr>
        <w:pStyle w:val="8"/>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14:paraId="40D06AAC">
      <w:pPr>
        <w:pStyle w:val="8"/>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14:paraId="53E3AEB1">
      <w:pPr>
        <w:pStyle w:val="8"/>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14:paraId="59BF1B4F">
      <w:pPr>
        <w:pStyle w:val="8"/>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14:paraId="56A9541D">
      <w:pPr>
        <w:pStyle w:val="8"/>
        <w:spacing w:before="0" w:beforeAutospacing="0" w:after="0" w:afterAutospacing="0" w:line="360" w:lineRule="auto"/>
        <w:ind w:firstLine="420"/>
        <w:rPr>
          <w:sz w:val="21"/>
          <w:szCs w:val="21"/>
        </w:rPr>
      </w:pPr>
      <w:r>
        <w:rPr>
          <w:rFonts w:hint="eastAsia"/>
          <w:sz w:val="21"/>
          <w:szCs w:val="21"/>
        </w:rPr>
        <w:t>（九）实施侧袋机制期间基金份额持有人大会的特殊约定</w:t>
      </w:r>
    </w:p>
    <w:p w14:paraId="21C4B524">
      <w:pPr>
        <w:pStyle w:val="8"/>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1F3759A3">
      <w:pPr>
        <w:pStyle w:val="8"/>
        <w:spacing w:before="0" w:beforeAutospacing="0" w:after="0" w:afterAutospacing="0" w:line="360" w:lineRule="auto"/>
        <w:ind w:firstLine="420"/>
        <w:rPr>
          <w:sz w:val="21"/>
          <w:szCs w:val="21"/>
        </w:rPr>
      </w:pPr>
      <w:r>
        <w:rPr>
          <w:rFonts w:hint="eastAsia"/>
          <w:sz w:val="21"/>
          <w:szCs w:val="21"/>
        </w:rPr>
        <w:t>1、基金份额持有人行使提议权、召集权、提名权所需单独或合计代表相关基金份额10%以上（含10%）；</w:t>
      </w:r>
    </w:p>
    <w:p w14:paraId="64119761">
      <w:pPr>
        <w:pStyle w:val="8"/>
        <w:spacing w:before="0" w:beforeAutospacing="0" w:after="0" w:afterAutospacing="0" w:line="360" w:lineRule="auto"/>
        <w:ind w:firstLine="420"/>
        <w:rPr>
          <w:sz w:val="21"/>
          <w:szCs w:val="21"/>
        </w:rPr>
      </w:pPr>
      <w:r>
        <w:rPr>
          <w:rFonts w:hint="eastAsia"/>
          <w:sz w:val="21"/>
          <w:szCs w:val="21"/>
        </w:rPr>
        <w:t>2、现场开会的到会者在权益登记日代表的基金份额不少于本基金在权益登记日相关基金份额的二分之一（含二分之一）；</w:t>
      </w:r>
    </w:p>
    <w:p w14:paraId="33FE96B0">
      <w:pPr>
        <w:pStyle w:val="8"/>
        <w:spacing w:before="0" w:beforeAutospacing="0" w:after="0" w:afterAutospacing="0" w:line="360" w:lineRule="auto"/>
        <w:ind w:firstLine="420"/>
        <w:rPr>
          <w:sz w:val="21"/>
          <w:szCs w:val="21"/>
        </w:rPr>
      </w:pPr>
      <w:r>
        <w:rPr>
          <w:rFonts w:hint="eastAsia"/>
          <w:sz w:val="21"/>
          <w:szCs w:val="21"/>
        </w:rPr>
        <w:t>3、通讯开会的直接出具表决意见或授权他人代表出具表决意见的基金份额持有人所持有的基金份额不小于在权益登记日相关基金份额的二分之一（含二分之一）；</w:t>
      </w:r>
    </w:p>
    <w:p w14:paraId="78E9790B">
      <w:pPr>
        <w:pStyle w:val="8"/>
        <w:spacing w:before="0" w:beforeAutospacing="0" w:after="0" w:afterAutospacing="0" w:line="360" w:lineRule="auto"/>
        <w:ind w:firstLine="420"/>
        <w:rPr>
          <w:sz w:val="21"/>
          <w:szCs w:val="21"/>
        </w:rPr>
      </w:pPr>
      <w:r>
        <w:rPr>
          <w:rFonts w:hint="eastAsia"/>
          <w:sz w:val="21"/>
          <w:szCs w:val="21"/>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06AA7ABF">
      <w:pPr>
        <w:pStyle w:val="8"/>
        <w:spacing w:before="0" w:beforeAutospacing="0" w:after="0" w:afterAutospacing="0" w:line="360" w:lineRule="auto"/>
        <w:ind w:firstLine="420"/>
        <w:rPr>
          <w:sz w:val="21"/>
          <w:szCs w:val="21"/>
        </w:rPr>
      </w:pPr>
      <w:r>
        <w:rPr>
          <w:rFonts w:hint="eastAsia"/>
          <w:sz w:val="21"/>
          <w:szCs w:val="21"/>
        </w:rPr>
        <w:t>5、现场开会由出席大会的基金份额持有人和代理人所持表决权的50%以上（含50%）选举产生一名基金份额持有人作为该次基金份额持有人大会的主持人；</w:t>
      </w:r>
    </w:p>
    <w:p w14:paraId="2A0C5396">
      <w:pPr>
        <w:pStyle w:val="8"/>
        <w:spacing w:before="0" w:beforeAutospacing="0" w:after="0" w:afterAutospacing="0" w:line="360" w:lineRule="auto"/>
        <w:ind w:firstLine="420"/>
        <w:rPr>
          <w:sz w:val="21"/>
          <w:szCs w:val="21"/>
        </w:rPr>
      </w:pPr>
      <w:r>
        <w:rPr>
          <w:rFonts w:hint="eastAsia"/>
          <w:sz w:val="21"/>
          <w:szCs w:val="21"/>
        </w:rPr>
        <w:t>6、一般决议须经参加大会的基金份额持有人或其代理人所持表决权的二分之一以上（含二分之一）通过；</w:t>
      </w:r>
    </w:p>
    <w:p w14:paraId="38FFA454">
      <w:pPr>
        <w:pStyle w:val="8"/>
        <w:spacing w:before="0" w:beforeAutospacing="0" w:after="0" w:afterAutospacing="0" w:line="360" w:lineRule="auto"/>
        <w:ind w:firstLine="420"/>
        <w:rPr>
          <w:sz w:val="21"/>
          <w:szCs w:val="21"/>
        </w:rPr>
      </w:pPr>
      <w:r>
        <w:rPr>
          <w:rFonts w:hint="eastAsia"/>
          <w:sz w:val="21"/>
          <w:szCs w:val="21"/>
        </w:rPr>
        <w:t>7、特别决议应当经参加大会的基金份额持有人或其代理人所持表决权的三分之二以上（含三分之二）通过。</w:t>
      </w:r>
    </w:p>
    <w:p w14:paraId="6A7FA405">
      <w:pPr>
        <w:pStyle w:val="8"/>
        <w:spacing w:before="0" w:beforeAutospacing="0" w:after="0" w:afterAutospacing="0" w:line="360" w:lineRule="auto"/>
        <w:ind w:firstLine="420"/>
        <w:rPr>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1748CAE9">
      <w:pPr>
        <w:pStyle w:val="8"/>
        <w:spacing w:before="0" w:beforeAutospacing="0" w:after="0" w:afterAutospacing="0" w:line="360" w:lineRule="auto"/>
        <w:ind w:firstLine="420"/>
        <w:rPr>
          <w:sz w:val="21"/>
          <w:szCs w:val="21"/>
        </w:rPr>
      </w:pPr>
      <w:r>
        <w:rPr>
          <w:rFonts w:hint="eastAsia"/>
          <w:sz w:val="21"/>
          <w:szCs w:val="21"/>
        </w:rPr>
        <w:t>侧袋机制实施期间，关于基金份额持有人大会的相关规定以本节特殊约定内容为准，本节没有规定的适用上文相关约定。</w:t>
      </w:r>
    </w:p>
    <w:p w14:paraId="2077996E">
      <w:pPr>
        <w:pStyle w:val="8"/>
        <w:spacing w:before="0" w:beforeAutospacing="0" w:after="0" w:afterAutospacing="0" w:line="360" w:lineRule="auto"/>
        <w:ind w:firstLine="420"/>
        <w:rPr>
          <w:sz w:val="21"/>
          <w:szCs w:val="21"/>
        </w:rPr>
      </w:pPr>
      <w:r>
        <w:rPr>
          <w:rFonts w:hint="eastAsia"/>
          <w:sz w:val="21"/>
          <w:szCs w:val="21"/>
        </w:rPr>
        <w:t>（十）鉴于本基金是目标ETF的联接基金，本基金的基金份额持有人可以凭所持有的本基金份额出席或者委派代表出席目标ETF的基金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w:t>
      </w:r>
    </w:p>
    <w:p w14:paraId="096D9F43">
      <w:pPr>
        <w:pStyle w:val="8"/>
        <w:spacing w:before="0" w:beforeAutospacing="0" w:after="0" w:afterAutospacing="0" w:line="360" w:lineRule="auto"/>
        <w:ind w:firstLine="420"/>
        <w:rPr>
          <w:sz w:val="21"/>
          <w:szCs w:val="21"/>
        </w:rPr>
      </w:pPr>
      <w:r>
        <w:rPr>
          <w:rFonts w:hint="eastAsia"/>
          <w:sz w:val="21"/>
          <w:szCs w:val="21"/>
        </w:rPr>
        <w:t>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w:t>
      </w:r>
    </w:p>
    <w:p w14:paraId="143ED29C">
      <w:pPr>
        <w:pStyle w:val="8"/>
        <w:spacing w:before="0" w:beforeAutospacing="0" w:after="0" w:afterAutospacing="0" w:line="360" w:lineRule="auto"/>
        <w:ind w:firstLine="420"/>
        <w:rPr>
          <w:sz w:val="21"/>
          <w:szCs w:val="21"/>
        </w:rPr>
      </w:pPr>
      <w:r>
        <w:rPr>
          <w:rFonts w:hint="eastAsia"/>
          <w:sz w:val="21"/>
          <w:szCs w:val="21"/>
        </w:rPr>
        <w:t>本基金的基金管理人代表本基金的基金份额持有人提议召开或召集目标ETF的基金份额持有人大会的，须先遵照本基金基金合同的约定召开本基金的基金份额持有人大会，本基金的基金份额持有人大会决定提议召开或召集目标ETF的基金份额持有人大会的，由本基金基金管理人代表本基金的基金份额持有人提议召开或召集目标ETF的基金份额持有人大会。</w:t>
      </w:r>
    </w:p>
    <w:p w14:paraId="1631C713">
      <w:pPr>
        <w:pStyle w:val="8"/>
        <w:spacing w:before="0" w:beforeAutospacing="0" w:after="0" w:afterAutospacing="0" w:line="360" w:lineRule="auto"/>
        <w:ind w:firstLine="420"/>
        <w:rPr>
          <w:sz w:val="21"/>
          <w:szCs w:val="21"/>
        </w:rPr>
      </w:pPr>
      <w:r>
        <w:rPr>
          <w:rFonts w:hint="eastAsia"/>
          <w:sz w:val="21"/>
          <w:szCs w:val="21"/>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462FC569">
      <w:pPr>
        <w:pStyle w:val="8"/>
        <w:spacing w:before="0" w:beforeAutospacing="0" w:after="0" w:afterAutospacing="0" w:line="360" w:lineRule="auto"/>
        <w:ind w:firstLine="420"/>
        <w:rPr>
          <w:sz w:val="21"/>
          <w:szCs w:val="21"/>
        </w:rPr>
      </w:pPr>
      <w:r>
        <w:rPr>
          <w:rStyle w:val="12"/>
          <w:rFonts w:hint="eastAsia"/>
          <w:sz w:val="21"/>
          <w:szCs w:val="21"/>
        </w:rPr>
        <w:t>三、基金合同的变更、终止与基金财产的清算</w:t>
      </w:r>
    </w:p>
    <w:p w14:paraId="176DB8F8">
      <w:pPr>
        <w:pStyle w:val="8"/>
        <w:spacing w:before="0" w:beforeAutospacing="0" w:after="0" w:afterAutospacing="0" w:line="360" w:lineRule="auto"/>
        <w:ind w:firstLine="420"/>
        <w:rPr>
          <w:sz w:val="21"/>
          <w:szCs w:val="21"/>
        </w:rPr>
      </w:pPr>
      <w:r>
        <w:rPr>
          <w:rFonts w:hint="eastAsia"/>
          <w:sz w:val="21"/>
          <w:szCs w:val="21"/>
        </w:rPr>
        <w:t>（一）《基金合同》的变更</w:t>
      </w:r>
    </w:p>
    <w:p w14:paraId="5D58F30D">
      <w:pPr>
        <w:pStyle w:val="8"/>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7F206BBC">
      <w:pPr>
        <w:pStyle w:val="8"/>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1461B006">
      <w:pPr>
        <w:pStyle w:val="8"/>
        <w:spacing w:before="0" w:beforeAutospacing="0" w:after="0" w:afterAutospacing="0" w:line="360" w:lineRule="auto"/>
        <w:ind w:firstLine="420"/>
        <w:rPr>
          <w:sz w:val="21"/>
          <w:szCs w:val="21"/>
        </w:rPr>
      </w:pPr>
      <w:r>
        <w:rPr>
          <w:rFonts w:hint="eastAsia"/>
          <w:sz w:val="21"/>
          <w:szCs w:val="21"/>
        </w:rPr>
        <w:t>（二）《基金合同》的终止事由</w:t>
      </w:r>
    </w:p>
    <w:p w14:paraId="3C4F93A1">
      <w:pPr>
        <w:pStyle w:val="8"/>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79FD89B2">
      <w:pPr>
        <w:pStyle w:val="8"/>
        <w:spacing w:before="0" w:beforeAutospacing="0" w:after="0" w:afterAutospacing="0" w:line="360" w:lineRule="auto"/>
        <w:ind w:firstLine="420"/>
        <w:rPr>
          <w:sz w:val="21"/>
          <w:szCs w:val="21"/>
        </w:rPr>
      </w:pPr>
      <w:r>
        <w:rPr>
          <w:rFonts w:hint="eastAsia"/>
          <w:sz w:val="21"/>
          <w:szCs w:val="21"/>
        </w:rPr>
        <w:t>1、基金份额持有人大会决定终止的；</w:t>
      </w:r>
    </w:p>
    <w:p w14:paraId="7BD4FD28">
      <w:pPr>
        <w:pStyle w:val="8"/>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2A237D38">
      <w:pPr>
        <w:pStyle w:val="8"/>
        <w:spacing w:before="0" w:beforeAutospacing="0" w:after="0" w:afterAutospacing="0" w:line="360" w:lineRule="auto"/>
        <w:ind w:firstLine="420"/>
        <w:rPr>
          <w:sz w:val="21"/>
          <w:szCs w:val="21"/>
        </w:rPr>
      </w:pPr>
      <w:r>
        <w:rPr>
          <w:rFonts w:hint="eastAsia"/>
          <w:sz w:val="21"/>
          <w:szCs w:val="21"/>
        </w:rPr>
        <w:t>3、《基金合同》约定的其他情形；</w:t>
      </w:r>
    </w:p>
    <w:p w14:paraId="2098F17E">
      <w:pPr>
        <w:pStyle w:val="8"/>
        <w:spacing w:before="0" w:beforeAutospacing="0" w:after="0" w:afterAutospacing="0" w:line="360" w:lineRule="auto"/>
        <w:ind w:firstLine="420"/>
        <w:rPr>
          <w:sz w:val="21"/>
          <w:szCs w:val="21"/>
        </w:rPr>
      </w:pPr>
      <w:r>
        <w:rPr>
          <w:rFonts w:hint="eastAsia"/>
          <w:sz w:val="21"/>
          <w:szCs w:val="21"/>
        </w:rPr>
        <w:t>4、相关法律法规和中国证监会规定的其他情况。</w:t>
      </w:r>
    </w:p>
    <w:p w14:paraId="1319F588">
      <w:pPr>
        <w:pStyle w:val="8"/>
        <w:spacing w:before="0" w:beforeAutospacing="0" w:after="0" w:afterAutospacing="0" w:line="360" w:lineRule="auto"/>
        <w:ind w:firstLine="420"/>
        <w:rPr>
          <w:sz w:val="21"/>
          <w:szCs w:val="21"/>
        </w:rPr>
      </w:pPr>
      <w:r>
        <w:rPr>
          <w:rFonts w:hint="eastAsia"/>
          <w:sz w:val="21"/>
          <w:szCs w:val="21"/>
        </w:rPr>
        <w:t>（三）基金财产的清算</w:t>
      </w:r>
    </w:p>
    <w:p w14:paraId="65D6FBA8">
      <w:pPr>
        <w:pStyle w:val="8"/>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14:paraId="47B4B578">
      <w:pPr>
        <w:pStyle w:val="8"/>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6E0ACDF7">
      <w:pPr>
        <w:pStyle w:val="8"/>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5C66EF2D">
      <w:pPr>
        <w:pStyle w:val="8"/>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484C54B8">
      <w:pPr>
        <w:pStyle w:val="8"/>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06C2DF52">
      <w:pPr>
        <w:pStyle w:val="8"/>
        <w:spacing w:before="0" w:beforeAutospacing="0" w:after="0" w:afterAutospacing="0" w:line="360" w:lineRule="auto"/>
        <w:ind w:firstLine="420"/>
        <w:rPr>
          <w:sz w:val="21"/>
          <w:szCs w:val="21"/>
        </w:rPr>
      </w:pPr>
      <w:r>
        <w:rPr>
          <w:rFonts w:hint="eastAsia"/>
          <w:sz w:val="21"/>
          <w:szCs w:val="21"/>
        </w:rPr>
        <w:t>6、基金财产清算程序：</w:t>
      </w:r>
    </w:p>
    <w:p w14:paraId="021E914C">
      <w:pPr>
        <w:pStyle w:val="8"/>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7BE1DF7A">
      <w:pPr>
        <w:pStyle w:val="8"/>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779A5516">
      <w:pPr>
        <w:pStyle w:val="8"/>
        <w:spacing w:before="0" w:beforeAutospacing="0" w:after="0" w:afterAutospacing="0" w:line="360" w:lineRule="auto"/>
        <w:ind w:firstLine="420"/>
        <w:rPr>
          <w:sz w:val="21"/>
          <w:szCs w:val="21"/>
        </w:rPr>
      </w:pPr>
      <w:r>
        <w:rPr>
          <w:rFonts w:hint="eastAsia"/>
          <w:sz w:val="21"/>
          <w:szCs w:val="21"/>
        </w:rPr>
        <w:t>（3）对基金财产进行估值和变现；</w:t>
      </w:r>
    </w:p>
    <w:p w14:paraId="27E55377">
      <w:pPr>
        <w:pStyle w:val="8"/>
        <w:spacing w:before="0" w:beforeAutospacing="0" w:after="0" w:afterAutospacing="0" w:line="360" w:lineRule="auto"/>
        <w:ind w:firstLine="420"/>
        <w:rPr>
          <w:sz w:val="21"/>
          <w:szCs w:val="21"/>
        </w:rPr>
      </w:pPr>
      <w:r>
        <w:rPr>
          <w:rFonts w:hint="eastAsia"/>
          <w:sz w:val="21"/>
          <w:szCs w:val="21"/>
        </w:rPr>
        <w:t>（4）制作清算报告；</w:t>
      </w:r>
    </w:p>
    <w:p w14:paraId="74CFE71B">
      <w:pPr>
        <w:pStyle w:val="8"/>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4AFA6A37">
      <w:pPr>
        <w:pStyle w:val="8"/>
        <w:spacing w:before="0" w:beforeAutospacing="0" w:after="0" w:afterAutospacing="0" w:line="360" w:lineRule="auto"/>
        <w:ind w:firstLine="420"/>
        <w:rPr>
          <w:sz w:val="21"/>
          <w:szCs w:val="21"/>
        </w:rPr>
      </w:pPr>
      <w:r>
        <w:rPr>
          <w:rFonts w:hint="eastAsia"/>
          <w:sz w:val="21"/>
          <w:szCs w:val="21"/>
        </w:rPr>
        <w:t>（6）将清算报告报中国证监会备案并公告；</w:t>
      </w:r>
    </w:p>
    <w:p w14:paraId="0F8EC155">
      <w:pPr>
        <w:pStyle w:val="8"/>
        <w:spacing w:before="0" w:beforeAutospacing="0" w:after="0" w:afterAutospacing="0" w:line="360" w:lineRule="auto"/>
        <w:ind w:firstLine="420"/>
        <w:rPr>
          <w:sz w:val="21"/>
          <w:szCs w:val="21"/>
        </w:rPr>
      </w:pPr>
      <w:r>
        <w:rPr>
          <w:rFonts w:hint="eastAsia"/>
          <w:sz w:val="21"/>
          <w:szCs w:val="21"/>
        </w:rPr>
        <w:t>（7）对基金剩余财产进行分配。</w:t>
      </w:r>
    </w:p>
    <w:p w14:paraId="5D046ED3">
      <w:pPr>
        <w:pStyle w:val="8"/>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14:paraId="3B1A7A90">
      <w:pPr>
        <w:pStyle w:val="8"/>
        <w:spacing w:before="0" w:beforeAutospacing="0" w:after="0" w:afterAutospacing="0" w:line="360" w:lineRule="auto"/>
        <w:ind w:firstLine="420"/>
        <w:rPr>
          <w:sz w:val="21"/>
          <w:szCs w:val="21"/>
        </w:rPr>
      </w:pPr>
      <w:r>
        <w:rPr>
          <w:rFonts w:hint="eastAsia"/>
          <w:sz w:val="21"/>
          <w:szCs w:val="21"/>
        </w:rPr>
        <w:t>（四）清算费用</w:t>
      </w:r>
    </w:p>
    <w:p w14:paraId="5D5870CA">
      <w:pPr>
        <w:pStyle w:val="8"/>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5862A98F">
      <w:pPr>
        <w:pStyle w:val="8"/>
        <w:spacing w:before="0" w:beforeAutospacing="0" w:after="0" w:afterAutospacing="0" w:line="360" w:lineRule="auto"/>
        <w:ind w:firstLine="420"/>
        <w:rPr>
          <w:sz w:val="21"/>
          <w:szCs w:val="21"/>
        </w:rPr>
      </w:pPr>
      <w:r>
        <w:rPr>
          <w:rFonts w:hint="eastAsia"/>
          <w:sz w:val="21"/>
          <w:szCs w:val="21"/>
        </w:rPr>
        <w:t>（五）基金财产清算剩余资产的分配</w:t>
      </w:r>
    </w:p>
    <w:p w14:paraId="06C3CD8D">
      <w:pPr>
        <w:pStyle w:val="8"/>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11A2A7A2">
      <w:pPr>
        <w:pStyle w:val="8"/>
        <w:spacing w:before="0" w:beforeAutospacing="0" w:after="0" w:afterAutospacing="0" w:line="360" w:lineRule="auto"/>
        <w:ind w:firstLine="420"/>
        <w:rPr>
          <w:sz w:val="21"/>
          <w:szCs w:val="21"/>
        </w:rPr>
      </w:pPr>
      <w:r>
        <w:rPr>
          <w:rFonts w:hint="eastAsia"/>
          <w:sz w:val="21"/>
          <w:szCs w:val="21"/>
        </w:rPr>
        <w:t>（六）基金财产清算的公告</w:t>
      </w:r>
    </w:p>
    <w:p w14:paraId="4D418699">
      <w:pPr>
        <w:pStyle w:val="8"/>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6746E209">
      <w:pPr>
        <w:pStyle w:val="8"/>
        <w:spacing w:before="0" w:beforeAutospacing="0" w:after="0" w:afterAutospacing="0" w:line="360" w:lineRule="auto"/>
        <w:ind w:firstLine="420"/>
        <w:rPr>
          <w:sz w:val="21"/>
          <w:szCs w:val="21"/>
        </w:rPr>
      </w:pPr>
      <w:r>
        <w:rPr>
          <w:rFonts w:hint="eastAsia"/>
          <w:sz w:val="21"/>
          <w:szCs w:val="21"/>
        </w:rPr>
        <w:t>（七）基金财产清算账册及文件的保存</w:t>
      </w:r>
    </w:p>
    <w:p w14:paraId="25315A11">
      <w:pPr>
        <w:pStyle w:val="8"/>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14:paraId="70043BCE">
      <w:pPr>
        <w:pStyle w:val="8"/>
        <w:spacing w:before="0" w:beforeAutospacing="0" w:after="0" w:afterAutospacing="0" w:line="360" w:lineRule="auto"/>
        <w:ind w:firstLine="420"/>
        <w:rPr>
          <w:sz w:val="21"/>
          <w:szCs w:val="21"/>
        </w:rPr>
      </w:pPr>
      <w:r>
        <w:rPr>
          <w:rFonts w:hint="eastAsia"/>
          <w:sz w:val="21"/>
          <w:szCs w:val="21"/>
        </w:rPr>
        <w:t>（八）基金合并</w:t>
      </w:r>
    </w:p>
    <w:p w14:paraId="70E8312D">
      <w:pPr>
        <w:pStyle w:val="8"/>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w:t>
      </w:r>
    </w:p>
    <w:p w14:paraId="4178F285">
      <w:pPr>
        <w:pStyle w:val="8"/>
        <w:spacing w:before="0" w:beforeAutospacing="0" w:after="0" w:afterAutospacing="0" w:line="360" w:lineRule="auto"/>
        <w:ind w:firstLine="420"/>
        <w:rPr>
          <w:sz w:val="21"/>
          <w:szCs w:val="21"/>
        </w:rPr>
      </w:pPr>
      <w:r>
        <w:rPr>
          <w:rStyle w:val="12"/>
          <w:rFonts w:hint="eastAsia"/>
          <w:sz w:val="21"/>
          <w:szCs w:val="21"/>
        </w:rPr>
        <w:t>四、争议的处理</w:t>
      </w:r>
    </w:p>
    <w:p w14:paraId="569A459E">
      <w:pPr>
        <w:pStyle w:val="8"/>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48AF3B55">
      <w:pPr>
        <w:pStyle w:val="8"/>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50439042">
      <w:pPr>
        <w:pStyle w:val="8"/>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《基金合同》受中国法律（为本基金合同之目的，在此不包括香港、澳门特别行政区和台湾地区法律）管辖并从其解释。</w:t>
      </w:r>
    </w:p>
    <w:p w14:paraId="20FA0102">
      <w:pPr>
        <w:pStyle w:val="8"/>
        <w:spacing w:before="0" w:beforeAutospacing="0" w:after="0" w:afterAutospacing="0" w:line="360" w:lineRule="auto"/>
        <w:ind w:firstLine="420"/>
        <w:rPr>
          <w:sz w:val="21"/>
          <w:szCs w:val="21"/>
        </w:rPr>
      </w:pPr>
      <w:r>
        <w:rPr>
          <w:rStyle w:val="12"/>
          <w:rFonts w:hint="eastAsia"/>
          <w:sz w:val="21"/>
          <w:szCs w:val="21"/>
        </w:rPr>
        <w:t>五、基金合同存放地和投资者取得合同的方式</w:t>
      </w:r>
    </w:p>
    <w:p w14:paraId="52A5332F">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52" w:name="chapter_level1_22_71_section_1_end"/>
      <w:bookmarkEnd w:id="152"/>
      <w:r>
        <w:rPr>
          <w:rFonts w:hint="eastAsia"/>
          <w:sz w:val="21"/>
          <w:szCs w:val="21"/>
        </w:rPr>
        <w:t>和营业场所查阅。</w:t>
      </w:r>
    </w:p>
    <w:p w14:paraId="35BEDBCB">
      <w:pPr>
        <w:widowControl/>
        <w:jc w:val="left"/>
        <w:rPr>
          <w:rFonts w:ascii="宋体" w:hAnsi="宋体" w:eastAsia="宋体"/>
        </w:rPr>
      </w:pPr>
      <w:r>
        <w:rPr>
          <w:rFonts w:ascii="宋体" w:hAnsi="宋体" w:eastAsia="宋体"/>
        </w:rPr>
        <w:br w:type="page"/>
      </w:r>
    </w:p>
    <w:p w14:paraId="6C0340CB">
      <w:pPr>
        <w:pStyle w:val="2"/>
        <w:jc w:val="center"/>
        <w:rPr>
          <w:rFonts w:ascii="宋体" w:hAnsi="宋体" w:eastAsia="宋体"/>
          <w:sz w:val="30"/>
        </w:rPr>
      </w:pPr>
      <w:bookmarkStart w:id="153" w:name="chapter_level1_23_72"/>
      <w:bookmarkStart w:id="154" w:name="_Toc207939916"/>
      <w:r>
        <w:rPr>
          <w:rFonts w:hint="eastAsia" w:ascii="宋体" w:hAnsi="宋体" w:eastAsia="宋体"/>
          <w:sz w:val="30"/>
        </w:rPr>
        <w:t>第二十</w:t>
      </w:r>
      <w:r>
        <w:rPr>
          <w:rFonts w:hint="eastAsia" w:ascii="宋体" w:hAnsi="宋体" w:eastAsia="宋体"/>
          <w:sz w:val="30"/>
          <w:lang w:val="en-US" w:eastAsia="zh-CN"/>
        </w:rPr>
        <w:t>一</w:t>
      </w:r>
      <w:r>
        <w:rPr>
          <w:rFonts w:hint="eastAsia" w:ascii="宋体" w:hAnsi="宋体" w:eastAsia="宋体"/>
          <w:sz w:val="30"/>
        </w:rPr>
        <w:t>部分  基金托管协议的内容摘要</w:t>
      </w:r>
      <w:bookmarkEnd w:id="153"/>
      <w:bookmarkEnd w:id="154"/>
    </w:p>
    <w:p w14:paraId="11BFA4D4">
      <w:pPr>
        <w:pStyle w:val="8"/>
        <w:spacing w:before="0" w:beforeAutospacing="0" w:after="0" w:afterAutospacing="0" w:line="360" w:lineRule="auto"/>
        <w:ind w:firstLine="420"/>
        <w:rPr>
          <w:sz w:val="21"/>
          <w:szCs w:val="21"/>
        </w:rPr>
      </w:pPr>
      <w:bookmarkStart w:id="155" w:name="chapter_level1_23_72_section_1"/>
      <w:bookmarkEnd w:id="155"/>
      <w:r>
        <w:rPr>
          <w:rStyle w:val="12"/>
          <w:rFonts w:hint="eastAsia"/>
          <w:sz w:val="21"/>
          <w:szCs w:val="21"/>
        </w:rPr>
        <w:t>一、基金托管协议当事人</w:t>
      </w:r>
    </w:p>
    <w:p w14:paraId="606652A6">
      <w:pPr>
        <w:pStyle w:val="8"/>
        <w:spacing w:before="0" w:beforeAutospacing="0" w:after="0" w:afterAutospacing="0" w:line="360" w:lineRule="auto"/>
        <w:ind w:firstLine="420"/>
        <w:rPr>
          <w:sz w:val="21"/>
          <w:szCs w:val="21"/>
        </w:rPr>
      </w:pPr>
      <w:r>
        <w:rPr>
          <w:rFonts w:hint="eastAsia"/>
          <w:sz w:val="21"/>
          <w:szCs w:val="21"/>
        </w:rPr>
        <w:t>（一）基金管理人</w:t>
      </w:r>
    </w:p>
    <w:p w14:paraId="18ED6865">
      <w:pPr>
        <w:pStyle w:val="8"/>
        <w:spacing w:before="0" w:beforeAutospacing="0" w:after="0" w:afterAutospacing="0" w:line="360" w:lineRule="auto"/>
        <w:ind w:firstLine="420"/>
        <w:rPr>
          <w:sz w:val="21"/>
          <w:szCs w:val="21"/>
        </w:rPr>
      </w:pPr>
      <w:r>
        <w:rPr>
          <w:rFonts w:hint="eastAsia"/>
          <w:sz w:val="21"/>
          <w:szCs w:val="21"/>
        </w:rPr>
        <w:t>名称：博时基金管理有限公司</w:t>
      </w:r>
    </w:p>
    <w:p w14:paraId="1E50540A">
      <w:pPr>
        <w:pStyle w:val="8"/>
        <w:spacing w:before="0" w:beforeAutospacing="0" w:after="0" w:afterAutospacing="0" w:line="360" w:lineRule="auto"/>
        <w:ind w:firstLine="420"/>
        <w:rPr>
          <w:sz w:val="21"/>
          <w:szCs w:val="21"/>
        </w:rPr>
      </w:pPr>
      <w:r>
        <w:rPr>
          <w:rFonts w:hint="eastAsia"/>
          <w:sz w:val="21"/>
          <w:szCs w:val="21"/>
        </w:rPr>
        <w:t>注册地址：深圳市福田区莲花街道福新社区益田路5999号基金大厦21层</w:t>
      </w:r>
    </w:p>
    <w:p w14:paraId="48C691C6">
      <w:pPr>
        <w:pStyle w:val="8"/>
        <w:spacing w:before="0" w:beforeAutospacing="0" w:after="0" w:afterAutospacing="0" w:line="360" w:lineRule="auto"/>
        <w:ind w:firstLine="420"/>
        <w:rPr>
          <w:sz w:val="21"/>
          <w:szCs w:val="21"/>
        </w:rPr>
      </w:pPr>
      <w:r>
        <w:rPr>
          <w:rFonts w:hint="eastAsia"/>
          <w:sz w:val="21"/>
          <w:szCs w:val="21"/>
        </w:rPr>
        <w:t>办公地址：广东省深圳市福田区益田路5999号基金大厦21层</w:t>
      </w:r>
    </w:p>
    <w:p w14:paraId="49A7E4BD">
      <w:pPr>
        <w:pStyle w:val="8"/>
        <w:spacing w:before="0" w:beforeAutospacing="0" w:after="0" w:afterAutospacing="0" w:line="360" w:lineRule="auto"/>
        <w:ind w:firstLine="420"/>
        <w:rPr>
          <w:sz w:val="21"/>
          <w:szCs w:val="21"/>
        </w:rPr>
      </w:pPr>
      <w:r>
        <w:rPr>
          <w:rFonts w:hint="eastAsia"/>
          <w:sz w:val="21"/>
          <w:szCs w:val="21"/>
        </w:rPr>
        <w:t>邮政编码：518040</w:t>
      </w:r>
    </w:p>
    <w:p w14:paraId="720F1CE2">
      <w:pPr>
        <w:pStyle w:val="8"/>
        <w:spacing w:before="0" w:beforeAutospacing="0" w:after="0" w:afterAutospacing="0" w:line="360" w:lineRule="auto"/>
        <w:ind w:firstLine="420"/>
        <w:rPr>
          <w:sz w:val="21"/>
          <w:szCs w:val="21"/>
        </w:rPr>
      </w:pPr>
      <w:r>
        <w:rPr>
          <w:rFonts w:hint="eastAsia"/>
          <w:sz w:val="21"/>
          <w:szCs w:val="21"/>
        </w:rPr>
        <w:t>法定代表人：张东</w:t>
      </w:r>
    </w:p>
    <w:p w14:paraId="3446643B">
      <w:pPr>
        <w:pStyle w:val="8"/>
        <w:spacing w:before="0" w:beforeAutospacing="0" w:after="0" w:afterAutospacing="0" w:line="360" w:lineRule="auto"/>
        <w:ind w:firstLine="420"/>
        <w:rPr>
          <w:sz w:val="21"/>
          <w:szCs w:val="21"/>
        </w:rPr>
      </w:pPr>
      <w:r>
        <w:rPr>
          <w:rFonts w:hint="eastAsia"/>
          <w:sz w:val="21"/>
          <w:szCs w:val="21"/>
        </w:rPr>
        <w:t>成立日期：1998年7月13日</w:t>
      </w:r>
    </w:p>
    <w:p w14:paraId="12A5D014">
      <w:pPr>
        <w:pStyle w:val="8"/>
        <w:spacing w:before="0" w:beforeAutospacing="0" w:after="0" w:afterAutospacing="0" w:line="360" w:lineRule="auto"/>
        <w:ind w:firstLine="420"/>
        <w:rPr>
          <w:sz w:val="21"/>
          <w:szCs w:val="21"/>
        </w:rPr>
      </w:pPr>
      <w:r>
        <w:rPr>
          <w:rFonts w:hint="eastAsia"/>
          <w:sz w:val="21"/>
          <w:szCs w:val="21"/>
        </w:rPr>
        <w:t>批准设立机关及批准设立文号：中国证监会证监基字【1998】26号</w:t>
      </w:r>
    </w:p>
    <w:p w14:paraId="03B720C1">
      <w:pPr>
        <w:pStyle w:val="8"/>
        <w:spacing w:before="0" w:beforeAutospacing="0" w:after="0" w:afterAutospacing="0" w:line="360" w:lineRule="auto"/>
        <w:ind w:firstLine="420"/>
        <w:rPr>
          <w:sz w:val="21"/>
          <w:szCs w:val="21"/>
        </w:rPr>
      </w:pPr>
      <w:r>
        <w:rPr>
          <w:rFonts w:hint="eastAsia"/>
          <w:sz w:val="21"/>
          <w:szCs w:val="21"/>
        </w:rPr>
        <w:t>组织形式：有限责任公司</w:t>
      </w:r>
    </w:p>
    <w:p w14:paraId="325CA6A2">
      <w:pPr>
        <w:pStyle w:val="8"/>
        <w:spacing w:before="0" w:beforeAutospacing="0" w:after="0" w:afterAutospacing="0" w:line="360" w:lineRule="auto"/>
        <w:ind w:firstLine="420"/>
        <w:rPr>
          <w:sz w:val="21"/>
          <w:szCs w:val="21"/>
        </w:rPr>
      </w:pPr>
      <w:r>
        <w:rPr>
          <w:rFonts w:hint="eastAsia"/>
          <w:sz w:val="21"/>
          <w:szCs w:val="21"/>
        </w:rPr>
        <w:t>注册资本：2.5亿元人民币</w:t>
      </w:r>
    </w:p>
    <w:p w14:paraId="0A7B1A3F">
      <w:pPr>
        <w:pStyle w:val="8"/>
        <w:spacing w:before="0" w:beforeAutospacing="0" w:after="0" w:afterAutospacing="0" w:line="360" w:lineRule="auto"/>
        <w:ind w:firstLine="420"/>
        <w:rPr>
          <w:sz w:val="21"/>
          <w:szCs w:val="21"/>
        </w:rPr>
      </w:pPr>
      <w:r>
        <w:rPr>
          <w:rFonts w:hint="eastAsia"/>
          <w:sz w:val="21"/>
          <w:szCs w:val="21"/>
        </w:rPr>
        <w:t>存续期间：持续经营</w:t>
      </w:r>
    </w:p>
    <w:p w14:paraId="108294B4">
      <w:pPr>
        <w:pStyle w:val="8"/>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p>
    <w:p w14:paraId="7BE7B5FE">
      <w:pPr>
        <w:pStyle w:val="8"/>
        <w:spacing w:before="0" w:beforeAutospacing="0" w:after="0" w:afterAutospacing="0" w:line="360" w:lineRule="auto"/>
        <w:ind w:firstLine="420"/>
        <w:rPr>
          <w:sz w:val="21"/>
          <w:szCs w:val="21"/>
        </w:rPr>
      </w:pPr>
      <w:r>
        <w:rPr>
          <w:rFonts w:hint="eastAsia"/>
          <w:sz w:val="21"/>
          <w:szCs w:val="21"/>
        </w:rPr>
        <w:t>（二）基金托管人</w:t>
      </w:r>
    </w:p>
    <w:p w14:paraId="61E2B92D">
      <w:pPr>
        <w:pStyle w:val="8"/>
        <w:spacing w:before="0" w:beforeAutospacing="0" w:after="0" w:afterAutospacing="0" w:line="360" w:lineRule="auto"/>
        <w:ind w:firstLine="420"/>
        <w:rPr>
          <w:sz w:val="21"/>
          <w:szCs w:val="21"/>
        </w:rPr>
      </w:pPr>
      <w:r>
        <w:rPr>
          <w:rFonts w:hint="eastAsia"/>
          <w:sz w:val="21"/>
          <w:szCs w:val="21"/>
        </w:rPr>
        <w:t>名称：兴业银行股份有限公司</w:t>
      </w:r>
    </w:p>
    <w:p w14:paraId="34DC8F14">
      <w:pPr>
        <w:pStyle w:val="8"/>
        <w:spacing w:before="0" w:beforeAutospacing="0" w:after="0" w:afterAutospacing="0" w:line="360" w:lineRule="auto"/>
        <w:ind w:firstLine="420"/>
        <w:rPr>
          <w:sz w:val="21"/>
          <w:szCs w:val="21"/>
        </w:rPr>
      </w:pPr>
      <w:r>
        <w:rPr>
          <w:rFonts w:hint="eastAsia"/>
          <w:sz w:val="21"/>
          <w:szCs w:val="21"/>
        </w:rPr>
        <w:t>住所：福建省福州市台江区江滨中大道398号兴业银行大厦</w:t>
      </w:r>
    </w:p>
    <w:p w14:paraId="6078A77F">
      <w:pPr>
        <w:pStyle w:val="8"/>
        <w:spacing w:before="0" w:beforeAutospacing="0" w:after="0" w:afterAutospacing="0" w:line="360" w:lineRule="auto"/>
        <w:ind w:firstLine="420"/>
        <w:rPr>
          <w:sz w:val="21"/>
          <w:szCs w:val="21"/>
        </w:rPr>
      </w:pPr>
      <w:r>
        <w:rPr>
          <w:rFonts w:hint="eastAsia"/>
          <w:sz w:val="21"/>
          <w:szCs w:val="21"/>
        </w:rPr>
        <w:t>法定代表人：吕家进</w:t>
      </w:r>
    </w:p>
    <w:p w14:paraId="62BCA006">
      <w:pPr>
        <w:pStyle w:val="8"/>
        <w:spacing w:before="0" w:beforeAutospacing="0" w:after="0" w:afterAutospacing="0" w:line="360" w:lineRule="auto"/>
        <w:ind w:firstLine="420"/>
        <w:rPr>
          <w:sz w:val="21"/>
          <w:szCs w:val="21"/>
        </w:rPr>
      </w:pPr>
      <w:r>
        <w:rPr>
          <w:rFonts w:hint="eastAsia"/>
          <w:sz w:val="21"/>
          <w:szCs w:val="21"/>
        </w:rPr>
        <w:t>成立时间：1988年8月22日</w:t>
      </w:r>
    </w:p>
    <w:p w14:paraId="175F70E8">
      <w:pPr>
        <w:pStyle w:val="8"/>
        <w:spacing w:before="0" w:beforeAutospacing="0" w:after="0" w:afterAutospacing="0" w:line="360" w:lineRule="auto"/>
        <w:ind w:firstLine="420"/>
        <w:rPr>
          <w:sz w:val="21"/>
          <w:szCs w:val="21"/>
        </w:rPr>
      </w:pPr>
      <w:r>
        <w:rPr>
          <w:rFonts w:hint="eastAsia"/>
          <w:sz w:val="21"/>
          <w:szCs w:val="21"/>
        </w:rPr>
        <w:t>基金托管业务批准文号：证监基金字[2005]74号</w:t>
      </w:r>
    </w:p>
    <w:p w14:paraId="4461BF1D">
      <w:pPr>
        <w:pStyle w:val="8"/>
        <w:spacing w:before="0" w:beforeAutospacing="0" w:after="0" w:afterAutospacing="0" w:line="360" w:lineRule="auto"/>
        <w:ind w:firstLine="420"/>
        <w:rPr>
          <w:sz w:val="21"/>
          <w:szCs w:val="21"/>
        </w:rPr>
      </w:pPr>
      <w:r>
        <w:rPr>
          <w:rFonts w:hint="eastAsia"/>
          <w:sz w:val="21"/>
          <w:szCs w:val="21"/>
        </w:rPr>
        <w:t>组织形式：股份有限公司</w:t>
      </w:r>
    </w:p>
    <w:p w14:paraId="75A17BFA">
      <w:pPr>
        <w:pStyle w:val="8"/>
        <w:spacing w:before="0" w:beforeAutospacing="0" w:after="0" w:afterAutospacing="0" w:line="360" w:lineRule="auto"/>
        <w:ind w:firstLine="420"/>
        <w:rPr>
          <w:sz w:val="21"/>
          <w:szCs w:val="21"/>
        </w:rPr>
      </w:pPr>
      <w:r>
        <w:rPr>
          <w:rFonts w:hint="eastAsia"/>
          <w:sz w:val="21"/>
          <w:szCs w:val="21"/>
        </w:rPr>
        <w:t>注册资本：207.74亿元人民币</w:t>
      </w:r>
    </w:p>
    <w:p w14:paraId="744E3856">
      <w:pPr>
        <w:pStyle w:val="8"/>
        <w:spacing w:before="0" w:beforeAutospacing="0" w:after="0" w:afterAutospacing="0" w:line="360" w:lineRule="auto"/>
        <w:ind w:firstLine="420"/>
        <w:rPr>
          <w:sz w:val="21"/>
          <w:szCs w:val="21"/>
        </w:rPr>
      </w:pPr>
      <w:r>
        <w:rPr>
          <w:rFonts w:hint="eastAsia"/>
          <w:sz w:val="21"/>
          <w:szCs w:val="21"/>
        </w:rPr>
        <w:t>存续期间：持续经营</w:t>
      </w:r>
    </w:p>
    <w:p w14:paraId="3CCCCE6F">
      <w:pPr>
        <w:pStyle w:val="8"/>
        <w:spacing w:before="0" w:beforeAutospacing="0" w:after="0" w:afterAutospacing="0" w:line="360" w:lineRule="auto"/>
        <w:ind w:firstLine="420"/>
        <w:rPr>
          <w:sz w:val="21"/>
          <w:szCs w:val="21"/>
        </w:rPr>
      </w:pPr>
      <w:r>
        <w:rPr>
          <w:rFonts w:hint="eastAsia"/>
          <w:sz w:val="21"/>
          <w:szCs w:val="21"/>
        </w:rPr>
        <w:t>批准设立机关及批准设立文号:中国人民银行总行,银复[1988]347号</w:t>
      </w:r>
    </w:p>
    <w:p w14:paraId="62C2952B">
      <w:pPr>
        <w:pStyle w:val="8"/>
        <w:spacing w:before="0" w:beforeAutospacing="0" w:after="0" w:afterAutospacing="0" w:line="360" w:lineRule="auto"/>
        <w:ind w:firstLine="420"/>
        <w:rPr>
          <w:sz w:val="21"/>
          <w:szCs w:val="21"/>
        </w:rPr>
      </w:pPr>
      <w:r>
        <w:rPr>
          <w:rFonts w:hint="eastAsia"/>
          <w:sz w:val="21"/>
          <w:szCs w:val="21"/>
        </w:rPr>
        <w:t>经营范围：吸收公众存款；发放短期、中期和长期贷款；办理国内外结算；办理票据承兑与贴现；发行金融债券；代理发行、代理兑付；承销政府债券；买卖政府债券、金融债券；代理发行股票以外的有价证券；买卖、代理买卖股票以外的有价证券；资产托管业务；从事同业拆借；买卖、代理买卖外汇；结汇、售汇业务；从事银行卡业务；提供信用证服务及担保；代理收付款项及代理保险业务；提供保管箱服务；财务顾问、资信调查、咨询、见证业务；经中国银行保险监督管理委员会批准的其他业务；保险兼业代理业务；黄金及其制品进出口；公募证券投资基金销售；证券投资基金托管（依法需经批准的项目，经相关部门批准后方可开展经营活动，经营项目以相关部门批准文件或许可证件为准）。</w:t>
      </w:r>
    </w:p>
    <w:p w14:paraId="5F6C15C6">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二、基金托管人对基金管理人的业务监督和核查</w:t>
      </w:r>
    </w:p>
    <w:p w14:paraId="1C3ACA6D">
      <w:pPr>
        <w:pStyle w:val="8"/>
        <w:spacing w:before="0" w:beforeAutospacing="0" w:after="0" w:afterAutospacing="0" w:line="360" w:lineRule="auto"/>
        <w:ind w:firstLine="420"/>
        <w:rPr>
          <w:sz w:val="21"/>
          <w:szCs w:val="21"/>
        </w:rPr>
      </w:pPr>
      <w:r>
        <w:rPr>
          <w:rFonts w:hint="eastAsia"/>
          <w:sz w:val="21"/>
          <w:szCs w:val="21"/>
        </w:rPr>
        <w:t>（一）基金托管人对基金管理人的投资行为行使监督权</w:t>
      </w:r>
    </w:p>
    <w:p w14:paraId="021C590D">
      <w:pPr>
        <w:pStyle w:val="8"/>
        <w:spacing w:before="0" w:beforeAutospacing="0" w:after="0" w:afterAutospacing="0" w:line="360" w:lineRule="auto"/>
        <w:ind w:firstLine="420"/>
        <w:rPr>
          <w:sz w:val="21"/>
          <w:szCs w:val="21"/>
        </w:rPr>
      </w:pPr>
      <w:r>
        <w:rPr>
          <w:rFonts w:hint="eastAsia"/>
          <w:sz w:val="21"/>
          <w:szCs w:val="21"/>
        </w:rPr>
        <w:t>1、基金托管人根据有关法律法规的规定和《基金合同》的约定，对下述基金投资范围、投资对象进行监督。</w:t>
      </w:r>
    </w:p>
    <w:p w14:paraId="7847AC77">
      <w:pPr>
        <w:pStyle w:val="8"/>
        <w:spacing w:before="0" w:beforeAutospacing="0" w:after="0" w:afterAutospacing="0" w:line="360" w:lineRule="auto"/>
        <w:ind w:firstLine="420"/>
        <w:rPr>
          <w:rFonts w:hint="eastAsia"/>
          <w:sz w:val="21"/>
          <w:szCs w:val="21"/>
        </w:rPr>
      </w:pPr>
      <w:r>
        <w:rPr>
          <w:rFonts w:hint="eastAsia"/>
          <w:sz w:val="21"/>
          <w:szCs w:val="21"/>
        </w:rPr>
        <w:t>本基金主要投资于目标ETF、标的指数成份股和备选成份股（含存托凭证）。</w:t>
      </w:r>
    </w:p>
    <w:p w14:paraId="18D2E7DD">
      <w:pPr>
        <w:pStyle w:val="8"/>
        <w:spacing w:before="0" w:beforeAutospacing="0" w:after="0" w:afterAutospacing="0" w:line="360" w:lineRule="auto"/>
        <w:ind w:firstLine="420"/>
        <w:rPr>
          <w:rFonts w:hint="eastAsia"/>
          <w:sz w:val="21"/>
          <w:szCs w:val="21"/>
        </w:rPr>
      </w:pPr>
      <w:r>
        <w:rPr>
          <w:rFonts w:hint="eastAsia"/>
          <w:sz w:val="21"/>
          <w:szCs w:val="21"/>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14:paraId="75AA3D87">
      <w:pPr>
        <w:pStyle w:val="8"/>
        <w:spacing w:before="0" w:beforeAutospacing="0" w:after="0" w:afterAutospacing="0" w:line="360" w:lineRule="auto"/>
        <w:ind w:firstLine="420"/>
        <w:rPr>
          <w:rFonts w:hint="eastAsia"/>
          <w:sz w:val="21"/>
          <w:szCs w:val="21"/>
        </w:rPr>
      </w:pPr>
      <w:r>
        <w:rPr>
          <w:rFonts w:hint="eastAsia"/>
          <w:sz w:val="21"/>
          <w:szCs w:val="21"/>
        </w:rPr>
        <w:t>本基金可根据法律法规的规定参与融资及转融通证券出借业务。未来在法律法规允许的前提下，本基金可根据相关法律法规规定参与融券业务。</w:t>
      </w:r>
    </w:p>
    <w:p w14:paraId="43151411">
      <w:pPr>
        <w:pStyle w:val="8"/>
        <w:spacing w:before="0" w:beforeAutospacing="0" w:after="0" w:afterAutospacing="0" w:line="360" w:lineRule="auto"/>
        <w:ind w:firstLine="420"/>
        <w:rPr>
          <w:rFonts w:hint="eastAsia"/>
          <w:sz w:val="21"/>
          <w:szCs w:val="21"/>
        </w:rPr>
      </w:pPr>
      <w:r>
        <w:rPr>
          <w:rFonts w:hint="eastAsia"/>
          <w:sz w:val="21"/>
          <w:szCs w:val="21"/>
        </w:rPr>
        <w:t>本基金根据相关法律法规或中国证监会要求履行适当程序后，还可以投资于法律法规或中国证监会未来允许基金投资的其他金融工具。</w:t>
      </w:r>
    </w:p>
    <w:p w14:paraId="32755446">
      <w:pPr>
        <w:pStyle w:val="8"/>
        <w:spacing w:before="0" w:beforeAutospacing="0" w:after="0" w:afterAutospacing="0" w:line="360" w:lineRule="auto"/>
        <w:ind w:firstLine="420"/>
        <w:rPr>
          <w:rFonts w:hint="eastAsia"/>
          <w:sz w:val="21"/>
          <w:szCs w:val="21"/>
        </w:rPr>
      </w:pPr>
      <w:r>
        <w:rPr>
          <w:rFonts w:hint="eastAsia"/>
          <w:sz w:val="21"/>
          <w:szCs w:val="21"/>
        </w:rPr>
        <w:t>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3B47D374">
      <w:pPr>
        <w:pStyle w:val="8"/>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14:paraId="4A00A45D">
      <w:pPr>
        <w:pStyle w:val="8"/>
        <w:spacing w:before="0" w:beforeAutospacing="0" w:after="0" w:afterAutospacing="0" w:line="360" w:lineRule="auto"/>
        <w:ind w:firstLine="420"/>
        <w:rPr>
          <w:sz w:val="21"/>
          <w:szCs w:val="21"/>
        </w:rPr>
      </w:pPr>
      <w:r>
        <w:rPr>
          <w:rFonts w:hint="eastAsia"/>
          <w:sz w:val="21"/>
          <w:szCs w:val="21"/>
        </w:rPr>
        <w:t>2、基金托管人根据有关法律法规的规定及《基金合同》的约定对下述基金投资比例进行监督：</w:t>
      </w:r>
    </w:p>
    <w:p w14:paraId="62BC75D6">
      <w:pPr>
        <w:pStyle w:val="8"/>
        <w:spacing w:before="0" w:beforeAutospacing="0" w:after="0" w:afterAutospacing="0" w:line="360" w:lineRule="auto"/>
        <w:ind w:firstLine="420"/>
        <w:rPr>
          <w:sz w:val="21"/>
          <w:szCs w:val="21"/>
        </w:rPr>
      </w:pPr>
      <w:r>
        <w:rPr>
          <w:rFonts w:hint="eastAsia"/>
          <w:sz w:val="21"/>
          <w:szCs w:val="21"/>
        </w:rPr>
        <w:t>按法律法规的规定及《基金合同》的约定，本基金的投资组合比例应符合以下规定：</w:t>
      </w:r>
    </w:p>
    <w:p w14:paraId="0143802A">
      <w:pPr>
        <w:pStyle w:val="8"/>
        <w:spacing w:before="0" w:beforeAutospacing="0" w:after="0" w:afterAutospacing="0" w:line="360" w:lineRule="auto"/>
        <w:ind w:firstLine="420"/>
        <w:rPr>
          <w:sz w:val="21"/>
          <w:szCs w:val="21"/>
        </w:rPr>
      </w:pPr>
      <w:r>
        <w:rPr>
          <w:rFonts w:hint="eastAsia"/>
          <w:sz w:val="21"/>
          <w:szCs w:val="21"/>
        </w:rPr>
        <w:t>（1）本基金投资于目标ETF的资产比例不低于基金资产净值的90%，且不低于非现金基金资产的80%</w:t>
      </w:r>
      <w:r>
        <w:rPr>
          <w:rFonts w:hint="eastAsia" w:ascii="宋体" w:hAnsi="Times New Roman" w:eastAsia="宋体" w:cs="宋体"/>
          <w:kern w:val="0"/>
          <w:sz w:val="21"/>
          <w:szCs w:val="21"/>
        </w:rPr>
        <w:t>，投资港股通标的股票的比例不超过本基金股票资产的10%</w:t>
      </w:r>
      <w:r>
        <w:rPr>
          <w:rFonts w:hint="eastAsia"/>
          <w:sz w:val="21"/>
          <w:szCs w:val="21"/>
        </w:rPr>
        <w:t>；</w:t>
      </w:r>
    </w:p>
    <w:p w14:paraId="14A9B022">
      <w:pPr>
        <w:pStyle w:val="8"/>
        <w:spacing w:before="0" w:beforeAutospacing="0" w:after="0" w:afterAutospacing="0" w:line="360" w:lineRule="auto"/>
        <w:ind w:firstLine="420"/>
        <w:rPr>
          <w:sz w:val="21"/>
          <w:szCs w:val="21"/>
        </w:rPr>
      </w:pPr>
      <w:r>
        <w:rPr>
          <w:rFonts w:hint="eastAsia"/>
          <w:sz w:val="21"/>
          <w:szCs w:val="21"/>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760E5BD6">
      <w:pPr>
        <w:pStyle w:val="8"/>
        <w:spacing w:before="0" w:beforeAutospacing="0" w:after="0" w:afterAutospacing="0" w:line="360" w:lineRule="auto"/>
        <w:ind w:firstLine="420"/>
        <w:rPr>
          <w:sz w:val="21"/>
          <w:szCs w:val="21"/>
        </w:rPr>
      </w:pPr>
      <w:r>
        <w:rPr>
          <w:rFonts w:hint="eastAsia"/>
          <w:sz w:val="21"/>
          <w:szCs w:val="21"/>
        </w:rPr>
        <w:t>（3）本基金资产总值不得超过基金资产净值的140%；</w:t>
      </w:r>
    </w:p>
    <w:p w14:paraId="171055D0">
      <w:pPr>
        <w:pStyle w:val="8"/>
        <w:spacing w:before="0" w:beforeAutospacing="0" w:after="0" w:afterAutospacing="0" w:line="360" w:lineRule="auto"/>
        <w:ind w:firstLine="420"/>
        <w:rPr>
          <w:sz w:val="21"/>
          <w:szCs w:val="21"/>
        </w:rPr>
      </w:pPr>
      <w:r>
        <w:rPr>
          <w:rFonts w:hint="eastAsia"/>
          <w:sz w:val="21"/>
          <w:szCs w:val="21"/>
        </w:rPr>
        <w:t>（4）本基金投资于同一原始权益人的各类资产支持证券的比例，不得超过基金资产净值的10%；</w:t>
      </w:r>
    </w:p>
    <w:p w14:paraId="787F3DED">
      <w:pPr>
        <w:pStyle w:val="8"/>
        <w:spacing w:before="0" w:beforeAutospacing="0" w:after="0" w:afterAutospacing="0" w:line="360" w:lineRule="auto"/>
        <w:ind w:firstLine="420"/>
        <w:rPr>
          <w:sz w:val="21"/>
          <w:szCs w:val="21"/>
        </w:rPr>
      </w:pPr>
      <w:r>
        <w:rPr>
          <w:rFonts w:hint="eastAsia"/>
          <w:sz w:val="21"/>
          <w:szCs w:val="21"/>
        </w:rPr>
        <w:t>（5）本基金持有的全部资产支持证券，其市值不得超过基金资产净值的20%；</w:t>
      </w:r>
    </w:p>
    <w:p w14:paraId="1E614A71">
      <w:pPr>
        <w:pStyle w:val="8"/>
        <w:spacing w:before="0" w:beforeAutospacing="0" w:after="0" w:afterAutospacing="0" w:line="360" w:lineRule="auto"/>
        <w:ind w:firstLine="420"/>
        <w:rPr>
          <w:sz w:val="21"/>
          <w:szCs w:val="21"/>
        </w:rPr>
      </w:pPr>
      <w:r>
        <w:rPr>
          <w:rFonts w:hint="eastAsia"/>
          <w:sz w:val="21"/>
          <w:szCs w:val="21"/>
        </w:rPr>
        <w:t>（6）本基金持有的同一(指同一信用级别)资产支持证券的比例，不得超过该资产支持证券规模的10%；</w:t>
      </w:r>
    </w:p>
    <w:p w14:paraId="0D094DB5">
      <w:pPr>
        <w:pStyle w:val="8"/>
        <w:spacing w:before="0" w:beforeAutospacing="0" w:after="0" w:afterAutospacing="0" w:line="360" w:lineRule="auto"/>
        <w:ind w:firstLine="420"/>
        <w:rPr>
          <w:sz w:val="21"/>
          <w:szCs w:val="21"/>
        </w:rPr>
      </w:pPr>
      <w:r>
        <w:rPr>
          <w:rFonts w:hint="eastAsia"/>
          <w:sz w:val="21"/>
          <w:szCs w:val="21"/>
        </w:rPr>
        <w:t>（7）本基金管理人管理的全部基金投资于同一原始权益人的各类资产支持证券，不得超过其各类资产支持证券合计规模的10%；</w:t>
      </w:r>
    </w:p>
    <w:p w14:paraId="584D9EAD">
      <w:pPr>
        <w:pStyle w:val="8"/>
        <w:spacing w:before="0" w:beforeAutospacing="0" w:after="0" w:afterAutospacing="0" w:line="360" w:lineRule="auto"/>
        <w:ind w:firstLine="420"/>
        <w:rPr>
          <w:sz w:val="21"/>
          <w:szCs w:val="21"/>
        </w:rPr>
      </w:pPr>
      <w:r>
        <w:rPr>
          <w:rFonts w:hint="eastAsia"/>
          <w:sz w:val="21"/>
          <w:szCs w:val="21"/>
        </w:rPr>
        <w:t>（8）本基金应投资于信用级别评级为BBB以上(含BBB)的资产支持证券。基金持有资产支持证券期间，如果其信用等级下降、不再符合投资标准，应在评级报告发布之日起3个月内予以全部卖出；</w:t>
      </w:r>
    </w:p>
    <w:p w14:paraId="15D44C21">
      <w:pPr>
        <w:pStyle w:val="8"/>
        <w:spacing w:before="0" w:beforeAutospacing="0" w:after="0" w:afterAutospacing="0" w:line="360" w:lineRule="auto"/>
        <w:ind w:firstLine="420"/>
        <w:rPr>
          <w:sz w:val="21"/>
          <w:szCs w:val="21"/>
        </w:rPr>
      </w:pPr>
      <w:r>
        <w:rPr>
          <w:rFonts w:hint="eastAsia"/>
          <w:sz w:val="21"/>
          <w:szCs w:val="21"/>
        </w:rPr>
        <w:t>（9）基金财产参与股票发行申购，本基金所申报的金额不超过本基金的总资产，本基金所申报的股票数量不超过拟发行股票公司本次发行股票的总量；</w:t>
      </w:r>
    </w:p>
    <w:p w14:paraId="29E3E6FC">
      <w:pPr>
        <w:pStyle w:val="8"/>
        <w:spacing w:before="0" w:beforeAutospacing="0" w:after="0" w:afterAutospacing="0" w:line="360" w:lineRule="auto"/>
        <w:ind w:firstLine="420"/>
        <w:rPr>
          <w:sz w:val="21"/>
          <w:szCs w:val="21"/>
        </w:rPr>
      </w:pPr>
      <w:r>
        <w:rPr>
          <w:rFonts w:hint="eastAsia"/>
          <w:sz w:val="21"/>
          <w:szCs w:val="21"/>
        </w:rPr>
        <w:t>（10）本基金参与融资的，在任何交易日日终，本基金融资买入股票与其他有价证券市值之和，不得超过基金资产净值的95%；</w:t>
      </w:r>
    </w:p>
    <w:p w14:paraId="1EB1CA7B">
      <w:pPr>
        <w:pStyle w:val="8"/>
        <w:spacing w:before="0" w:beforeAutospacing="0" w:after="0" w:afterAutospacing="0" w:line="360" w:lineRule="auto"/>
        <w:ind w:firstLine="420"/>
        <w:rPr>
          <w:sz w:val="21"/>
          <w:szCs w:val="21"/>
        </w:rPr>
      </w:pPr>
      <w:r>
        <w:rPr>
          <w:rFonts w:hint="eastAsia"/>
          <w:sz w:val="21"/>
          <w:szCs w:val="21"/>
        </w:rPr>
        <w:t>（11）本基金投资于股指期货和国债期货，还应遵循如下投资组合限制：</w:t>
      </w:r>
    </w:p>
    <w:p w14:paraId="40B04721">
      <w:pPr>
        <w:pStyle w:val="8"/>
        <w:spacing w:before="0" w:beforeAutospacing="0" w:after="0" w:afterAutospacing="0" w:line="360" w:lineRule="auto"/>
        <w:ind w:firstLine="420"/>
        <w:rPr>
          <w:sz w:val="21"/>
          <w:szCs w:val="21"/>
        </w:rPr>
      </w:pPr>
      <w:r>
        <w:rPr>
          <w:rFonts w:hint="eastAsia"/>
          <w:sz w:val="21"/>
          <w:szCs w:val="21"/>
        </w:rPr>
        <w:t>1）在任何交易日日终，本基金持有的买入股指期货合约价值不超过基金资产净值的10%；在任何交易日日终，持有的买入国债期货合约价值，不得超过基金资产净值15%；</w:t>
      </w:r>
    </w:p>
    <w:p w14:paraId="355CE31A">
      <w:pPr>
        <w:pStyle w:val="8"/>
        <w:spacing w:before="0" w:beforeAutospacing="0" w:after="0" w:afterAutospacing="0" w:line="360" w:lineRule="auto"/>
        <w:ind w:firstLine="420"/>
        <w:rPr>
          <w:sz w:val="21"/>
          <w:szCs w:val="21"/>
        </w:rPr>
      </w:pPr>
      <w:r>
        <w:rPr>
          <w:rFonts w:hint="eastAsia"/>
          <w:sz w:val="21"/>
          <w:szCs w:val="21"/>
        </w:rPr>
        <w:t>2）在任何交易日日终，持有的卖出股指期货合约价值不超过基金持有的股票总市值的20%；在任何交易日日终，持有的卖出国债期货合约价值不得超过基金持有的债券总市值的30%；</w:t>
      </w:r>
    </w:p>
    <w:p w14:paraId="147624BA">
      <w:pPr>
        <w:pStyle w:val="8"/>
        <w:spacing w:before="0" w:beforeAutospacing="0" w:after="0" w:afterAutospacing="0" w:line="360" w:lineRule="auto"/>
        <w:ind w:firstLine="420"/>
        <w:rPr>
          <w:sz w:val="21"/>
          <w:szCs w:val="21"/>
        </w:rPr>
      </w:pPr>
      <w:r>
        <w:rPr>
          <w:rFonts w:hint="eastAsia"/>
          <w:sz w:val="21"/>
          <w:szCs w:val="21"/>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269E4744">
      <w:pPr>
        <w:pStyle w:val="8"/>
        <w:spacing w:before="0" w:beforeAutospacing="0" w:after="0" w:afterAutospacing="0" w:line="360" w:lineRule="auto"/>
        <w:ind w:firstLine="420"/>
        <w:rPr>
          <w:sz w:val="21"/>
          <w:szCs w:val="21"/>
        </w:rPr>
      </w:pPr>
      <w:r>
        <w:rPr>
          <w:rFonts w:hint="eastAsia"/>
          <w:sz w:val="21"/>
          <w:szCs w:val="21"/>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14:paraId="6BE07D9B">
      <w:pPr>
        <w:pStyle w:val="8"/>
        <w:spacing w:before="0" w:beforeAutospacing="0" w:after="0" w:afterAutospacing="0" w:line="360" w:lineRule="auto"/>
        <w:ind w:firstLine="420"/>
        <w:rPr>
          <w:sz w:val="21"/>
          <w:szCs w:val="21"/>
        </w:rPr>
      </w:pPr>
      <w:r>
        <w:rPr>
          <w:rFonts w:hint="eastAsia"/>
          <w:sz w:val="21"/>
          <w:szCs w:val="21"/>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346F4A45">
      <w:pPr>
        <w:pStyle w:val="8"/>
        <w:spacing w:before="0" w:beforeAutospacing="0" w:after="0" w:afterAutospacing="0" w:line="360" w:lineRule="auto"/>
        <w:ind w:firstLine="420"/>
        <w:rPr>
          <w:sz w:val="21"/>
          <w:szCs w:val="21"/>
        </w:rPr>
      </w:pPr>
      <w:r>
        <w:rPr>
          <w:rFonts w:hint="eastAsia"/>
          <w:sz w:val="21"/>
          <w:szCs w:val="21"/>
        </w:rPr>
        <w:t>（12）本基金投资于股票期权，还应遵循如下投资组合限制：</w:t>
      </w:r>
    </w:p>
    <w:p w14:paraId="2D4A6F36">
      <w:pPr>
        <w:pStyle w:val="8"/>
        <w:spacing w:before="0" w:beforeAutospacing="0" w:after="0" w:afterAutospacing="0" w:line="360" w:lineRule="auto"/>
        <w:ind w:firstLine="420"/>
        <w:rPr>
          <w:sz w:val="21"/>
          <w:szCs w:val="21"/>
        </w:rPr>
      </w:pPr>
      <w:r>
        <w:rPr>
          <w:rFonts w:hint="eastAsia"/>
          <w:sz w:val="21"/>
          <w:szCs w:val="21"/>
        </w:rPr>
        <w:t>1）因未平仓的期权合约支付和收取的权利金总额不得超过基金资产净值的10%；</w:t>
      </w:r>
    </w:p>
    <w:p w14:paraId="640E080E">
      <w:pPr>
        <w:pStyle w:val="8"/>
        <w:spacing w:before="0" w:beforeAutospacing="0" w:after="0" w:afterAutospacing="0" w:line="360" w:lineRule="auto"/>
        <w:ind w:firstLine="420"/>
        <w:rPr>
          <w:sz w:val="21"/>
          <w:szCs w:val="21"/>
        </w:rPr>
      </w:pPr>
      <w:r>
        <w:rPr>
          <w:rFonts w:hint="eastAsia"/>
          <w:sz w:val="21"/>
          <w:szCs w:val="21"/>
        </w:rPr>
        <w:t>2）开仓卖出认购期权的，应持有足额标的证券；开仓卖出认沽期权的，应持有合约行权所需的全额现金或交易所规则认可的可冲抵期权保证金的现金等价物；</w:t>
      </w:r>
    </w:p>
    <w:p w14:paraId="57A7F6A8">
      <w:pPr>
        <w:pStyle w:val="8"/>
        <w:spacing w:before="0" w:beforeAutospacing="0" w:after="0" w:afterAutospacing="0" w:line="360" w:lineRule="auto"/>
        <w:ind w:firstLine="420"/>
        <w:rPr>
          <w:sz w:val="21"/>
          <w:szCs w:val="21"/>
        </w:rPr>
      </w:pPr>
      <w:r>
        <w:rPr>
          <w:rFonts w:hint="eastAsia"/>
          <w:sz w:val="21"/>
          <w:szCs w:val="21"/>
        </w:rPr>
        <w:t>3）未平仓的期权合约面值不得超过基金资产净值的20%。其中，合约面值按照行权价乘以合约乘数计算；</w:t>
      </w:r>
    </w:p>
    <w:p w14:paraId="79FA5FA4">
      <w:pPr>
        <w:pStyle w:val="8"/>
        <w:spacing w:before="0" w:beforeAutospacing="0" w:after="0" w:afterAutospacing="0" w:line="360" w:lineRule="auto"/>
        <w:ind w:firstLine="420"/>
        <w:rPr>
          <w:sz w:val="21"/>
          <w:szCs w:val="21"/>
        </w:rPr>
      </w:pPr>
      <w:r>
        <w:rPr>
          <w:rFonts w:hint="eastAsia"/>
          <w:sz w:val="21"/>
          <w:szCs w:val="21"/>
        </w:rPr>
        <w:t>（13）本基金参与转融通证券出借业务，需遵守下列投资限制：</w:t>
      </w:r>
    </w:p>
    <w:p w14:paraId="332DABFE">
      <w:pPr>
        <w:pStyle w:val="8"/>
        <w:spacing w:before="0" w:beforeAutospacing="0" w:after="0" w:afterAutospacing="0" w:line="360" w:lineRule="auto"/>
        <w:ind w:firstLine="420"/>
        <w:rPr>
          <w:sz w:val="21"/>
          <w:szCs w:val="21"/>
        </w:rPr>
      </w:pPr>
      <w:r>
        <w:rPr>
          <w:rFonts w:hint="eastAsia"/>
          <w:sz w:val="21"/>
          <w:szCs w:val="21"/>
        </w:rPr>
        <w:t>1）出借证券资产不得超过基金资产净值的30%，出借期限在10 个交易日以上的出借证券应纳入《流动性风险管理规定》所述流动性受限证券的范围；</w:t>
      </w:r>
    </w:p>
    <w:p w14:paraId="03A98E3B">
      <w:pPr>
        <w:pStyle w:val="8"/>
        <w:spacing w:before="0" w:beforeAutospacing="0" w:after="0" w:afterAutospacing="0" w:line="360" w:lineRule="auto"/>
        <w:ind w:firstLine="420"/>
        <w:rPr>
          <w:sz w:val="21"/>
          <w:szCs w:val="21"/>
        </w:rPr>
      </w:pPr>
      <w:r>
        <w:rPr>
          <w:rFonts w:hint="eastAsia"/>
          <w:sz w:val="21"/>
          <w:szCs w:val="21"/>
        </w:rPr>
        <w:t>2）参与出借业务的单只证券不得超过本基金持有该证券总量的50%；</w:t>
      </w:r>
    </w:p>
    <w:p w14:paraId="6849EA31">
      <w:pPr>
        <w:pStyle w:val="8"/>
        <w:spacing w:before="0" w:beforeAutospacing="0" w:after="0" w:afterAutospacing="0" w:line="360" w:lineRule="auto"/>
        <w:ind w:firstLine="420"/>
        <w:rPr>
          <w:sz w:val="21"/>
          <w:szCs w:val="21"/>
        </w:rPr>
      </w:pPr>
      <w:r>
        <w:rPr>
          <w:rFonts w:hint="eastAsia"/>
          <w:sz w:val="21"/>
          <w:szCs w:val="21"/>
        </w:rPr>
        <w:t>3）最近6个月内日均基金资产净值不得低于2亿元；</w:t>
      </w:r>
    </w:p>
    <w:p w14:paraId="347870FD">
      <w:pPr>
        <w:pStyle w:val="8"/>
        <w:spacing w:before="0" w:beforeAutospacing="0" w:after="0" w:afterAutospacing="0" w:line="360" w:lineRule="auto"/>
        <w:ind w:firstLine="420"/>
        <w:rPr>
          <w:sz w:val="21"/>
          <w:szCs w:val="21"/>
        </w:rPr>
      </w:pPr>
      <w:r>
        <w:rPr>
          <w:rFonts w:hint="eastAsia"/>
          <w:sz w:val="21"/>
          <w:szCs w:val="21"/>
        </w:rPr>
        <w:t>4）证券出借的平均剩余期限不得超过30天，平均剩余期限按照市值加权平均计算；</w:t>
      </w:r>
    </w:p>
    <w:p w14:paraId="265D45BA">
      <w:pPr>
        <w:pStyle w:val="8"/>
        <w:spacing w:before="0" w:beforeAutospacing="0" w:after="0" w:afterAutospacing="0" w:line="360" w:lineRule="auto"/>
        <w:ind w:firstLine="420"/>
        <w:rPr>
          <w:sz w:val="21"/>
          <w:szCs w:val="21"/>
        </w:rPr>
      </w:pPr>
      <w:r>
        <w:rPr>
          <w:rFonts w:hint="eastAsia"/>
          <w:sz w:val="21"/>
          <w:szCs w:val="21"/>
        </w:rPr>
        <w:t>因证券市场波动、上市公司合并、基金规模变动等基金管理人之外的因素致使基金投资不符合上述规定的，基金管理人不得新增出借业务；</w:t>
      </w:r>
    </w:p>
    <w:p w14:paraId="3B838967">
      <w:pPr>
        <w:pStyle w:val="8"/>
        <w:spacing w:before="0" w:beforeAutospacing="0" w:after="0" w:afterAutospacing="0" w:line="360" w:lineRule="auto"/>
        <w:ind w:firstLine="420"/>
        <w:rPr>
          <w:sz w:val="21"/>
          <w:szCs w:val="21"/>
        </w:rPr>
      </w:pPr>
      <w:r>
        <w:rPr>
          <w:rFonts w:hint="eastAsia"/>
          <w:sz w:val="21"/>
          <w:szCs w:val="21"/>
        </w:rPr>
        <w:t>（14）本基金主动投资于流动性受限资产的市值合计不得超过本基金资产净值的15%；</w:t>
      </w:r>
    </w:p>
    <w:p w14:paraId="42548425">
      <w:pPr>
        <w:pStyle w:val="8"/>
        <w:spacing w:before="0" w:beforeAutospacing="0" w:after="0" w:afterAutospacing="0" w:line="360" w:lineRule="auto"/>
        <w:ind w:firstLine="420"/>
        <w:rPr>
          <w:sz w:val="21"/>
          <w:szCs w:val="21"/>
        </w:rPr>
      </w:pPr>
      <w:r>
        <w:rPr>
          <w:rFonts w:hint="eastAsia"/>
          <w:sz w:val="21"/>
          <w:szCs w:val="21"/>
        </w:rPr>
        <w:t>因证券市场波动、上市公司股票停牌、基金规模变动等基金管理人之外的因素致使基金不符合该比例限制的，基金管理人不得主动新增流动性受限资产的投资；</w:t>
      </w:r>
    </w:p>
    <w:p w14:paraId="52DB2865">
      <w:pPr>
        <w:pStyle w:val="8"/>
        <w:spacing w:before="0" w:beforeAutospacing="0" w:after="0" w:afterAutospacing="0" w:line="360" w:lineRule="auto"/>
        <w:ind w:firstLine="420"/>
        <w:rPr>
          <w:sz w:val="21"/>
          <w:szCs w:val="21"/>
        </w:rPr>
      </w:pPr>
      <w:r>
        <w:rPr>
          <w:rFonts w:hint="eastAsia"/>
          <w:sz w:val="21"/>
          <w:szCs w:val="21"/>
        </w:rPr>
        <w:t>（15）本基金与私募类证券资管产品及中国证监会认定的其他主体为交易对手开展逆回购交易的，可接受质押品的资质要求应当与基金合同约定的投资范围保持一致；</w:t>
      </w:r>
    </w:p>
    <w:p w14:paraId="4BCE4E40">
      <w:pPr>
        <w:pStyle w:val="8"/>
        <w:spacing w:before="0" w:beforeAutospacing="0" w:after="0" w:afterAutospacing="0" w:line="360" w:lineRule="auto"/>
        <w:ind w:firstLine="420"/>
        <w:rPr>
          <w:sz w:val="21"/>
          <w:szCs w:val="21"/>
        </w:rPr>
      </w:pPr>
      <w:r>
        <w:rPr>
          <w:rFonts w:hint="eastAsia"/>
          <w:sz w:val="21"/>
          <w:szCs w:val="21"/>
        </w:rPr>
        <w:t>（16）本基金投资存托凭证的比例限制依照境内上市交易的股票执行，与境内上市交易的股票合并计算；</w:t>
      </w:r>
    </w:p>
    <w:p w14:paraId="6BCAF201">
      <w:pPr>
        <w:pStyle w:val="8"/>
        <w:spacing w:before="0" w:beforeAutospacing="0" w:after="0" w:afterAutospacing="0" w:line="360" w:lineRule="auto"/>
        <w:ind w:firstLine="420"/>
        <w:rPr>
          <w:sz w:val="21"/>
          <w:szCs w:val="21"/>
        </w:rPr>
      </w:pPr>
      <w:r>
        <w:rPr>
          <w:rFonts w:hint="eastAsia"/>
          <w:sz w:val="21"/>
          <w:szCs w:val="21"/>
        </w:rPr>
        <w:t>（17）相关法律法规以及监管部门规定的和基金合同约定的其它投资比例限制。</w:t>
      </w:r>
    </w:p>
    <w:p w14:paraId="62EB4D6B">
      <w:pPr>
        <w:pStyle w:val="8"/>
        <w:spacing w:before="0" w:beforeAutospacing="0" w:after="0" w:afterAutospacing="0" w:line="360" w:lineRule="auto"/>
        <w:ind w:firstLine="420"/>
        <w:rPr>
          <w:sz w:val="21"/>
          <w:szCs w:val="21"/>
        </w:rPr>
      </w:pPr>
      <w:r>
        <w:rPr>
          <w:rFonts w:hint="eastAsia"/>
          <w:sz w:val="21"/>
          <w:szCs w:val="21"/>
        </w:rPr>
        <w:t>除上述第（1）、（2）、（8）、（13）、（14）、（15）项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3D4E3A5C">
      <w:pPr>
        <w:pStyle w:val="8"/>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66EB68EE">
      <w:pPr>
        <w:pStyle w:val="8"/>
        <w:spacing w:before="0" w:beforeAutospacing="0" w:after="0" w:afterAutospacing="0" w:line="360" w:lineRule="auto"/>
        <w:ind w:firstLine="420"/>
        <w:rPr>
          <w:sz w:val="21"/>
          <w:szCs w:val="21"/>
        </w:rPr>
      </w:pPr>
      <w:r>
        <w:rPr>
          <w:rFonts w:hint="eastAsia"/>
          <w:sz w:val="21"/>
          <w:szCs w:val="21"/>
        </w:rPr>
        <w:t>法律法规或监管部门取消或变更上述限制，如适用于本基金，基金管理人在履行适当程序后，则本基金投资不再受相关限制，或以变更后的规定为准。</w:t>
      </w:r>
    </w:p>
    <w:p w14:paraId="7DAEBB84">
      <w:pPr>
        <w:pStyle w:val="8"/>
        <w:spacing w:before="0" w:beforeAutospacing="0" w:after="0" w:afterAutospacing="0" w:line="360" w:lineRule="auto"/>
        <w:ind w:firstLine="420"/>
        <w:rPr>
          <w:sz w:val="21"/>
          <w:szCs w:val="21"/>
        </w:rPr>
      </w:pPr>
      <w:r>
        <w:rPr>
          <w:rFonts w:hint="eastAsia"/>
          <w:sz w:val="21"/>
          <w:szCs w:val="21"/>
        </w:rPr>
        <w:t>3、基金托管人根据有关法律法规的规定及《基金合同》的约定，对下述基金投资禁止行为进行监督。基金托管人通过事后监督方式对基金管理人基金投资禁止行为进行监督。 </w:t>
      </w:r>
    </w:p>
    <w:p w14:paraId="17917E34">
      <w:pPr>
        <w:pStyle w:val="8"/>
        <w:spacing w:before="0" w:beforeAutospacing="0" w:after="0" w:afterAutospacing="0" w:line="360" w:lineRule="auto"/>
        <w:ind w:firstLine="420"/>
        <w:rPr>
          <w:sz w:val="21"/>
          <w:szCs w:val="21"/>
        </w:rPr>
      </w:pPr>
      <w:r>
        <w:rPr>
          <w:rFonts w:hint="eastAsia"/>
          <w:sz w:val="21"/>
          <w:szCs w:val="21"/>
        </w:rPr>
        <w:t>（1）承销证券；</w:t>
      </w:r>
    </w:p>
    <w:p w14:paraId="5C5C49AD">
      <w:pPr>
        <w:pStyle w:val="8"/>
        <w:spacing w:before="0" w:beforeAutospacing="0" w:after="0" w:afterAutospacing="0" w:line="360" w:lineRule="auto"/>
        <w:ind w:firstLine="420"/>
        <w:rPr>
          <w:sz w:val="21"/>
          <w:szCs w:val="21"/>
        </w:rPr>
      </w:pPr>
      <w:r>
        <w:rPr>
          <w:rFonts w:hint="eastAsia"/>
          <w:sz w:val="21"/>
          <w:szCs w:val="21"/>
        </w:rPr>
        <w:t>（2）违反规定向他人贷款或者提供担保；</w:t>
      </w:r>
    </w:p>
    <w:p w14:paraId="7C7596ED">
      <w:pPr>
        <w:pStyle w:val="8"/>
        <w:spacing w:before="0" w:beforeAutospacing="0" w:after="0" w:afterAutospacing="0" w:line="360" w:lineRule="auto"/>
        <w:ind w:firstLine="420"/>
        <w:rPr>
          <w:sz w:val="21"/>
          <w:szCs w:val="21"/>
        </w:rPr>
      </w:pPr>
      <w:r>
        <w:rPr>
          <w:rFonts w:hint="eastAsia"/>
          <w:sz w:val="21"/>
          <w:szCs w:val="21"/>
        </w:rPr>
        <w:t>（3）从事承担无限责任的投资；</w:t>
      </w:r>
    </w:p>
    <w:p w14:paraId="398CDE47">
      <w:pPr>
        <w:pStyle w:val="8"/>
        <w:spacing w:before="0" w:beforeAutospacing="0" w:after="0" w:afterAutospacing="0" w:line="360" w:lineRule="auto"/>
        <w:ind w:firstLine="420"/>
        <w:rPr>
          <w:sz w:val="21"/>
          <w:szCs w:val="21"/>
        </w:rPr>
      </w:pPr>
      <w:r>
        <w:rPr>
          <w:rFonts w:hint="eastAsia"/>
          <w:sz w:val="21"/>
          <w:szCs w:val="21"/>
        </w:rPr>
        <w:t>（4）买卖除目标ETF外的其他基金份额，但是中国证监会另有规定的除外；</w:t>
      </w:r>
    </w:p>
    <w:p w14:paraId="1528B474">
      <w:pPr>
        <w:pStyle w:val="8"/>
        <w:spacing w:before="0" w:beforeAutospacing="0" w:after="0" w:afterAutospacing="0" w:line="360" w:lineRule="auto"/>
        <w:ind w:firstLine="420"/>
        <w:rPr>
          <w:sz w:val="21"/>
          <w:szCs w:val="21"/>
        </w:rPr>
      </w:pPr>
      <w:r>
        <w:rPr>
          <w:rFonts w:hint="eastAsia"/>
          <w:sz w:val="21"/>
          <w:szCs w:val="21"/>
        </w:rPr>
        <w:t>（5）向其基金管理人、基金托管人出资；</w:t>
      </w:r>
    </w:p>
    <w:p w14:paraId="04CB9E33">
      <w:pPr>
        <w:pStyle w:val="8"/>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14:paraId="33A6591B">
      <w:pPr>
        <w:pStyle w:val="8"/>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14:paraId="2611B01B">
      <w:pPr>
        <w:pStyle w:val="8"/>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AEA6767">
      <w:pPr>
        <w:pStyle w:val="8"/>
        <w:spacing w:before="0" w:beforeAutospacing="0" w:after="0" w:afterAutospacing="0" w:line="360" w:lineRule="auto"/>
        <w:ind w:firstLine="420"/>
        <w:rPr>
          <w:sz w:val="21"/>
          <w:szCs w:val="21"/>
        </w:rPr>
      </w:pPr>
      <w:r>
        <w:rPr>
          <w:rFonts w:hint="eastAsia"/>
          <w:sz w:val="21"/>
          <w:szCs w:val="21"/>
        </w:rPr>
        <w:t>法律、行政法规或监管部门取消或变更上述规定，在履行适当程序后，则本基金投资不再受相关限制或以变更后的规定为准。</w:t>
      </w:r>
    </w:p>
    <w:p w14:paraId="0DA3DBF7">
      <w:pPr>
        <w:pStyle w:val="8"/>
        <w:spacing w:before="0" w:beforeAutospacing="0" w:after="0" w:afterAutospacing="0" w:line="360" w:lineRule="auto"/>
        <w:ind w:firstLine="420"/>
        <w:rPr>
          <w:sz w:val="21"/>
          <w:szCs w:val="21"/>
        </w:rPr>
      </w:pPr>
      <w:r>
        <w:rPr>
          <w:rFonts w:hint="eastAsia"/>
          <w:sz w:val="21"/>
          <w:szCs w:val="21"/>
        </w:rPr>
        <w:t>（二）根据法律法规有关基金从事的关联交易的规定，基金管理人和基金托管人应事先相互提供与本机构有控股关系的股东、实际控制人或者与其有其他重大利害关系的公司名单及有关关联方发行的证券名单，加盖公章并书面提交，并确保所提供的关联交易名单的真实性、完整性、全面性。基金管理人及基金托管人有责任保管真实、完整、全面的关联交易名单，并负责及时更新该名单。名单变更后基金管理人或基金托管人应及时发送另一方，另一方于2个工作日内进行回函确认已知名单的变更。一方收到另一方书面确认后，新的关联交易名单开始生效。</w:t>
      </w:r>
    </w:p>
    <w:p w14:paraId="169A59A4">
      <w:pPr>
        <w:pStyle w:val="8"/>
        <w:spacing w:before="0" w:beforeAutospacing="0" w:after="0" w:afterAutospacing="0" w:line="360" w:lineRule="auto"/>
        <w:ind w:firstLine="420"/>
        <w:rPr>
          <w:sz w:val="21"/>
          <w:szCs w:val="21"/>
        </w:rPr>
      </w:pPr>
      <w:r>
        <w:rPr>
          <w:rFonts w:hint="eastAsia"/>
          <w:sz w:val="21"/>
          <w:szCs w:val="21"/>
        </w:rPr>
        <w:t>（三）基金托管人根据有关法律法规的规定及基金合同的约定，对基金管理人参与银行间债券市场进行监督。</w:t>
      </w:r>
    </w:p>
    <w:p w14:paraId="69989F2B">
      <w:pPr>
        <w:pStyle w:val="8"/>
        <w:spacing w:before="0" w:beforeAutospacing="0" w:after="0" w:afterAutospacing="0" w:line="360" w:lineRule="auto"/>
        <w:ind w:firstLine="420"/>
        <w:rPr>
          <w:sz w:val="21"/>
          <w:szCs w:val="21"/>
        </w:rPr>
      </w:pPr>
      <w:r>
        <w:rPr>
          <w:rFonts w:hint="eastAsia"/>
          <w:sz w:val="21"/>
          <w:szCs w:val="21"/>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14:paraId="29AAE399">
      <w:pPr>
        <w:pStyle w:val="8"/>
        <w:spacing w:before="0" w:beforeAutospacing="0" w:after="0" w:afterAutospacing="0" w:line="360" w:lineRule="auto"/>
        <w:ind w:firstLine="420"/>
        <w:rPr>
          <w:sz w:val="21"/>
          <w:szCs w:val="21"/>
        </w:rPr>
      </w:pPr>
      <w:r>
        <w:rPr>
          <w:rFonts w:hint="eastAsia"/>
          <w:sz w:val="21"/>
          <w:szCs w:val="21"/>
        </w:rPr>
        <w:t>基金管理人负责对交易对手的资信控制，按银行间债券市场的交易规则进行交易，基金托管人不承担由此造成的相应法律责任及损失。若未履约的交易对手在基金托管人与基金管理人确定的时间前仍未承担违约责任及其他相关法律责任的，基金管理人有权向相关交易对手追偿，基金托管人应予以必要的协助与配合。基金托管人根据银行间债券市场成交单对本基金银行间债券交易的交易对手及其结算方式进行监督。如基金托管人事后发现基金管理人没有按照事先约定的交易对手或交易方式进行交易时，基金托管人应及时书面或以双方认可的其他方式提醒基金管理人，经提醒后仍未改正时造成基金财产损失的，基金托管人不承担由此造成的相应损失和责任。如果基金托管人未能切实履行监督职责，导致基金出现风险或造成基金资产损失的，基金托管人应承担相应责任。</w:t>
      </w:r>
    </w:p>
    <w:p w14:paraId="0EB239E6">
      <w:pPr>
        <w:pStyle w:val="8"/>
        <w:spacing w:before="0" w:beforeAutospacing="0" w:after="0" w:afterAutospacing="0" w:line="360" w:lineRule="auto"/>
        <w:ind w:firstLine="420"/>
        <w:rPr>
          <w:sz w:val="21"/>
          <w:szCs w:val="21"/>
        </w:rPr>
      </w:pPr>
      <w:r>
        <w:rPr>
          <w:rFonts w:hint="eastAsia"/>
          <w:sz w:val="21"/>
          <w:szCs w:val="21"/>
        </w:rPr>
        <w:t>（四）基金管理人、基金托管人应当与存款银行建立定期对账机制，确保基金银行存款业务账目及核算的真实、准确。基金管理人应当按照有关法规规定，与基金托管人、存款机构签订相关书面协议。基金托管人应根据有关相关法规及协议对基金银行存款业务进行监督与核查，严格审查、复核相关协议、账户资料、投资指令、存款证实书等有关文件，切实履行托管职责。</w:t>
      </w:r>
    </w:p>
    <w:p w14:paraId="4197F857">
      <w:pPr>
        <w:pStyle w:val="8"/>
        <w:spacing w:before="0" w:beforeAutospacing="0" w:after="0" w:afterAutospacing="0" w:line="360" w:lineRule="auto"/>
        <w:ind w:firstLine="420"/>
        <w:rPr>
          <w:sz w:val="21"/>
          <w:szCs w:val="21"/>
        </w:rPr>
      </w:pPr>
      <w:r>
        <w:rPr>
          <w:rFonts w:hint="eastAsia"/>
          <w:sz w:val="21"/>
          <w:szCs w:val="21"/>
        </w:rPr>
        <w:t>基金管理人与基金托管人在开展基金存款业务时，应严格遵守《基金法》、《运作办法》等有关法律法规，以及国家有关账户管理、利率管理、支付结算等的各项规定。</w:t>
      </w:r>
    </w:p>
    <w:p w14:paraId="7A272D06">
      <w:pPr>
        <w:pStyle w:val="8"/>
        <w:spacing w:before="0" w:beforeAutospacing="0" w:after="0" w:afterAutospacing="0" w:line="360" w:lineRule="auto"/>
        <w:ind w:firstLine="420"/>
        <w:rPr>
          <w:sz w:val="21"/>
          <w:szCs w:val="21"/>
        </w:rPr>
      </w:pPr>
      <w:r>
        <w:rPr>
          <w:rFonts w:hint="eastAsia"/>
          <w:sz w:val="21"/>
          <w:szCs w:val="21"/>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w:t>
      </w:r>
    </w:p>
    <w:p w14:paraId="722BC0F9">
      <w:pPr>
        <w:pStyle w:val="8"/>
        <w:spacing w:before="0" w:beforeAutospacing="0" w:after="0" w:afterAutospacing="0" w:line="360" w:lineRule="auto"/>
        <w:ind w:firstLine="420"/>
        <w:rPr>
          <w:sz w:val="21"/>
          <w:szCs w:val="21"/>
        </w:rPr>
      </w:pPr>
      <w:r>
        <w:rPr>
          <w:rFonts w:hint="eastAsia"/>
          <w:sz w:val="21"/>
          <w:szCs w:val="21"/>
        </w:rPr>
        <w:t>基金托管人不对定期存款提前支取的损失承担责任。</w:t>
      </w:r>
    </w:p>
    <w:p w14:paraId="548918C1">
      <w:pPr>
        <w:pStyle w:val="8"/>
        <w:spacing w:before="0" w:beforeAutospacing="0" w:after="0" w:afterAutospacing="0" w:line="360" w:lineRule="auto"/>
        <w:ind w:firstLine="420"/>
        <w:rPr>
          <w:sz w:val="21"/>
          <w:szCs w:val="21"/>
        </w:rPr>
      </w:pPr>
      <w:r>
        <w:rPr>
          <w:rFonts w:hint="eastAsia"/>
          <w:sz w:val="21"/>
          <w:szCs w:val="21"/>
        </w:rPr>
        <w:t>（五）基金托管人根据有关法律法规的规定及基金合同的约定，对基金参与转融通证券出借业务进行监督。</w:t>
      </w:r>
    </w:p>
    <w:p w14:paraId="043570A3">
      <w:pPr>
        <w:pStyle w:val="8"/>
        <w:spacing w:before="0" w:beforeAutospacing="0" w:after="0" w:afterAutospacing="0" w:line="360" w:lineRule="auto"/>
        <w:ind w:firstLine="420"/>
        <w:rPr>
          <w:sz w:val="21"/>
          <w:szCs w:val="21"/>
        </w:rPr>
      </w:pPr>
      <w:r>
        <w:rPr>
          <w:rFonts w:hint="eastAsia"/>
          <w:sz w:val="21"/>
          <w:szCs w:val="21"/>
        </w:rPr>
        <w:t>基金管理人运用基金财产参与转融通证券出借业务，应当遵守审慎经营原则，配备技术系统和专业人员，制定科学合理的投资策略和风险管理制度，完善业务流程，有效防范和控制风险，切实维护基金财产的安全和基金份额持有人合法权益。基金托管人应当加强对基金参与转融通证券出借业务的监督和复核，切实维护基金财产的安全和基金份额持有人合法权益。</w:t>
      </w:r>
    </w:p>
    <w:p w14:paraId="7E5ADCD7">
      <w:pPr>
        <w:pStyle w:val="8"/>
        <w:spacing w:before="0" w:beforeAutospacing="0" w:after="0" w:afterAutospacing="0" w:line="360" w:lineRule="auto"/>
        <w:ind w:firstLine="420"/>
        <w:rPr>
          <w:sz w:val="21"/>
          <w:szCs w:val="21"/>
        </w:rPr>
      </w:pPr>
      <w:r>
        <w:rPr>
          <w:rFonts w:hint="eastAsia"/>
          <w:sz w:val="21"/>
          <w:szCs w:val="21"/>
        </w:rPr>
        <w:t>（六）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14:paraId="66E6C0D3">
      <w:pPr>
        <w:pStyle w:val="8"/>
        <w:spacing w:before="0" w:beforeAutospacing="0" w:after="0" w:afterAutospacing="0" w:line="360" w:lineRule="auto"/>
        <w:ind w:firstLine="420"/>
        <w:rPr>
          <w:sz w:val="21"/>
          <w:szCs w:val="21"/>
        </w:rPr>
      </w:pPr>
      <w:r>
        <w:rPr>
          <w:rFonts w:hint="eastAsia"/>
          <w:sz w:val="21"/>
          <w:szCs w:val="21"/>
        </w:rPr>
        <w:t>（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如果基金托管人未能切实履行监督职责，导致基金出现风险或造成基金资产损失的，基金托管人应承担相应责任。</w:t>
      </w:r>
    </w:p>
    <w:p w14:paraId="2D6E906C">
      <w:pPr>
        <w:pStyle w:val="8"/>
        <w:spacing w:before="0" w:beforeAutospacing="0" w:after="0" w:afterAutospacing="0" w:line="360" w:lineRule="auto"/>
        <w:ind w:firstLine="420"/>
        <w:rPr>
          <w:sz w:val="21"/>
          <w:szCs w:val="21"/>
        </w:rPr>
      </w:pPr>
      <w:r>
        <w:rPr>
          <w:rFonts w:hint="eastAsia"/>
          <w:sz w:val="21"/>
          <w:szCs w:val="21"/>
        </w:rPr>
        <w:t>（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25AE7BAD">
      <w:pPr>
        <w:pStyle w:val="8"/>
        <w:spacing w:before="0" w:beforeAutospacing="0" w:after="0" w:afterAutospacing="0" w:line="360" w:lineRule="auto"/>
        <w:ind w:firstLine="420"/>
        <w:rPr>
          <w:sz w:val="21"/>
          <w:szCs w:val="21"/>
        </w:rPr>
      </w:pPr>
      <w:r>
        <w:rPr>
          <w:rFonts w:hint="eastAsia"/>
          <w:sz w:val="21"/>
          <w:szCs w:val="21"/>
        </w:rPr>
        <w:t>（九）若基金托管人发现基金管理人依据交易程序已经生效的指令违反法律、行政法规和其他有关规定，或者违反基金合同约定的，应当立即以书面或以双方认可的其他方式通知基金管理人，由此造成的相应损失由基金管理人承担。</w:t>
      </w:r>
    </w:p>
    <w:p w14:paraId="66ACDA16">
      <w:pPr>
        <w:pStyle w:val="8"/>
        <w:spacing w:before="0" w:beforeAutospacing="0" w:after="0" w:afterAutospacing="0" w:line="360" w:lineRule="auto"/>
        <w:ind w:firstLine="420"/>
        <w:rPr>
          <w:sz w:val="21"/>
          <w:szCs w:val="21"/>
        </w:rPr>
      </w:pPr>
      <w:r>
        <w:rPr>
          <w:rFonts w:hint="eastAsia"/>
          <w:sz w:val="21"/>
          <w:szCs w:val="21"/>
        </w:rPr>
        <w:t>（十）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14:paraId="1534BD00">
      <w:pPr>
        <w:pStyle w:val="8"/>
        <w:spacing w:before="0" w:beforeAutospacing="0" w:after="0" w:afterAutospacing="0" w:line="360" w:lineRule="auto"/>
        <w:ind w:firstLine="420"/>
        <w:rPr>
          <w:sz w:val="21"/>
          <w:szCs w:val="21"/>
        </w:rPr>
      </w:pPr>
      <w:r>
        <w:rPr>
          <w:rFonts w:hint="eastAsia"/>
          <w:sz w:val="21"/>
          <w:szCs w:val="21"/>
        </w:rPr>
        <w:t>（十一）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53047399">
      <w:pPr>
        <w:pStyle w:val="8"/>
        <w:spacing w:before="0" w:beforeAutospacing="0" w:after="0" w:afterAutospacing="0" w:line="360" w:lineRule="auto"/>
        <w:ind w:firstLine="420"/>
        <w:rPr>
          <w:sz w:val="21"/>
          <w:szCs w:val="21"/>
        </w:rPr>
      </w:pPr>
      <w:r>
        <w:rPr>
          <w:rFonts w:hint="eastAsia"/>
          <w:sz w:val="21"/>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67BE0985">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三、基金管理人对基金托管人的业务核查</w:t>
      </w:r>
    </w:p>
    <w:p w14:paraId="3F4DBA35">
      <w:pPr>
        <w:pStyle w:val="8"/>
        <w:spacing w:before="0" w:beforeAutospacing="0" w:after="0" w:afterAutospacing="0" w:line="360" w:lineRule="auto"/>
        <w:ind w:firstLine="420"/>
        <w:rPr>
          <w:sz w:val="21"/>
          <w:szCs w:val="21"/>
        </w:rPr>
      </w:pPr>
      <w:r>
        <w:rPr>
          <w:rFonts w:hint="eastAsia"/>
          <w:sz w:val="21"/>
          <w:szCs w:val="21"/>
        </w:rPr>
        <w:t>根据有关法律法规、《基金合同》及本协议规定，基金管理人对基金托管人履行托管职责情况进行核查，核查事项包括但不限于基金托管人安全保管基金财产、开设基金财产的资金账户、证券账户及投资所需的其他账户、复核基金管理人计算的基金资产净值和基金份额净值、根据基金管理人指令办理清算交收、相关信息披露和监督基金投资运作等行为。</w:t>
      </w:r>
    </w:p>
    <w:p w14:paraId="1FAE7060">
      <w:pPr>
        <w:pStyle w:val="8"/>
        <w:spacing w:before="0" w:beforeAutospacing="0" w:after="0" w:afterAutospacing="0" w:line="360" w:lineRule="auto"/>
        <w:ind w:firstLine="420"/>
        <w:rPr>
          <w:sz w:val="21"/>
          <w:szCs w:val="21"/>
        </w:rPr>
      </w:pPr>
      <w:r>
        <w:rPr>
          <w:rFonts w:hint="eastAsia"/>
          <w:sz w:val="21"/>
          <w:szCs w:val="21"/>
        </w:rPr>
        <w:t>基金管理人发现基金托管人擅自挪用基金财产、未对基金财产实行分账管理、无故未执行或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说明违规原因及纠正期限，并保证在规定期限内及时改正。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14:paraId="149F560F">
      <w:pPr>
        <w:pStyle w:val="8"/>
        <w:spacing w:before="0" w:beforeAutospacing="0" w:after="0" w:afterAutospacing="0" w:line="360" w:lineRule="auto"/>
        <w:ind w:firstLine="420"/>
        <w:rPr>
          <w:sz w:val="21"/>
          <w:szCs w:val="21"/>
        </w:rPr>
      </w:pPr>
      <w:r>
        <w:rPr>
          <w:rFonts w:hint="eastAsia"/>
          <w:sz w:val="21"/>
          <w:szCs w:val="21"/>
        </w:rPr>
        <w:t>基金管理人发现基金托管人有重大违规行为，应立即报告中国证监会和银行业监督管理机构，同时通知基金托管人限期纠正。</w:t>
      </w:r>
    </w:p>
    <w:p w14:paraId="3BBC82AF">
      <w:pPr>
        <w:pStyle w:val="8"/>
        <w:spacing w:before="0" w:beforeAutospacing="0" w:after="0" w:afterAutospacing="0" w:line="360" w:lineRule="auto"/>
        <w:ind w:firstLine="420"/>
        <w:rPr>
          <w:sz w:val="21"/>
          <w:szCs w:val="21"/>
        </w:rPr>
      </w:pPr>
      <w:r>
        <w:rPr>
          <w:rFonts w:hint="eastAsia"/>
          <w:sz w:val="21"/>
          <w:szCs w:val="21"/>
        </w:rPr>
        <w:t>基金管理人基于正当合理理由可定期和不定期地对基金托管人保管的基金财产进行核查。基金托管人应积极配合基金管理人的核查行为，包括但不限于：提交相关资料以供基金管理人核查托管财产的完整性和真实性，在规定时间内答复基金管理人并改正。</w:t>
      </w:r>
    </w:p>
    <w:p w14:paraId="6517E9F1">
      <w:pPr>
        <w:pStyle w:val="8"/>
        <w:spacing w:before="0" w:beforeAutospacing="0" w:after="0" w:afterAutospacing="0" w:line="360" w:lineRule="auto"/>
        <w:ind w:firstLine="420"/>
        <w:rPr>
          <w:sz w:val="21"/>
          <w:szCs w:val="21"/>
        </w:rPr>
      </w:pPr>
      <w:r>
        <w:rPr>
          <w:rFonts w:hint="eastAsia"/>
          <w:sz w:val="21"/>
          <w:szCs w:val="21"/>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14:paraId="652A10E1">
      <w:pPr>
        <w:pStyle w:val="8"/>
        <w:spacing w:before="0" w:beforeAutospacing="0" w:after="0" w:afterAutospacing="0" w:line="360" w:lineRule="auto"/>
        <w:ind w:firstLine="420"/>
        <w:rPr>
          <w:sz w:val="21"/>
          <w:szCs w:val="21"/>
        </w:rPr>
      </w:pPr>
      <w:r>
        <w:rPr>
          <w:rStyle w:val="12"/>
          <w:rFonts w:hint="eastAsia"/>
          <w:sz w:val="21"/>
          <w:szCs w:val="21"/>
        </w:rPr>
        <w:t>四、基金财产的保管</w:t>
      </w:r>
    </w:p>
    <w:p w14:paraId="18EDA857">
      <w:pPr>
        <w:pStyle w:val="8"/>
        <w:spacing w:before="0" w:beforeAutospacing="0" w:after="0" w:afterAutospacing="0" w:line="360" w:lineRule="auto"/>
        <w:ind w:firstLine="420"/>
        <w:rPr>
          <w:sz w:val="21"/>
          <w:szCs w:val="21"/>
        </w:rPr>
      </w:pPr>
      <w:r>
        <w:rPr>
          <w:rFonts w:hint="eastAsia"/>
          <w:sz w:val="21"/>
          <w:szCs w:val="21"/>
        </w:rPr>
        <w:t>（一）基金财产保管的原则</w:t>
      </w:r>
    </w:p>
    <w:p w14:paraId="6FFF5856">
      <w:pPr>
        <w:pStyle w:val="8"/>
        <w:spacing w:before="0" w:beforeAutospacing="0" w:after="0" w:afterAutospacing="0" w:line="360" w:lineRule="auto"/>
        <w:ind w:firstLine="420"/>
        <w:rPr>
          <w:sz w:val="21"/>
          <w:szCs w:val="21"/>
        </w:rPr>
      </w:pPr>
      <w:r>
        <w:rPr>
          <w:rFonts w:hint="eastAsia"/>
          <w:sz w:val="21"/>
          <w:szCs w:val="21"/>
        </w:rPr>
        <w:t>1、基金财产应独立于基金管理人、基金托管人的固有财产。</w:t>
      </w:r>
    </w:p>
    <w:p w14:paraId="12591407">
      <w:pPr>
        <w:pStyle w:val="8"/>
        <w:spacing w:before="0" w:beforeAutospacing="0" w:after="0" w:afterAutospacing="0" w:line="360" w:lineRule="auto"/>
        <w:ind w:firstLine="420"/>
        <w:rPr>
          <w:sz w:val="21"/>
          <w:szCs w:val="21"/>
        </w:rPr>
      </w:pPr>
      <w:r>
        <w:rPr>
          <w:rFonts w:hint="eastAsia"/>
          <w:sz w:val="21"/>
          <w:szCs w:val="21"/>
        </w:rPr>
        <w:t>2、基金托管人应安全保管基金财产。未经基金管理人的正当指令，不得自行运用、处分、分配基金的任何财产。</w:t>
      </w:r>
    </w:p>
    <w:p w14:paraId="0D562749">
      <w:pPr>
        <w:pStyle w:val="8"/>
        <w:spacing w:before="0" w:beforeAutospacing="0" w:after="0" w:afterAutospacing="0" w:line="360" w:lineRule="auto"/>
        <w:ind w:firstLine="420"/>
        <w:rPr>
          <w:sz w:val="21"/>
          <w:szCs w:val="21"/>
        </w:rPr>
      </w:pPr>
      <w:r>
        <w:rPr>
          <w:rFonts w:hint="eastAsia"/>
          <w:sz w:val="21"/>
          <w:szCs w:val="21"/>
        </w:rPr>
        <w:t>3、基金托管人按照规定开设基金财产的资金账户、证券账户及投资所需的其他账户。</w:t>
      </w:r>
    </w:p>
    <w:p w14:paraId="077AF2A4">
      <w:pPr>
        <w:pStyle w:val="8"/>
        <w:spacing w:before="0" w:beforeAutospacing="0" w:after="0" w:afterAutospacing="0" w:line="360" w:lineRule="auto"/>
        <w:ind w:firstLine="420"/>
        <w:rPr>
          <w:sz w:val="21"/>
          <w:szCs w:val="21"/>
        </w:rPr>
      </w:pPr>
      <w:r>
        <w:rPr>
          <w:rFonts w:hint="eastAsia"/>
          <w:sz w:val="21"/>
          <w:szCs w:val="21"/>
        </w:rPr>
        <w:t>4、基金托管人对所托管的不同基金财产分别设置账户、独立核算，与基金托管人的其他业务和其他基金的托管业务实行严格的分账管理，确保基金财产的完整与独立。</w:t>
      </w:r>
    </w:p>
    <w:p w14:paraId="63F414C3">
      <w:pPr>
        <w:pStyle w:val="8"/>
        <w:spacing w:before="0" w:beforeAutospacing="0" w:after="0" w:afterAutospacing="0" w:line="360" w:lineRule="auto"/>
        <w:ind w:firstLine="420"/>
        <w:rPr>
          <w:sz w:val="21"/>
          <w:szCs w:val="21"/>
        </w:rPr>
      </w:pPr>
      <w:r>
        <w:rPr>
          <w:rFonts w:hint="eastAsia"/>
          <w:sz w:val="21"/>
          <w:szCs w:val="21"/>
        </w:rPr>
        <w:t>5、对于因基金申购、基金投资过程中产生的应收财产，应由基金管理人负责与有关当事人确定到账日期并通知基金托管人，到账日基金财产没有到达基金托管人处的，基金托管人应及时通知并有义务配合基金管理人采取措施进行催收。由此给基金造成损失的，基金管理人应负责向有关当事人追偿基金的损失，基金托管人应予以必要的协助与配合，但基金托管人对此不承担相应责任。</w:t>
      </w:r>
    </w:p>
    <w:p w14:paraId="56FB6F0D">
      <w:pPr>
        <w:pStyle w:val="8"/>
        <w:spacing w:before="0" w:beforeAutospacing="0" w:after="0" w:afterAutospacing="0" w:line="360" w:lineRule="auto"/>
        <w:ind w:firstLine="420"/>
        <w:rPr>
          <w:sz w:val="21"/>
          <w:szCs w:val="21"/>
        </w:rPr>
      </w:pPr>
      <w:r>
        <w:rPr>
          <w:rFonts w:hint="eastAsia"/>
          <w:sz w:val="21"/>
          <w:szCs w:val="21"/>
        </w:rPr>
        <w:t>6、基金托管人对因为基金管理人投资产生的存放或存管在基金托管人以外机构的基金财产，或交由证券公司负责清算交收的基金资产及其收益，由于该等机构或该机构会员单位等本协议当事人外第三方的欺诈、疏忽、过失或破产等原因给基金财产造成的损失等不承担责任。</w:t>
      </w:r>
    </w:p>
    <w:p w14:paraId="0D0AAE4C">
      <w:pPr>
        <w:pStyle w:val="8"/>
        <w:spacing w:before="0" w:beforeAutospacing="0" w:after="0" w:afterAutospacing="0" w:line="360" w:lineRule="auto"/>
        <w:ind w:firstLine="420"/>
        <w:rPr>
          <w:sz w:val="21"/>
          <w:szCs w:val="21"/>
        </w:rPr>
      </w:pPr>
      <w:r>
        <w:rPr>
          <w:rFonts w:hint="eastAsia"/>
          <w:sz w:val="21"/>
          <w:szCs w:val="21"/>
        </w:rPr>
        <w:t>7、除依据法律法规和《基金合同》的规定外，基金托管人不得委托第三人托管基金财产。</w:t>
      </w:r>
    </w:p>
    <w:p w14:paraId="7722AF8A">
      <w:pPr>
        <w:pStyle w:val="8"/>
        <w:spacing w:before="0" w:beforeAutospacing="0" w:after="0" w:afterAutospacing="0" w:line="360" w:lineRule="auto"/>
        <w:ind w:firstLine="420"/>
        <w:rPr>
          <w:sz w:val="21"/>
          <w:szCs w:val="21"/>
        </w:rPr>
      </w:pPr>
      <w:r>
        <w:rPr>
          <w:rFonts w:hint="eastAsia"/>
          <w:sz w:val="21"/>
          <w:szCs w:val="21"/>
        </w:rPr>
        <w:t>（二）基金的银行账户的开立和管理</w:t>
      </w:r>
    </w:p>
    <w:p w14:paraId="3BA409B1">
      <w:pPr>
        <w:pStyle w:val="8"/>
        <w:spacing w:before="0" w:beforeAutospacing="0" w:after="0" w:afterAutospacing="0" w:line="360" w:lineRule="auto"/>
        <w:ind w:firstLine="420"/>
        <w:rPr>
          <w:sz w:val="21"/>
          <w:szCs w:val="21"/>
        </w:rPr>
      </w:pPr>
      <w:r>
        <w:rPr>
          <w:rFonts w:hint="eastAsia"/>
          <w:sz w:val="21"/>
          <w:szCs w:val="21"/>
        </w:rPr>
        <w:t>1、基金托管人为本基金单独开立托管资金账户。托管资金账户的名称应当包含本基金名称，具体名称以实际开立为准。本基金的一切货币收支活动，包括但不限于投资、支付赎回金额、支付现金红利、收取申购款，均需通过该托管资金账户进行。</w:t>
      </w:r>
    </w:p>
    <w:p w14:paraId="0912F9C9">
      <w:pPr>
        <w:pStyle w:val="8"/>
        <w:spacing w:before="0" w:beforeAutospacing="0" w:after="0" w:afterAutospacing="0" w:line="360" w:lineRule="auto"/>
        <w:ind w:firstLine="420"/>
        <w:rPr>
          <w:sz w:val="21"/>
          <w:szCs w:val="21"/>
        </w:rPr>
      </w:pPr>
      <w:r>
        <w:rPr>
          <w:rFonts w:hint="eastAsia"/>
          <w:sz w:val="21"/>
          <w:szCs w:val="21"/>
        </w:rPr>
        <w:t>2、基金托管专户的开立和使用，限于满足开展本基金业务的需要。基金托管人和基金管理人不得假借本基金的名义开立其他任何银行账户；亦不得使用基金的任何银行账户进行本基金业务以外的活动。</w:t>
      </w:r>
    </w:p>
    <w:p w14:paraId="2AA8E6DE">
      <w:pPr>
        <w:pStyle w:val="8"/>
        <w:spacing w:before="0" w:beforeAutospacing="0" w:after="0" w:afterAutospacing="0" w:line="360" w:lineRule="auto"/>
        <w:ind w:firstLine="420"/>
        <w:rPr>
          <w:sz w:val="21"/>
          <w:szCs w:val="21"/>
        </w:rPr>
      </w:pPr>
      <w:r>
        <w:rPr>
          <w:rFonts w:hint="eastAsia"/>
          <w:sz w:val="21"/>
          <w:szCs w:val="21"/>
        </w:rPr>
        <w:t>3、基金托管专户的管理应符合《人民币银行结算账户管理办法》、《现金管理暂行条例》、《人民币利率管理规定》、《利率管理暂行规定》、《支付结算办法》以及银行业监督管理机构的其他规定。</w:t>
      </w:r>
    </w:p>
    <w:p w14:paraId="608959FC">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三</w:t>
      </w:r>
      <w:r>
        <w:rPr>
          <w:rFonts w:hint="eastAsia"/>
          <w:sz w:val="21"/>
          <w:szCs w:val="21"/>
        </w:rPr>
        <w:t>）基金证券账户、证券交易资金账户及结算备付金账户的开设和管理</w:t>
      </w:r>
    </w:p>
    <w:p w14:paraId="0F4BAF77">
      <w:pPr>
        <w:pStyle w:val="8"/>
        <w:spacing w:before="0" w:beforeAutospacing="0" w:after="0" w:afterAutospacing="0" w:line="360" w:lineRule="auto"/>
        <w:ind w:firstLine="420"/>
        <w:rPr>
          <w:sz w:val="21"/>
          <w:szCs w:val="21"/>
        </w:rPr>
      </w:pPr>
      <w:r>
        <w:rPr>
          <w:rFonts w:hint="eastAsia"/>
          <w:sz w:val="21"/>
          <w:szCs w:val="21"/>
        </w:rPr>
        <w:t>1、基金托管人以基金托管人和本基金联名的方式在中国证券登记结算有限责任公司开设证券账户。</w:t>
      </w:r>
    </w:p>
    <w:p w14:paraId="742ABC10">
      <w:pPr>
        <w:pStyle w:val="8"/>
        <w:spacing w:before="0" w:beforeAutospacing="0" w:after="0" w:afterAutospacing="0" w:line="360" w:lineRule="auto"/>
        <w:ind w:firstLine="420"/>
        <w:rPr>
          <w:sz w:val="21"/>
          <w:szCs w:val="21"/>
        </w:rPr>
      </w:pPr>
      <w:r>
        <w:rPr>
          <w:rFonts w:hint="eastAsia"/>
          <w:sz w:val="21"/>
          <w:szCs w:val="21"/>
        </w:rPr>
        <w:t>2、基金托管人以基金托管人的名义在中国证券登记结算有限责任公司开立基金证券交易资金账户，用于证券清算。</w:t>
      </w:r>
    </w:p>
    <w:p w14:paraId="5F3955B1">
      <w:pPr>
        <w:pStyle w:val="8"/>
        <w:spacing w:before="0" w:beforeAutospacing="0" w:after="0" w:afterAutospacing="0" w:line="360" w:lineRule="auto"/>
        <w:ind w:firstLine="420"/>
        <w:rPr>
          <w:sz w:val="21"/>
          <w:szCs w:val="21"/>
        </w:rPr>
      </w:pPr>
      <w:r>
        <w:rPr>
          <w:rFonts w:hint="eastAsia"/>
          <w:sz w:val="21"/>
          <w:szCs w:val="21"/>
        </w:rPr>
        <w:t>3、基金托管人以基金托管人名义在中国证券登记结算有限责任公司开立托管人结算备付金账户，用于所托管产品的证券资金清算。结算备付金、结算互保基金、交收价差资金等的收取按照中国证券登记结算有限责任公司的规定执行。</w:t>
      </w:r>
    </w:p>
    <w:p w14:paraId="28502D0D">
      <w:pPr>
        <w:pStyle w:val="8"/>
        <w:spacing w:before="0" w:beforeAutospacing="0" w:after="0" w:afterAutospacing="0" w:line="360" w:lineRule="auto"/>
        <w:ind w:firstLine="420"/>
        <w:rPr>
          <w:sz w:val="21"/>
          <w:szCs w:val="21"/>
        </w:rPr>
      </w:pPr>
      <w:r>
        <w:rPr>
          <w:rFonts w:hint="eastAsia"/>
          <w:sz w:val="21"/>
          <w:szCs w:val="21"/>
        </w:rPr>
        <w:t>4、基金证券账户的开立和使用，限于满足开展本基金业务的需要。基金托管人和基金管理人不得出借和未经对方书面同意擅自转让基金的任何证券账户；亦不得使用基金的任何证券账户进行本基金业务以外的活动。</w:t>
      </w:r>
    </w:p>
    <w:p w14:paraId="732D9786">
      <w:pPr>
        <w:pStyle w:val="8"/>
        <w:spacing w:before="0" w:beforeAutospacing="0" w:after="0" w:afterAutospacing="0" w:line="360" w:lineRule="auto"/>
        <w:ind w:firstLine="420"/>
        <w:rPr>
          <w:sz w:val="21"/>
          <w:szCs w:val="21"/>
        </w:rPr>
      </w:pPr>
      <w:r>
        <w:rPr>
          <w:rFonts w:hint="eastAsia"/>
          <w:sz w:val="21"/>
          <w:szCs w:val="21"/>
        </w:rPr>
        <w:t>5、基金证券账户的开立由基金托管人负责，账户资产的管理和运用由基金管理人负责。</w:t>
      </w:r>
    </w:p>
    <w:p w14:paraId="57EAD9D6">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四</w:t>
      </w:r>
      <w:r>
        <w:rPr>
          <w:rFonts w:hint="eastAsia"/>
          <w:sz w:val="21"/>
          <w:szCs w:val="21"/>
        </w:rPr>
        <w:t>）定期存款账户</w:t>
      </w:r>
    </w:p>
    <w:p w14:paraId="39F1CE53">
      <w:pPr>
        <w:pStyle w:val="8"/>
        <w:spacing w:before="0" w:beforeAutospacing="0" w:after="0" w:afterAutospacing="0" w:line="360" w:lineRule="auto"/>
        <w:ind w:firstLine="420"/>
        <w:rPr>
          <w:sz w:val="21"/>
          <w:szCs w:val="21"/>
        </w:rPr>
      </w:pPr>
      <w:r>
        <w:rPr>
          <w:rFonts w:hint="eastAsia"/>
          <w:sz w:val="21"/>
          <w:szCs w:val="21"/>
        </w:rPr>
        <w:t>基金投资定期存款在存款机构开立的银行账户，包括实体或虚拟账户，其预留印鉴应包含基金托管人指定印章。本着便于基金财产的安全保管和日常监督核查的原则，存款行应尽量选择基金托管人经办行所在地的分支机构。对于任何的定期存款投资，基金管理人都必须和存款机构签订定期存款协议，约定双方的权利和义务，该协议作为划款指令附件。该协议中必须有如下条款或意思表示：“存款证实书不得被质押或以任何方式被抵押，并不得用于转让和背书；本息到期归还或提前支取的所有款项必须划至托管资金账户（明确户名、开户行、账号等），不得划入其他任何账户。”如定期存款协议中未体现前述条款，基金托管人有权拒绝定期存款投资的划款指令。在取得存款证实书后，原则上由基金托管人保管证实书正本。基金管理人应该在合理的时间内进行定期存款的投资和支取事宜，若基金管理人提前支取或部分提前支取定期存款，若产生息差（即基金财产已计提的资金利息和提前支取时收到的资金利息差额），该息差的处理方法由基金管理人和基金托管人双方协商解决。</w:t>
      </w:r>
    </w:p>
    <w:p w14:paraId="2CBF952E">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五</w:t>
      </w:r>
      <w:r>
        <w:rPr>
          <w:rFonts w:hint="eastAsia"/>
          <w:sz w:val="21"/>
          <w:szCs w:val="21"/>
        </w:rPr>
        <w:t>）债券托管账户的开立和管理</w:t>
      </w:r>
    </w:p>
    <w:p w14:paraId="0A2FA0CD">
      <w:pPr>
        <w:pStyle w:val="8"/>
        <w:spacing w:before="0" w:beforeAutospacing="0" w:after="0" w:afterAutospacing="0" w:line="360" w:lineRule="auto"/>
        <w:ind w:firstLine="420"/>
        <w:rPr>
          <w:sz w:val="21"/>
          <w:szCs w:val="21"/>
        </w:rPr>
      </w:pPr>
      <w:r>
        <w:rPr>
          <w:rFonts w:hint="eastAsia"/>
          <w:sz w:val="21"/>
          <w:szCs w:val="21"/>
        </w:rPr>
        <w:t>《基金合同》生效后，基金管理人负责以基金的名义申请并取得进入全国银行间同业拆借市场的交易资格，并代表基金进行交易；基金托管人负责以基金的名义在中央国债登记结算有限责任公司和银行间债券市场清算所股份有限公司开设银行间债券市场债券托管账户，并代表基金进行债券和资金的清算。</w:t>
      </w:r>
    </w:p>
    <w:p w14:paraId="1F872CF8">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六</w:t>
      </w:r>
      <w:r>
        <w:rPr>
          <w:rFonts w:hint="eastAsia"/>
          <w:sz w:val="21"/>
          <w:szCs w:val="21"/>
        </w:rPr>
        <w:t>）其他账户的开设和管理</w:t>
      </w:r>
    </w:p>
    <w:p w14:paraId="51732600">
      <w:pPr>
        <w:pStyle w:val="8"/>
        <w:spacing w:before="0" w:beforeAutospacing="0" w:after="0" w:afterAutospacing="0" w:line="360" w:lineRule="auto"/>
        <w:ind w:firstLine="420"/>
        <w:rPr>
          <w:sz w:val="21"/>
          <w:szCs w:val="21"/>
        </w:rPr>
      </w:pPr>
      <w:r>
        <w:rPr>
          <w:rFonts w:hint="eastAsia"/>
          <w:sz w:val="21"/>
          <w:szCs w:val="21"/>
        </w:rPr>
        <w:t>1、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14:paraId="721CC4E3">
      <w:pPr>
        <w:pStyle w:val="8"/>
        <w:spacing w:before="0" w:beforeAutospacing="0" w:after="0" w:afterAutospacing="0" w:line="360" w:lineRule="auto"/>
        <w:ind w:firstLine="420"/>
        <w:rPr>
          <w:sz w:val="21"/>
          <w:szCs w:val="21"/>
        </w:rPr>
      </w:pPr>
      <w:r>
        <w:rPr>
          <w:rFonts w:hint="eastAsia"/>
          <w:sz w:val="21"/>
          <w:szCs w:val="21"/>
        </w:rPr>
        <w:t>2、法律法规等有关规定对相关账户的开立和管理另有规定的，从其规定办理。</w:t>
      </w:r>
    </w:p>
    <w:p w14:paraId="580F8B58">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七</w:t>
      </w:r>
      <w:r>
        <w:rPr>
          <w:rFonts w:hint="eastAsia"/>
          <w:sz w:val="21"/>
          <w:szCs w:val="21"/>
        </w:rPr>
        <w:t>）基金财产投资的有关有价凭证等的保管</w:t>
      </w:r>
    </w:p>
    <w:p w14:paraId="238245DF">
      <w:pPr>
        <w:pStyle w:val="8"/>
        <w:spacing w:before="0" w:beforeAutospacing="0" w:after="0" w:afterAutospacing="0" w:line="360" w:lineRule="auto"/>
        <w:ind w:firstLine="420"/>
        <w:rPr>
          <w:sz w:val="21"/>
          <w:szCs w:val="21"/>
        </w:rPr>
      </w:pPr>
      <w:r>
        <w:rPr>
          <w:rFonts w:hint="eastAsia"/>
          <w:sz w:val="21"/>
          <w:szCs w:val="21"/>
        </w:rPr>
        <w:t>基金财产投资的有关实物证券等有价凭证由基金托管人存放于基金托管人的保管库，也可存入中央国债登记结算有限责任公司、银行间市场清算所股份有限公司、或中国证券登记结算有限责任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实物证券不承担保管责任。</w:t>
      </w:r>
    </w:p>
    <w:p w14:paraId="10D64BA2">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八</w:t>
      </w:r>
      <w:r>
        <w:rPr>
          <w:rFonts w:hint="eastAsia"/>
          <w:sz w:val="21"/>
          <w:szCs w:val="21"/>
        </w:rPr>
        <w:t>）与基金财产有关的重大合同的保管</w:t>
      </w:r>
    </w:p>
    <w:p w14:paraId="5F9DB3F5">
      <w:pPr>
        <w:pStyle w:val="8"/>
        <w:spacing w:before="0" w:beforeAutospacing="0" w:after="0" w:afterAutospacing="0" w:line="360" w:lineRule="auto"/>
        <w:ind w:firstLine="420"/>
        <w:rPr>
          <w:sz w:val="21"/>
          <w:szCs w:val="21"/>
        </w:rPr>
      </w:pPr>
      <w:r>
        <w:rPr>
          <w:rFonts w:hint="eastAsia"/>
          <w:sz w:val="21"/>
          <w:szCs w:val="21"/>
        </w:rPr>
        <w:t>由基金管理人代表基金签署的与基金财产有关的重大合同的原件分别应由基金托管人、基金管理人保管，相关业务程序另有限制的除外。除本协议另有规定外，基金管理人代表基金签署的与基金财产有关的重大合同应保证基金管理人和基金托管人至少各持有一份正本的原件。基金管理人应在重大合同签署后及时以加密方式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14:paraId="26C39CC4">
      <w:pPr>
        <w:pStyle w:val="8"/>
        <w:spacing w:before="0" w:beforeAutospacing="0" w:after="0" w:afterAutospacing="0" w:line="360" w:lineRule="auto"/>
        <w:ind w:firstLine="420"/>
        <w:rPr>
          <w:sz w:val="21"/>
          <w:szCs w:val="21"/>
        </w:rPr>
      </w:pPr>
      <w:r>
        <w:rPr>
          <w:rFonts w:hint="eastAsia"/>
          <w:sz w:val="21"/>
          <w:szCs w:val="21"/>
        </w:rPr>
        <w:t>对于无法取得二份以上的正本的，基金管理人应向基金托管人提供加盖授权业务章的合同传真件，未经双方协商或未在合同约定范围内，合同原件不得转移。</w:t>
      </w:r>
    </w:p>
    <w:p w14:paraId="0F5CDA0C">
      <w:pPr>
        <w:pStyle w:val="8"/>
        <w:spacing w:before="0" w:beforeAutospacing="0" w:after="0" w:afterAutospacing="0" w:line="360" w:lineRule="auto"/>
        <w:ind w:firstLine="420"/>
        <w:rPr>
          <w:sz w:val="21"/>
          <w:szCs w:val="21"/>
        </w:rPr>
      </w:pPr>
      <w:r>
        <w:rPr>
          <w:rStyle w:val="12"/>
          <w:rFonts w:hint="eastAsia"/>
          <w:sz w:val="21"/>
          <w:szCs w:val="21"/>
        </w:rPr>
        <w:t>五、基金资产净值计算、估值和会计核算</w:t>
      </w:r>
    </w:p>
    <w:p w14:paraId="3652E135">
      <w:pPr>
        <w:pStyle w:val="8"/>
        <w:spacing w:before="0" w:beforeAutospacing="0" w:after="0" w:afterAutospacing="0" w:line="360" w:lineRule="auto"/>
        <w:ind w:firstLine="420"/>
        <w:rPr>
          <w:sz w:val="21"/>
          <w:szCs w:val="21"/>
        </w:rPr>
      </w:pPr>
      <w:r>
        <w:rPr>
          <w:rFonts w:hint="eastAsia"/>
          <w:sz w:val="21"/>
          <w:szCs w:val="21"/>
        </w:rPr>
        <w:t>（一）基金资产净值的计算、复核的时间和程序</w:t>
      </w:r>
    </w:p>
    <w:p w14:paraId="4E2F993C">
      <w:pPr>
        <w:pStyle w:val="8"/>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14:paraId="5BE7751D">
      <w:pPr>
        <w:pStyle w:val="8"/>
        <w:spacing w:before="0" w:beforeAutospacing="0" w:after="0" w:afterAutospacing="0" w:line="360" w:lineRule="auto"/>
        <w:ind w:firstLine="420"/>
        <w:rPr>
          <w:sz w:val="21"/>
          <w:szCs w:val="21"/>
        </w:rPr>
      </w:pPr>
      <w:r>
        <w:rPr>
          <w:rFonts w:hint="eastAsia"/>
          <w:sz w:val="21"/>
          <w:szCs w:val="21"/>
        </w:rPr>
        <w:t>基金管理人应于每个工作日对基金财产估值，但基金管理人根据法律法规或基金合同的规定暂停估值时除外。估值原则应符合《基金合同》、《证券投资基金会计核算业务指引》及其他法律、法规的规定。基金资产净值和各类基金份额净值由基金管理人负责计算，基金托管人复核。基金管理人应于每个工作日交易结束后计算当日的基金资产净值和各类基金份额净值并以双方认可的方式发送给基金托管人。基金托管人对净值计算结果复核后以双方认可的方式发送给基金管理人，由基金管理人对基金净值信息予以公布。</w:t>
      </w:r>
    </w:p>
    <w:p w14:paraId="56EDA370">
      <w:pPr>
        <w:pStyle w:val="8"/>
        <w:spacing w:before="0" w:beforeAutospacing="0" w:after="0" w:afterAutospacing="0" w:line="360" w:lineRule="auto"/>
        <w:ind w:firstLine="420"/>
        <w:rPr>
          <w:sz w:val="21"/>
          <w:szCs w:val="21"/>
        </w:rPr>
      </w:pPr>
      <w:r>
        <w:rPr>
          <w:rFonts w:hint="eastAsia"/>
          <w:sz w:val="21"/>
          <w:szCs w:val="21"/>
        </w:rPr>
        <w:t>（二）基金资产估值方法</w:t>
      </w:r>
    </w:p>
    <w:p w14:paraId="083414ED">
      <w:pPr>
        <w:pStyle w:val="8"/>
        <w:spacing w:before="0" w:beforeAutospacing="0" w:after="0" w:afterAutospacing="0" w:line="360" w:lineRule="auto"/>
        <w:ind w:firstLine="420"/>
        <w:rPr>
          <w:sz w:val="21"/>
          <w:szCs w:val="21"/>
        </w:rPr>
      </w:pPr>
      <w:r>
        <w:rPr>
          <w:rFonts w:hint="eastAsia"/>
          <w:sz w:val="21"/>
          <w:szCs w:val="21"/>
        </w:rPr>
        <w:t>1、估值对象</w:t>
      </w:r>
    </w:p>
    <w:p w14:paraId="358EB481">
      <w:pPr>
        <w:pStyle w:val="8"/>
        <w:spacing w:before="0" w:beforeAutospacing="0" w:after="0" w:afterAutospacing="0" w:line="360" w:lineRule="auto"/>
        <w:ind w:firstLine="420"/>
        <w:rPr>
          <w:sz w:val="21"/>
          <w:szCs w:val="21"/>
        </w:rPr>
      </w:pPr>
      <w:r>
        <w:rPr>
          <w:rFonts w:hint="eastAsia"/>
          <w:sz w:val="21"/>
          <w:szCs w:val="21"/>
        </w:rPr>
        <w:t>基金所拥有的目标ETF基金份额、股票（含存托凭证）、股指期货合约、国债期货合约、股票期权合约、债券和银行存款本息、应收款项、资产支持证券、其它投资等资产及负债。</w:t>
      </w:r>
    </w:p>
    <w:p w14:paraId="1C97AA9D">
      <w:pPr>
        <w:pStyle w:val="8"/>
        <w:spacing w:before="0" w:beforeAutospacing="0" w:after="0" w:afterAutospacing="0" w:line="360" w:lineRule="auto"/>
        <w:ind w:firstLine="420"/>
        <w:rPr>
          <w:sz w:val="21"/>
          <w:szCs w:val="21"/>
        </w:rPr>
      </w:pPr>
      <w:r>
        <w:rPr>
          <w:rFonts w:hint="eastAsia"/>
          <w:sz w:val="21"/>
          <w:szCs w:val="21"/>
        </w:rPr>
        <w:t>2、估值方法</w:t>
      </w:r>
    </w:p>
    <w:p w14:paraId="370C6696">
      <w:pPr>
        <w:pStyle w:val="8"/>
        <w:spacing w:before="0" w:beforeAutospacing="0" w:after="0" w:afterAutospacing="0" w:line="360" w:lineRule="auto"/>
        <w:ind w:firstLine="420"/>
        <w:rPr>
          <w:rFonts w:hint="eastAsia"/>
          <w:sz w:val="21"/>
          <w:szCs w:val="21"/>
        </w:rPr>
      </w:pPr>
      <w:r>
        <w:rPr>
          <w:rFonts w:hint="eastAsia"/>
          <w:sz w:val="21"/>
          <w:szCs w:val="21"/>
        </w:rPr>
        <w:t>（1）本基金持有的目标ETF基金份额以其当日基金份额净值估值，当日无基金份额净值的，以最近工作日的基金份额净值估值。</w:t>
      </w:r>
    </w:p>
    <w:p w14:paraId="419F15EF">
      <w:pPr>
        <w:pStyle w:val="8"/>
        <w:spacing w:before="0" w:beforeAutospacing="0" w:after="0" w:afterAutospacing="0" w:line="360" w:lineRule="auto"/>
        <w:ind w:firstLine="420"/>
        <w:rPr>
          <w:rFonts w:hint="eastAsia"/>
          <w:sz w:val="21"/>
          <w:szCs w:val="21"/>
        </w:rPr>
      </w:pPr>
      <w:r>
        <w:rPr>
          <w:rFonts w:hint="eastAsia"/>
          <w:sz w:val="21"/>
          <w:szCs w:val="21"/>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1D79FDE6">
      <w:pPr>
        <w:pStyle w:val="8"/>
        <w:spacing w:before="0" w:beforeAutospacing="0" w:after="0" w:afterAutospacing="0" w:line="360" w:lineRule="auto"/>
        <w:ind w:firstLine="420"/>
        <w:rPr>
          <w:rFonts w:hint="eastAsia"/>
          <w:sz w:val="21"/>
          <w:szCs w:val="21"/>
        </w:rPr>
      </w:pPr>
      <w:r>
        <w:rPr>
          <w:rFonts w:hint="eastAsia"/>
          <w:sz w:val="21"/>
          <w:szCs w:val="21"/>
        </w:rPr>
        <w:t>（3）对于已上市或已挂牌转让的不含权固定收益品种，选取估值日第三方估值基准服务机构提供的相应品种当日的估值全价进行估值。</w:t>
      </w:r>
    </w:p>
    <w:p w14:paraId="3D91B850">
      <w:pPr>
        <w:pStyle w:val="8"/>
        <w:spacing w:before="0" w:beforeAutospacing="0" w:after="0" w:afterAutospacing="0" w:line="360" w:lineRule="auto"/>
        <w:ind w:firstLine="420"/>
        <w:rPr>
          <w:rFonts w:hint="eastAsia"/>
          <w:sz w:val="21"/>
          <w:szCs w:val="21"/>
        </w:rPr>
      </w:pPr>
      <w:r>
        <w:rPr>
          <w:rFonts w:hint="eastAsia"/>
          <w:sz w:val="21"/>
          <w:szCs w:val="21"/>
        </w:rPr>
        <w:t>（4）对于已上市或已挂牌转让的含权固定收益品种，选取估值日第三方估值基准服务机构提供的相应品种当日的唯一估值全价或推荐估值全价进行估值。</w:t>
      </w:r>
    </w:p>
    <w:p w14:paraId="01EF9E9B">
      <w:pPr>
        <w:pStyle w:val="8"/>
        <w:spacing w:before="0" w:beforeAutospacing="0" w:after="0" w:afterAutospacing="0" w:line="360" w:lineRule="auto"/>
        <w:ind w:firstLine="420"/>
        <w:rPr>
          <w:rFonts w:hint="eastAsia"/>
          <w:sz w:val="21"/>
          <w:szCs w:val="21"/>
        </w:rPr>
      </w:pPr>
      <w:r>
        <w:rPr>
          <w:rFonts w:hint="eastAsia"/>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BBB0876">
      <w:pPr>
        <w:pStyle w:val="8"/>
        <w:spacing w:before="0" w:beforeAutospacing="0" w:after="0" w:afterAutospacing="0" w:line="360" w:lineRule="auto"/>
        <w:ind w:firstLine="420"/>
        <w:rPr>
          <w:rFonts w:hint="eastAsia"/>
          <w:sz w:val="21"/>
          <w:szCs w:val="21"/>
        </w:rPr>
      </w:pPr>
      <w:r>
        <w:rPr>
          <w:rFonts w:hint="eastAsia"/>
          <w:sz w:val="21"/>
          <w:szCs w:val="21"/>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314FD32">
      <w:pPr>
        <w:pStyle w:val="8"/>
        <w:spacing w:before="0" w:beforeAutospacing="0" w:after="0" w:afterAutospacing="0" w:line="360" w:lineRule="auto"/>
        <w:ind w:firstLine="420"/>
        <w:rPr>
          <w:rFonts w:hint="eastAsia"/>
          <w:sz w:val="21"/>
          <w:szCs w:val="21"/>
        </w:rPr>
      </w:pPr>
      <w:r>
        <w:rPr>
          <w:rFonts w:hint="eastAsia"/>
          <w:sz w:val="21"/>
          <w:szCs w:val="21"/>
        </w:rPr>
        <w:t>（6）对于未上市或未挂牌转让且不存在活跃市场的固定收益品种，应采用在当前情况下适用并且有足够可利用数据和其他信息支持的估值技术确定其公允价值。</w:t>
      </w:r>
    </w:p>
    <w:p w14:paraId="4FED3877">
      <w:pPr>
        <w:pStyle w:val="8"/>
        <w:spacing w:before="0" w:beforeAutospacing="0" w:after="0" w:afterAutospacing="0" w:line="360" w:lineRule="auto"/>
        <w:ind w:firstLine="420"/>
        <w:rPr>
          <w:rFonts w:hint="eastAsia"/>
          <w:sz w:val="21"/>
          <w:szCs w:val="21"/>
        </w:rPr>
      </w:pPr>
      <w:r>
        <w:rPr>
          <w:rFonts w:hint="eastAsia"/>
          <w:sz w:val="21"/>
          <w:szCs w:val="21"/>
        </w:rPr>
        <w:t>（7）处于未上市期间的有价证券应区分如下情况处理：</w:t>
      </w:r>
    </w:p>
    <w:p w14:paraId="5537C7CF">
      <w:pPr>
        <w:pStyle w:val="8"/>
        <w:spacing w:before="0" w:beforeAutospacing="0" w:after="0" w:afterAutospacing="0" w:line="360" w:lineRule="auto"/>
        <w:ind w:firstLine="420"/>
        <w:rPr>
          <w:rFonts w:hint="eastAsia"/>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14:paraId="0FF36E61">
      <w:pPr>
        <w:pStyle w:val="8"/>
        <w:spacing w:before="0" w:beforeAutospacing="0" w:after="0" w:afterAutospacing="0" w:line="360" w:lineRule="auto"/>
        <w:ind w:firstLine="420"/>
        <w:rPr>
          <w:rFonts w:hint="eastAsia"/>
          <w:sz w:val="21"/>
          <w:szCs w:val="21"/>
        </w:rPr>
      </w:pPr>
      <w:r>
        <w:rPr>
          <w:rFonts w:hint="eastAsia"/>
          <w:sz w:val="21"/>
          <w:szCs w:val="21"/>
        </w:rPr>
        <w:t>2）首次公开发行未上市的股票，采用估值技术确定公允价值，在估值技术难以可靠计量公允价值的情况下，按成本估值；</w:t>
      </w:r>
    </w:p>
    <w:p w14:paraId="7E4E75EB">
      <w:pPr>
        <w:pStyle w:val="8"/>
        <w:spacing w:before="0" w:beforeAutospacing="0" w:after="0" w:afterAutospacing="0" w:line="360" w:lineRule="auto"/>
        <w:ind w:firstLine="420"/>
        <w:rPr>
          <w:rFonts w:hint="eastAsia"/>
          <w:sz w:val="21"/>
          <w:szCs w:val="21"/>
        </w:rPr>
      </w:pPr>
      <w:r>
        <w:rPr>
          <w:rFonts w:hint="eastAsia"/>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7182225">
      <w:pPr>
        <w:pStyle w:val="8"/>
        <w:spacing w:before="0" w:beforeAutospacing="0" w:after="0" w:afterAutospacing="0" w:line="360" w:lineRule="auto"/>
        <w:ind w:firstLine="420"/>
        <w:rPr>
          <w:rFonts w:hint="eastAsia"/>
          <w:sz w:val="21"/>
          <w:szCs w:val="21"/>
        </w:rPr>
      </w:pPr>
      <w:r>
        <w:rPr>
          <w:rFonts w:hint="eastAsia"/>
          <w:sz w:val="21"/>
          <w:szCs w:val="21"/>
        </w:rPr>
        <w:t>（8）本基金投资存托凭证的估值核算，依照境内上市交易的股票执行。</w:t>
      </w:r>
    </w:p>
    <w:p w14:paraId="4B59B2CB">
      <w:pPr>
        <w:pStyle w:val="8"/>
        <w:spacing w:before="0" w:beforeAutospacing="0" w:after="0" w:afterAutospacing="0" w:line="360" w:lineRule="auto"/>
        <w:ind w:firstLine="420"/>
        <w:rPr>
          <w:rFonts w:hint="eastAsia"/>
          <w:sz w:val="21"/>
          <w:szCs w:val="21"/>
        </w:rPr>
      </w:pPr>
      <w:r>
        <w:rPr>
          <w:rFonts w:hint="eastAsia"/>
          <w:sz w:val="21"/>
          <w:szCs w:val="21"/>
        </w:rPr>
        <w:t>（9）同一证券同时在两个或两个以上市场交易的，按证券所处的市场分别估值。</w:t>
      </w:r>
    </w:p>
    <w:p w14:paraId="353AEA05">
      <w:pPr>
        <w:pStyle w:val="8"/>
        <w:spacing w:before="0" w:beforeAutospacing="0" w:after="0" w:afterAutospacing="0" w:line="360" w:lineRule="auto"/>
        <w:ind w:firstLine="420"/>
        <w:rPr>
          <w:rFonts w:hint="eastAsia"/>
          <w:sz w:val="21"/>
          <w:szCs w:val="21"/>
        </w:rPr>
      </w:pPr>
      <w:r>
        <w:rPr>
          <w:rFonts w:hint="eastAsia"/>
          <w:sz w:val="21"/>
          <w:szCs w:val="21"/>
        </w:rPr>
        <w:t>（10）本基金参与股指期货合约、国债期货合约交易，一般以估值当日结算价进行估值，估值当日无结算价的，且最近交易日后经济环境未发生重大变化的，采用最近交易日结算价估值。</w:t>
      </w:r>
    </w:p>
    <w:p w14:paraId="1E8AF240">
      <w:pPr>
        <w:pStyle w:val="8"/>
        <w:spacing w:before="0" w:beforeAutospacing="0" w:after="0" w:afterAutospacing="0" w:line="360" w:lineRule="auto"/>
        <w:ind w:firstLine="420"/>
        <w:rPr>
          <w:rFonts w:hint="eastAsia"/>
          <w:sz w:val="21"/>
          <w:szCs w:val="21"/>
        </w:rPr>
      </w:pPr>
      <w:r>
        <w:rPr>
          <w:rFonts w:hint="eastAsia"/>
          <w:sz w:val="21"/>
          <w:szCs w:val="21"/>
        </w:rPr>
        <w:t>（11）本基金投资股票期权，根据相关法律法规以及监管部门的规定估值。</w:t>
      </w:r>
    </w:p>
    <w:p w14:paraId="0AE4CA31">
      <w:pPr>
        <w:pStyle w:val="8"/>
        <w:spacing w:before="0" w:beforeAutospacing="0" w:after="0" w:afterAutospacing="0" w:line="360" w:lineRule="auto"/>
        <w:ind w:firstLine="420"/>
        <w:rPr>
          <w:rFonts w:hint="eastAsia"/>
          <w:sz w:val="21"/>
          <w:szCs w:val="21"/>
        </w:rPr>
      </w:pPr>
      <w:r>
        <w:rPr>
          <w:rFonts w:hint="eastAsia"/>
          <w:sz w:val="21"/>
          <w:szCs w:val="21"/>
        </w:rPr>
        <w:t>（12）本基金参与融资或转融通证券出借业务的，应参照行业协会的相关规定进行估值，确保估值的公允性。</w:t>
      </w:r>
    </w:p>
    <w:p w14:paraId="13259BF9">
      <w:pPr>
        <w:pStyle w:val="8"/>
        <w:spacing w:before="0" w:beforeAutospacing="0" w:after="0" w:afterAutospacing="0" w:line="360" w:lineRule="auto"/>
        <w:ind w:firstLine="420"/>
        <w:rPr>
          <w:rFonts w:hint="eastAsia"/>
          <w:sz w:val="21"/>
          <w:szCs w:val="21"/>
        </w:rPr>
      </w:pPr>
      <w:r>
        <w:rPr>
          <w:rFonts w:hint="eastAsia"/>
          <w:sz w:val="21"/>
          <w:szCs w:val="21"/>
        </w:rPr>
        <w:t>（13）汇率</w:t>
      </w:r>
    </w:p>
    <w:p w14:paraId="566BD50B">
      <w:pPr>
        <w:pStyle w:val="8"/>
        <w:spacing w:before="0" w:beforeAutospacing="0" w:after="0" w:afterAutospacing="0" w:line="360" w:lineRule="auto"/>
        <w:ind w:firstLine="420"/>
        <w:rPr>
          <w:rFonts w:hint="eastAsia"/>
          <w:sz w:val="21"/>
          <w:szCs w:val="21"/>
        </w:rPr>
      </w:pPr>
      <w:r>
        <w:rPr>
          <w:rFonts w:hint="eastAsia"/>
          <w:sz w:val="21"/>
          <w:szCs w:val="21"/>
        </w:rPr>
        <w:t>本基金外币资产价值计算中，涉及主要货币对人民币汇率的，应当以基金估值日中国人民银行或其授权机构公布的人民币汇率中间价为准。</w:t>
      </w:r>
    </w:p>
    <w:p w14:paraId="62701F99">
      <w:pPr>
        <w:pStyle w:val="8"/>
        <w:spacing w:before="0" w:beforeAutospacing="0" w:after="0" w:afterAutospacing="0" w:line="360" w:lineRule="auto"/>
        <w:ind w:firstLine="420"/>
        <w:rPr>
          <w:rFonts w:hint="eastAsia"/>
          <w:sz w:val="21"/>
          <w:szCs w:val="21"/>
        </w:rPr>
      </w:pPr>
      <w:r>
        <w:rPr>
          <w:rFonts w:hint="eastAsia"/>
          <w:sz w:val="21"/>
          <w:szCs w:val="21"/>
        </w:rPr>
        <w:t>（14）如有确凿证据表明按上述方法进行估值不能客观反映其公允价值的，基金管理人可根据具体情况与基金托管人商定后，按最能反映公允价值的价格估值。</w:t>
      </w:r>
    </w:p>
    <w:p w14:paraId="09FA809D">
      <w:pPr>
        <w:pStyle w:val="8"/>
        <w:spacing w:before="0" w:beforeAutospacing="0" w:after="0" w:afterAutospacing="0" w:line="360" w:lineRule="auto"/>
        <w:ind w:firstLine="420"/>
        <w:rPr>
          <w:rFonts w:hint="eastAsia"/>
          <w:sz w:val="21"/>
          <w:szCs w:val="21"/>
        </w:rPr>
      </w:pPr>
      <w:r>
        <w:rPr>
          <w:rFonts w:hint="eastAsia"/>
          <w:sz w:val="21"/>
          <w:szCs w:val="21"/>
        </w:rPr>
        <w:t>（15）当发生大额申购或赎回情形时，基金管理人可以采用摆动定价机制，以确保基金估值的公平性。具体处理原则与操作规范遵循相关法律法规以及监管部门、自律规则的规定。</w:t>
      </w:r>
    </w:p>
    <w:p w14:paraId="1684D0F7">
      <w:pPr>
        <w:pStyle w:val="8"/>
        <w:spacing w:before="0" w:beforeAutospacing="0" w:after="0" w:afterAutospacing="0" w:line="360" w:lineRule="auto"/>
        <w:ind w:firstLine="420"/>
        <w:rPr>
          <w:sz w:val="21"/>
          <w:szCs w:val="21"/>
        </w:rPr>
      </w:pPr>
      <w:r>
        <w:rPr>
          <w:rFonts w:hint="eastAsia"/>
          <w:sz w:val="21"/>
          <w:szCs w:val="21"/>
        </w:rPr>
        <w:t>（16）相关法律法规以及监管部门有强制规定的，从其规定。如有新增事项，按国家最新规定估值。</w:t>
      </w:r>
    </w:p>
    <w:p w14:paraId="11511DCC">
      <w:pPr>
        <w:pStyle w:val="8"/>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7FF9B674">
      <w:pPr>
        <w:pStyle w:val="8"/>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244F2994">
      <w:pPr>
        <w:pStyle w:val="8"/>
        <w:spacing w:before="0" w:beforeAutospacing="0" w:after="0" w:afterAutospacing="0" w:line="360" w:lineRule="auto"/>
        <w:ind w:firstLine="420"/>
        <w:rPr>
          <w:sz w:val="21"/>
          <w:szCs w:val="21"/>
        </w:rPr>
      </w:pPr>
      <w:r>
        <w:rPr>
          <w:rFonts w:hint="eastAsia"/>
          <w:sz w:val="21"/>
          <w:szCs w:val="21"/>
        </w:rPr>
        <w:t>3、估值程序</w:t>
      </w:r>
    </w:p>
    <w:p w14:paraId="20BD45E8">
      <w:pPr>
        <w:pStyle w:val="8"/>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14:paraId="1AEB13FB">
      <w:pPr>
        <w:pStyle w:val="8"/>
        <w:spacing w:before="0" w:beforeAutospacing="0" w:after="0" w:afterAutospacing="0" w:line="360" w:lineRule="auto"/>
        <w:ind w:firstLine="420"/>
        <w:rPr>
          <w:sz w:val="21"/>
          <w:szCs w:val="21"/>
        </w:rPr>
      </w:pPr>
      <w:r>
        <w:rPr>
          <w:rFonts w:hint="eastAsia"/>
          <w:sz w:val="21"/>
          <w:szCs w:val="21"/>
        </w:rPr>
        <w:t>基金管理人于每个工作日计算基金资产净值及各类基金份额净值，并按规定公告。</w:t>
      </w:r>
    </w:p>
    <w:p w14:paraId="29584078">
      <w:pPr>
        <w:pStyle w:val="8"/>
        <w:spacing w:before="0" w:beforeAutospacing="0" w:after="0" w:afterAutospacing="0" w:line="360" w:lineRule="auto"/>
        <w:ind w:firstLine="420"/>
        <w:rPr>
          <w:sz w:val="21"/>
          <w:szCs w:val="21"/>
        </w:rPr>
      </w:pPr>
      <w:r>
        <w:rPr>
          <w:rFonts w:hint="eastAsia"/>
          <w:sz w:val="21"/>
          <w:szCs w:val="21"/>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w:t>
      </w:r>
    </w:p>
    <w:p w14:paraId="1578B438">
      <w:pPr>
        <w:pStyle w:val="8"/>
        <w:spacing w:before="0" w:beforeAutospacing="0" w:after="0" w:afterAutospacing="0" w:line="360" w:lineRule="auto"/>
        <w:ind w:firstLine="420"/>
        <w:rPr>
          <w:sz w:val="21"/>
          <w:szCs w:val="21"/>
        </w:rPr>
      </w:pPr>
      <w:r>
        <w:rPr>
          <w:rFonts w:hint="eastAsia"/>
          <w:sz w:val="21"/>
          <w:szCs w:val="21"/>
        </w:rPr>
        <w:t>4、估值错误的处理</w:t>
      </w:r>
    </w:p>
    <w:p w14:paraId="7EDF75F4">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基金管理人和基金托管人将采取必要、适当、合理的措施确保基金资产估值的准确性、及时性。当任一类基金份额净值小数点后4位以内(含第4位)发生估值错误时，视为该类基金份额净值错误。</w:t>
      </w:r>
    </w:p>
    <w:p w14:paraId="6ADC232C">
      <w:pPr>
        <w:pStyle w:val="8"/>
        <w:spacing w:before="0" w:beforeAutospacing="0" w:after="0" w:afterAutospacing="0" w:line="360" w:lineRule="auto"/>
        <w:ind w:firstLine="420"/>
        <w:rPr>
          <w:sz w:val="21"/>
          <w:szCs w:val="21"/>
        </w:rPr>
      </w:pPr>
      <w:r>
        <w:rPr>
          <w:rFonts w:hint="eastAsia"/>
          <w:sz w:val="21"/>
          <w:szCs w:val="21"/>
        </w:rPr>
        <w:t>基金合同的当事人应按照以下约定处理：</w:t>
      </w:r>
    </w:p>
    <w:p w14:paraId="49B46640">
      <w:pPr>
        <w:pStyle w:val="8"/>
        <w:spacing w:before="0" w:beforeAutospacing="0" w:after="0" w:afterAutospacing="0" w:line="360" w:lineRule="auto"/>
        <w:ind w:firstLine="420"/>
        <w:rPr>
          <w:sz w:val="21"/>
          <w:szCs w:val="21"/>
        </w:rPr>
      </w:pPr>
      <w:r>
        <w:rPr>
          <w:rFonts w:hint="eastAsia"/>
          <w:sz w:val="21"/>
          <w:szCs w:val="21"/>
        </w:rPr>
        <w:t>（1）估值错误类型</w:t>
      </w:r>
    </w:p>
    <w:p w14:paraId="72577EA2">
      <w:pPr>
        <w:pStyle w:val="8"/>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40C4C8E5">
      <w:pPr>
        <w:pStyle w:val="8"/>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p>
    <w:p w14:paraId="3D068F06">
      <w:pPr>
        <w:pStyle w:val="8"/>
        <w:spacing w:before="0" w:beforeAutospacing="0" w:after="0" w:afterAutospacing="0" w:line="360" w:lineRule="auto"/>
        <w:ind w:firstLine="420"/>
        <w:rPr>
          <w:sz w:val="21"/>
          <w:szCs w:val="21"/>
        </w:rPr>
      </w:pPr>
      <w:r>
        <w:rPr>
          <w:rFonts w:hint="eastAsia"/>
          <w:sz w:val="21"/>
          <w:szCs w:val="21"/>
        </w:rPr>
        <w:t>（2）估值错误处理原则</w:t>
      </w:r>
    </w:p>
    <w:p w14:paraId="31FC2008">
      <w:pPr>
        <w:pStyle w:val="8"/>
        <w:spacing w:before="0" w:beforeAutospacing="0" w:after="0" w:afterAutospacing="0" w:line="360" w:lineRule="auto"/>
        <w:ind w:firstLine="420"/>
        <w:rPr>
          <w:sz w:val="21"/>
          <w:szCs w:val="21"/>
        </w:rPr>
      </w:pPr>
      <w:r>
        <w:rPr>
          <w:rFonts w:hint="eastAsia"/>
          <w:sz w:val="21"/>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672EEA27">
      <w:pPr>
        <w:pStyle w:val="8"/>
        <w:spacing w:before="0" w:beforeAutospacing="0" w:after="0" w:afterAutospacing="0" w:line="360" w:lineRule="auto"/>
        <w:ind w:firstLine="420"/>
        <w:rPr>
          <w:sz w:val="21"/>
          <w:szCs w:val="21"/>
        </w:rPr>
      </w:pPr>
      <w:r>
        <w:rPr>
          <w:rFonts w:hint="eastAsia"/>
          <w:sz w:val="21"/>
          <w:szCs w:val="21"/>
        </w:rPr>
        <w:t>2）估值错误的责任方对有关当事人的直接损失负责，不对间接损失负责，并且仅对估值错误的有关直接当事人负责，不对第三方负责。</w:t>
      </w:r>
    </w:p>
    <w:p w14:paraId="5653FD51">
      <w:pPr>
        <w:pStyle w:val="8"/>
        <w:spacing w:before="0" w:beforeAutospacing="0" w:after="0" w:afterAutospacing="0" w:line="360" w:lineRule="auto"/>
        <w:ind w:firstLine="420"/>
        <w:rPr>
          <w:sz w:val="21"/>
          <w:szCs w:val="21"/>
        </w:rPr>
      </w:pPr>
      <w:r>
        <w:rPr>
          <w:rFonts w:hint="eastAsia"/>
          <w:sz w:val="21"/>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3F29994F">
      <w:pPr>
        <w:pStyle w:val="8"/>
        <w:spacing w:before="0" w:beforeAutospacing="0" w:after="0" w:afterAutospacing="0" w:line="360" w:lineRule="auto"/>
        <w:ind w:firstLine="420"/>
        <w:rPr>
          <w:sz w:val="21"/>
          <w:szCs w:val="21"/>
        </w:rPr>
      </w:pPr>
      <w:r>
        <w:rPr>
          <w:rFonts w:hint="eastAsia"/>
          <w:sz w:val="21"/>
          <w:szCs w:val="21"/>
        </w:rPr>
        <w:t>4）估值错误调整采用尽量恢复至假设未发生估值错误的正确情形的方式。</w:t>
      </w:r>
    </w:p>
    <w:p w14:paraId="0749DBD6">
      <w:pPr>
        <w:pStyle w:val="8"/>
        <w:spacing w:before="0" w:beforeAutospacing="0" w:after="0" w:afterAutospacing="0" w:line="360" w:lineRule="auto"/>
        <w:ind w:firstLine="420"/>
        <w:rPr>
          <w:sz w:val="21"/>
          <w:szCs w:val="21"/>
        </w:rPr>
      </w:pPr>
      <w:r>
        <w:rPr>
          <w:rFonts w:hint="eastAsia"/>
          <w:sz w:val="21"/>
          <w:szCs w:val="21"/>
        </w:rPr>
        <w:t>（3）估值错误处理程序</w:t>
      </w:r>
    </w:p>
    <w:p w14:paraId="212AEFB9">
      <w:pPr>
        <w:pStyle w:val="8"/>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p>
    <w:p w14:paraId="25073E15">
      <w:pPr>
        <w:pStyle w:val="8"/>
        <w:spacing w:before="0" w:beforeAutospacing="0" w:after="0" w:afterAutospacing="0" w:line="360" w:lineRule="auto"/>
        <w:ind w:firstLine="420"/>
        <w:rPr>
          <w:sz w:val="21"/>
          <w:szCs w:val="21"/>
        </w:rPr>
      </w:pPr>
      <w:r>
        <w:rPr>
          <w:rFonts w:hint="eastAsia"/>
          <w:sz w:val="21"/>
          <w:szCs w:val="21"/>
        </w:rPr>
        <w:t>1）查明估值错误发生的原因，列明所有的当事人，并根据估值错误发生的原因确定估值错误的责任方；</w:t>
      </w:r>
    </w:p>
    <w:p w14:paraId="67B04D75">
      <w:pPr>
        <w:pStyle w:val="8"/>
        <w:spacing w:before="0" w:beforeAutospacing="0" w:after="0" w:afterAutospacing="0" w:line="360" w:lineRule="auto"/>
        <w:ind w:firstLine="420"/>
        <w:rPr>
          <w:sz w:val="21"/>
          <w:szCs w:val="21"/>
        </w:rPr>
      </w:pPr>
      <w:r>
        <w:rPr>
          <w:rFonts w:hint="eastAsia"/>
          <w:sz w:val="21"/>
          <w:szCs w:val="21"/>
        </w:rPr>
        <w:t>2）根据估值错误处理原则或当事人协商的方法对因估值错误造成的损失进行评估；</w:t>
      </w:r>
    </w:p>
    <w:p w14:paraId="3A325910">
      <w:pPr>
        <w:pStyle w:val="8"/>
        <w:spacing w:before="0" w:beforeAutospacing="0" w:after="0" w:afterAutospacing="0" w:line="360" w:lineRule="auto"/>
        <w:ind w:firstLine="420"/>
        <w:rPr>
          <w:sz w:val="21"/>
          <w:szCs w:val="21"/>
        </w:rPr>
      </w:pPr>
      <w:r>
        <w:rPr>
          <w:rFonts w:hint="eastAsia"/>
          <w:sz w:val="21"/>
          <w:szCs w:val="21"/>
        </w:rPr>
        <w:t>3）根据估值错误处理原则或当事人协商的方法由估值错误的责任方进行更正和赔偿损失；</w:t>
      </w:r>
    </w:p>
    <w:p w14:paraId="50398C7D">
      <w:pPr>
        <w:pStyle w:val="8"/>
        <w:spacing w:before="0" w:beforeAutospacing="0" w:after="0" w:afterAutospacing="0" w:line="360" w:lineRule="auto"/>
        <w:ind w:firstLine="420"/>
        <w:rPr>
          <w:sz w:val="21"/>
          <w:szCs w:val="21"/>
        </w:rPr>
      </w:pPr>
      <w:r>
        <w:rPr>
          <w:rFonts w:hint="eastAsia"/>
          <w:sz w:val="21"/>
          <w:szCs w:val="21"/>
        </w:rPr>
        <w:t>4）根据估值错误处理的方法，需要修改基金登记机构交易数据的，由基金登记机构进行更正，并就估值错误的更正向有关当事人进行确认。</w:t>
      </w:r>
    </w:p>
    <w:p w14:paraId="6931BEFE">
      <w:pPr>
        <w:pStyle w:val="8"/>
        <w:spacing w:before="0" w:beforeAutospacing="0" w:after="0" w:afterAutospacing="0" w:line="360" w:lineRule="auto"/>
        <w:ind w:firstLine="420"/>
        <w:rPr>
          <w:sz w:val="21"/>
          <w:szCs w:val="21"/>
        </w:rPr>
      </w:pPr>
      <w:r>
        <w:rPr>
          <w:rFonts w:hint="eastAsia"/>
          <w:sz w:val="21"/>
          <w:szCs w:val="21"/>
        </w:rPr>
        <w:t>（4）基金份额净值估值错误处理的方法如下：</w:t>
      </w:r>
    </w:p>
    <w:p w14:paraId="57833625">
      <w:pPr>
        <w:pStyle w:val="8"/>
        <w:spacing w:before="0" w:beforeAutospacing="0" w:after="0" w:afterAutospacing="0" w:line="360" w:lineRule="auto"/>
        <w:ind w:firstLine="420"/>
        <w:rPr>
          <w:sz w:val="21"/>
          <w:szCs w:val="21"/>
        </w:rPr>
      </w:pPr>
      <w:r>
        <w:rPr>
          <w:rFonts w:hint="eastAsia"/>
          <w:sz w:val="21"/>
          <w:szCs w:val="21"/>
        </w:rPr>
        <w:t>1）基金份额净值计算出现错误时，基金管理人应当立即予以纠正，通报基金托管人，并采取合理的措施防止损失进一步扩大。</w:t>
      </w:r>
    </w:p>
    <w:p w14:paraId="4B335356">
      <w:pPr>
        <w:pStyle w:val="8"/>
        <w:spacing w:before="0" w:beforeAutospacing="0" w:after="0" w:afterAutospacing="0" w:line="360" w:lineRule="auto"/>
        <w:ind w:firstLine="420"/>
        <w:rPr>
          <w:sz w:val="21"/>
          <w:szCs w:val="21"/>
        </w:rPr>
      </w:pPr>
      <w:r>
        <w:rPr>
          <w:rFonts w:hint="eastAsia"/>
          <w:sz w:val="21"/>
          <w:szCs w:val="21"/>
        </w:rPr>
        <w:t>2）错误偏差达到该类基金份额净值的0.25%时，基金管理人应当通报基金托管人并报中国证监会备案；错误偏差达到该类基金份额净值的0.5%时，基金管理人应当公告，并报中国证监会备案。</w:t>
      </w:r>
    </w:p>
    <w:p w14:paraId="30EC3CB5">
      <w:pPr>
        <w:pStyle w:val="8"/>
        <w:spacing w:before="0" w:beforeAutospacing="0" w:after="0" w:afterAutospacing="0" w:line="360" w:lineRule="auto"/>
        <w:ind w:firstLine="420"/>
        <w:rPr>
          <w:sz w:val="21"/>
          <w:szCs w:val="21"/>
        </w:rPr>
      </w:pPr>
      <w:r>
        <w:rPr>
          <w:rFonts w:hint="eastAsia"/>
          <w:sz w:val="21"/>
          <w:szCs w:val="21"/>
        </w:rPr>
        <w:t>3）基金管理人和基金托管人由于各自技术系统设置而产生的净值计算尾差，以基金管理人计算结果为准。</w:t>
      </w:r>
    </w:p>
    <w:p w14:paraId="0943B8D9">
      <w:pPr>
        <w:pStyle w:val="8"/>
        <w:spacing w:before="0" w:beforeAutospacing="0" w:after="0" w:afterAutospacing="0" w:line="360" w:lineRule="auto"/>
        <w:ind w:firstLine="420"/>
        <w:rPr>
          <w:sz w:val="21"/>
          <w:szCs w:val="21"/>
        </w:rPr>
      </w:pPr>
      <w:r>
        <w:rPr>
          <w:rFonts w:hint="eastAsia"/>
          <w:sz w:val="21"/>
          <w:szCs w:val="21"/>
        </w:rPr>
        <w:t>4）前述内容如法律法规或监管机关另有规定的，从其规定处理。如果行业另有通行做法，基金管理人、基金托管人应本着平等和保护基金份额持有人利益的原则进行协商。</w:t>
      </w:r>
    </w:p>
    <w:p w14:paraId="3D78F54D">
      <w:pPr>
        <w:pStyle w:val="8"/>
        <w:spacing w:before="0" w:beforeAutospacing="0" w:after="0" w:afterAutospacing="0" w:line="360" w:lineRule="auto"/>
        <w:ind w:firstLine="420"/>
        <w:rPr>
          <w:sz w:val="21"/>
          <w:szCs w:val="21"/>
        </w:rPr>
      </w:pPr>
      <w:r>
        <w:rPr>
          <w:rFonts w:hint="eastAsia"/>
          <w:sz w:val="21"/>
          <w:szCs w:val="21"/>
        </w:rPr>
        <w:t>5、暂停估值的情形</w:t>
      </w:r>
    </w:p>
    <w:p w14:paraId="7A89B689">
      <w:pPr>
        <w:pStyle w:val="8"/>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14:paraId="3B6F5869">
      <w:pPr>
        <w:pStyle w:val="8"/>
        <w:spacing w:before="0" w:beforeAutospacing="0" w:after="0" w:afterAutospacing="0" w:line="360" w:lineRule="auto"/>
        <w:ind w:firstLine="420"/>
        <w:rPr>
          <w:sz w:val="21"/>
          <w:szCs w:val="21"/>
        </w:rPr>
      </w:pPr>
      <w:r>
        <w:rPr>
          <w:rFonts w:hint="eastAsia"/>
          <w:sz w:val="21"/>
          <w:szCs w:val="21"/>
        </w:rPr>
        <w:t>（2）因不可抗力致使基金管理人、基金托管人无法准确评估基金资产价值时；</w:t>
      </w:r>
    </w:p>
    <w:p w14:paraId="6E2711EF">
      <w:pPr>
        <w:pStyle w:val="8"/>
        <w:spacing w:before="0" w:beforeAutospacing="0" w:after="0" w:afterAutospacing="0" w:line="360" w:lineRule="auto"/>
        <w:ind w:firstLine="420"/>
        <w:rPr>
          <w:rFonts w:hint="eastAsia"/>
          <w:sz w:val="21"/>
          <w:szCs w:val="21"/>
        </w:rPr>
      </w:pPr>
      <w:r>
        <w:rPr>
          <w:rFonts w:hint="eastAsia"/>
          <w:sz w:val="21"/>
          <w:szCs w:val="21"/>
        </w:rPr>
        <w:t>（3）所投资的目标ETF暂停估值、暂停公告基金份额净值时；</w:t>
      </w:r>
    </w:p>
    <w:p w14:paraId="289ECC55">
      <w:pPr>
        <w:pStyle w:val="8"/>
        <w:spacing w:before="0" w:beforeAutospacing="0" w:after="0" w:afterAutospacing="0" w:line="360" w:lineRule="auto"/>
        <w:ind w:firstLine="420"/>
        <w:rPr>
          <w:sz w:val="21"/>
          <w:szCs w:val="21"/>
        </w:rPr>
      </w:pPr>
      <w:r>
        <w:rPr>
          <w:rFonts w:hint="eastAsia"/>
          <w:sz w:val="21"/>
          <w:szCs w:val="21"/>
        </w:rPr>
        <w:t>（4）当特定资产占前一估值日基金资产净值50%以上的，经与基金托管人协商确认后，基金管理人应当暂停估值；</w:t>
      </w:r>
    </w:p>
    <w:p w14:paraId="44F488A1">
      <w:pPr>
        <w:pStyle w:val="8"/>
        <w:spacing w:before="0" w:beforeAutospacing="0" w:after="0" w:afterAutospacing="0" w:line="360" w:lineRule="auto"/>
        <w:ind w:firstLine="420"/>
        <w:rPr>
          <w:sz w:val="21"/>
          <w:szCs w:val="21"/>
        </w:rPr>
      </w:pPr>
      <w:r>
        <w:rPr>
          <w:rFonts w:hint="eastAsia"/>
          <w:sz w:val="21"/>
          <w:szCs w:val="21"/>
        </w:rPr>
        <w:t>（</w:t>
      </w:r>
      <w:r>
        <w:rPr>
          <w:rFonts w:hint="eastAsia"/>
          <w:sz w:val="21"/>
          <w:szCs w:val="21"/>
          <w:lang w:val="en-US" w:eastAsia="zh-CN"/>
        </w:rPr>
        <w:t>5</w:t>
      </w:r>
      <w:r>
        <w:rPr>
          <w:rFonts w:hint="eastAsia"/>
          <w:sz w:val="21"/>
          <w:szCs w:val="21"/>
        </w:rPr>
        <w:t>）法律法规规定、中国证监会和基金合同认定的其它情形。</w:t>
      </w:r>
    </w:p>
    <w:p w14:paraId="0607AFC0">
      <w:pPr>
        <w:pStyle w:val="8"/>
        <w:spacing w:before="0" w:beforeAutospacing="0" w:after="0" w:afterAutospacing="0" w:line="360" w:lineRule="auto"/>
        <w:ind w:firstLine="420"/>
        <w:rPr>
          <w:sz w:val="21"/>
          <w:szCs w:val="21"/>
        </w:rPr>
      </w:pPr>
      <w:r>
        <w:rPr>
          <w:rFonts w:hint="eastAsia"/>
          <w:sz w:val="21"/>
          <w:szCs w:val="21"/>
        </w:rPr>
        <w:t>6、基金净值的确认</w:t>
      </w:r>
    </w:p>
    <w:p w14:paraId="602EB32C">
      <w:pPr>
        <w:pStyle w:val="8"/>
        <w:spacing w:before="0" w:beforeAutospacing="0" w:after="0" w:afterAutospacing="0" w:line="360" w:lineRule="auto"/>
        <w:ind w:firstLine="420"/>
        <w:rPr>
          <w:sz w:val="21"/>
          <w:szCs w:val="21"/>
        </w:rPr>
      </w:pPr>
      <w:r>
        <w:rPr>
          <w:rFonts w:hint="eastAsia"/>
          <w:sz w:val="21"/>
          <w:szCs w:val="21"/>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14:paraId="172605CB">
      <w:pPr>
        <w:pStyle w:val="8"/>
        <w:spacing w:before="0" w:beforeAutospacing="0" w:after="0" w:afterAutospacing="0" w:line="360" w:lineRule="auto"/>
        <w:ind w:firstLine="420"/>
        <w:rPr>
          <w:sz w:val="21"/>
          <w:szCs w:val="21"/>
        </w:rPr>
      </w:pPr>
      <w:r>
        <w:rPr>
          <w:rFonts w:hint="eastAsia"/>
          <w:sz w:val="21"/>
          <w:szCs w:val="21"/>
        </w:rPr>
        <w:t>7、特殊情形的处理 </w:t>
      </w:r>
    </w:p>
    <w:p w14:paraId="2205FE8C">
      <w:pPr>
        <w:pStyle w:val="8"/>
        <w:spacing w:before="0" w:beforeAutospacing="0" w:after="0" w:afterAutospacing="0" w:line="360" w:lineRule="auto"/>
        <w:ind w:firstLine="420"/>
        <w:rPr>
          <w:sz w:val="21"/>
          <w:szCs w:val="21"/>
        </w:rPr>
      </w:pPr>
      <w:r>
        <w:rPr>
          <w:rFonts w:hint="eastAsia"/>
          <w:sz w:val="21"/>
          <w:szCs w:val="21"/>
        </w:rPr>
        <w:t>（1）基金管理人或基金托管人按估值方法的第（1</w:t>
      </w:r>
      <w:r>
        <w:rPr>
          <w:rFonts w:hint="eastAsia"/>
          <w:sz w:val="21"/>
          <w:szCs w:val="21"/>
          <w:lang w:val="en-US" w:eastAsia="zh-CN"/>
        </w:rPr>
        <w:t>4</w:t>
      </w:r>
      <w:r>
        <w:rPr>
          <w:rFonts w:hint="eastAsia"/>
          <w:sz w:val="21"/>
          <w:szCs w:val="21"/>
        </w:rPr>
        <w:t>）项进行估值时，所造成的误差不作为基金资产估值错误处理。</w:t>
      </w:r>
    </w:p>
    <w:p w14:paraId="21660CF9">
      <w:pPr>
        <w:pStyle w:val="8"/>
        <w:spacing w:before="0" w:beforeAutospacing="0" w:after="0" w:afterAutospacing="0" w:line="360" w:lineRule="auto"/>
        <w:ind w:firstLine="420"/>
        <w:rPr>
          <w:sz w:val="21"/>
          <w:szCs w:val="21"/>
        </w:rPr>
      </w:pPr>
      <w:r>
        <w:rPr>
          <w:rFonts w:hint="eastAsia"/>
          <w:sz w:val="21"/>
          <w:szCs w:val="21"/>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217C30BB">
      <w:pPr>
        <w:pStyle w:val="8"/>
        <w:spacing w:before="0" w:beforeAutospacing="0" w:after="0" w:afterAutospacing="0" w:line="360" w:lineRule="auto"/>
        <w:ind w:firstLine="420"/>
        <w:rPr>
          <w:sz w:val="21"/>
          <w:szCs w:val="21"/>
        </w:rPr>
      </w:pPr>
      <w:r>
        <w:rPr>
          <w:rFonts w:hint="eastAsia"/>
          <w:sz w:val="21"/>
          <w:szCs w:val="21"/>
        </w:rPr>
        <w:t>（三）基金账册的建立</w:t>
      </w:r>
    </w:p>
    <w:p w14:paraId="68F5075F">
      <w:pPr>
        <w:pStyle w:val="8"/>
        <w:spacing w:before="0" w:beforeAutospacing="0" w:after="0" w:afterAutospacing="0" w:line="360" w:lineRule="auto"/>
        <w:ind w:firstLine="420"/>
        <w:rPr>
          <w:sz w:val="21"/>
          <w:szCs w:val="21"/>
        </w:rPr>
      </w:pPr>
      <w:r>
        <w:rPr>
          <w:rFonts w:hint="eastAsia"/>
          <w:sz w:val="21"/>
          <w:szCs w:val="21"/>
        </w:rPr>
        <w:t>基金管理人和基金托管人在《基金合同》生效后，应按照双方约定的同一记账方法和会计处理原则，分别独立地设置、记录和保管本基金的全套账册，对双方各自的账册定期进行核对，互相监督，以保证基金资产的安全。若双方对会计处理方法存在分歧，应以基金管理人的处理方法为准。</w:t>
      </w:r>
    </w:p>
    <w:p w14:paraId="1B570AF8">
      <w:pPr>
        <w:pStyle w:val="8"/>
        <w:spacing w:before="0" w:beforeAutospacing="0" w:after="0" w:afterAutospacing="0" w:line="360" w:lineRule="auto"/>
        <w:ind w:firstLine="420"/>
        <w:rPr>
          <w:sz w:val="21"/>
          <w:szCs w:val="21"/>
        </w:rPr>
      </w:pPr>
      <w:r>
        <w:rPr>
          <w:rFonts w:hint="eastAsia"/>
          <w:sz w:val="21"/>
          <w:szCs w:val="21"/>
        </w:rPr>
        <w:t>经对账发现双方的账目存在不符的，基金管理人和基金托管人必须及时查明原因并纠正，保证双方平行登录的账册记录完全相符。若当日核对不符，暂时无法查找到错账的原因而影响到基金净值信息的计算和公告的，以基金管理人的账册为准。</w:t>
      </w:r>
    </w:p>
    <w:p w14:paraId="6C231D80">
      <w:pPr>
        <w:pStyle w:val="8"/>
        <w:spacing w:before="0" w:beforeAutospacing="0" w:after="0" w:afterAutospacing="0" w:line="360" w:lineRule="auto"/>
        <w:ind w:firstLine="420"/>
        <w:rPr>
          <w:sz w:val="21"/>
          <w:szCs w:val="21"/>
        </w:rPr>
      </w:pPr>
      <w:r>
        <w:rPr>
          <w:rFonts w:hint="eastAsia"/>
          <w:sz w:val="21"/>
          <w:szCs w:val="21"/>
        </w:rPr>
        <w:t>（四）基金定期报告的编制和复核</w:t>
      </w:r>
    </w:p>
    <w:p w14:paraId="65C8406B">
      <w:pPr>
        <w:pStyle w:val="8"/>
        <w:spacing w:before="0" w:beforeAutospacing="0" w:after="0" w:afterAutospacing="0" w:line="360" w:lineRule="auto"/>
        <w:ind w:firstLine="420"/>
        <w:rPr>
          <w:sz w:val="21"/>
          <w:szCs w:val="21"/>
        </w:rPr>
      </w:pPr>
      <w:r>
        <w:rPr>
          <w:rFonts w:hint="eastAsia"/>
          <w:sz w:val="21"/>
          <w:szCs w:val="21"/>
        </w:rPr>
        <w:t>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中的财务会计报告应当经过符合《中华人民共和国证券法》规定的会计师事务所审计。基金合同生效不足两个月的，基金管理人可以不编制当期季度报告、中期报告或者年度报告。</w:t>
      </w:r>
    </w:p>
    <w:p w14:paraId="27FED167">
      <w:pPr>
        <w:pStyle w:val="8"/>
        <w:spacing w:before="0" w:beforeAutospacing="0" w:after="0" w:afterAutospacing="0" w:line="360" w:lineRule="auto"/>
        <w:ind w:firstLine="420"/>
        <w:rPr>
          <w:sz w:val="21"/>
          <w:szCs w:val="21"/>
        </w:rPr>
      </w:pPr>
      <w:r>
        <w:rPr>
          <w:rFonts w:hint="eastAsia"/>
          <w:sz w:val="21"/>
          <w:szCs w:val="21"/>
        </w:rPr>
        <w:t>基金托管人在复核过程中，发现双方的报表存在不符时，基金管理人和基金托管人应共同查明原因，进行调整，调整以双方认可的账务处理方式为准。核对无误后，基金托管人在基金管理人提供的报告上加盖业务印鉴或者出具加盖托管业务部门公章的复核意见书，双方各自留存一份。</w:t>
      </w:r>
    </w:p>
    <w:p w14:paraId="20DFA3AA">
      <w:pPr>
        <w:pStyle w:val="8"/>
        <w:spacing w:before="0" w:beforeAutospacing="0" w:after="0" w:afterAutospacing="0" w:line="360" w:lineRule="auto"/>
        <w:ind w:firstLine="420"/>
        <w:rPr>
          <w:sz w:val="21"/>
          <w:szCs w:val="21"/>
        </w:rPr>
      </w:pPr>
      <w:r>
        <w:rPr>
          <w:rFonts w:hint="eastAsia"/>
          <w:sz w:val="21"/>
          <w:szCs w:val="21"/>
        </w:rPr>
        <w:t>基金托管人在对财务会计报告、中期报告或年度报告复核完毕后，需盖章确认或出具相应的复核确认书或进行电子确认，以备有权机构对相关文件审核时提示。</w:t>
      </w:r>
    </w:p>
    <w:p w14:paraId="246ADD1F">
      <w:pPr>
        <w:pStyle w:val="8"/>
        <w:spacing w:before="0" w:beforeAutospacing="0" w:after="0" w:afterAutospacing="0" w:line="360" w:lineRule="auto"/>
        <w:ind w:firstLine="420"/>
        <w:rPr>
          <w:sz w:val="21"/>
          <w:szCs w:val="21"/>
        </w:rPr>
      </w:pPr>
      <w:r>
        <w:rPr>
          <w:rFonts w:hint="eastAsia"/>
          <w:sz w:val="21"/>
          <w:szCs w:val="21"/>
        </w:rPr>
        <w:t>（五）实施侧袋机制期间的基金资产估值</w:t>
      </w:r>
    </w:p>
    <w:p w14:paraId="31AFC831">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本基金实施侧袋机制的，应根据本部分的约定对主袋账户资产进行估值并披露主袋账户的基金净值信息，暂停披露侧袋账户基金净值信息。</w:t>
      </w:r>
    </w:p>
    <w:p w14:paraId="25170E70">
      <w:pPr>
        <w:pStyle w:val="8"/>
        <w:spacing w:before="0" w:beforeAutospacing="0" w:after="0" w:afterAutospacing="0" w:line="360" w:lineRule="auto"/>
        <w:ind w:firstLine="420"/>
        <w:rPr>
          <w:sz w:val="21"/>
          <w:szCs w:val="21"/>
        </w:rPr>
      </w:pPr>
      <w:r>
        <w:rPr>
          <w:rStyle w:val="12"/>
          <w:rFonts w:hint="eastAsia"/>
          <w:sz w:val="21"/>
          <w:szCs w:val="21"/>
        </w:rPr>
        <w:t>六、基金份额持有人名册的保管</w:t>
      </w:r>
    </w:p>
    <w:p w14:paraId="62E1E9C0">
      <w:pPr>
        <w:pStyle w:val="8"/>
        <w:spacing w:before="0" w:beforeAutospacing="0" w:after="0" w:afterAutospacing="0" w:line="360" w:lineRule="auto"/>
        <w:ind w:firstLine="420"/>
        <w:rPr>
          <w:sz w:val="21"/>
          <w:szCs w:val="21"/>
        </w:rPr>
      </w:pPr>
      <w:r>
        <w:rPr>
          <w:rFonts w:hint="eastAsia"/>
          <w:sz w:val="21"/>
          <w:szCs w:val="21"/>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14:paraId="2996C7ED">
      <w:pPr>
        <w:pStyle w:val="8"/>
        <w:spacing w:before="0" w:beforeAutospacing="0" w:after="0" w:afterAutospacing="0" w:line="360" w:lineRule="auto"/>
        <w:ind w:firstLine="420"/>
        <w:rPr>
          <w:sz w:val="21"/>
          <w:szCs w:val="21"/>
        </w:rPr>
      </w:pPr>
      <w:r>
        <w:rPr>
          <w:rFonts w:hint="eastAsia"/>
          <w:sz w:val="21"/>
          <w:szCs w:val="21"/>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14:paraId="56E26AE0">
      <w:pPr>
        <w:pStyle w:val="8"/>
        <w:spacing w:before="0" w:beforeAutospacing="0" w:after="0" w:afterAutospacing="0" w:line="360" w:lineRule="auto"/>
        <w:ind w:firstLine="420"/>
        <w:rPr>
          <w:sz w:val="21"/>
          <w:szCs w:val="21"/>
        </w:rPr>
      </w:pPr>
      <w:r>
        <w:rPr>
          <w:rFonts w:hint="eastAsia"/>
          <w:sz w:val="21"/>
          <w:szCs w:val="21"/>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14:paraId="77505436">
      <w:pPr>
        <w:pStyle w:val="8"/>
        <w:spacing w:before="0" w:beforeAutospacing="0" w:after="0" w:afterAutospacing="0" w:line="360" w:lineRule="auto"/>
        <w:ind w:firstLine="420"/>
        <w:rPr>
          <w:sz w:val="21"/>
          <w:szCs w:val="21"/>
        </w:rPr>
      </w:pPr>
      <w:r>
        <w:rPr>
          <w:rFonts w:hint="eastAsia"/>
          <w:sz w:val="21"/>
          <w:szCs w:val="21"/>
        </w:rPr>
        <w:t>基金托管人以电子版形式妥善保管基金份额持有人名册，并定期刻成光盘备份，保存期限不低于法律法规规定的最低期限。基金托管人不得将所保管的基金份额持有人名册用于基金托管业务以外的其他用途，并应遵守保密义务。</w:t>
      </w:r>
    </w:p>
    <w:p w14:paraId="29721B37">
      <w:pPr>
        <w:pStyle w:val="8"/>
        <w:spacing w:before="0" w:beforeAutospacing="0" w:after="0" w:afterAutospacing="0" w:line="360" w:lineRule="auto"/>
        <w:ind w:firstLine="420"/>
        <w:rPr>
          <w:sz w:val="21"/>
          <w:szCs w:val="21"/>
        </w:rPr>
      </w:pPr>
      <w:r>
        <w:rPr>
          <w:rFonts w:hint="eastAsia"/>
          <w:sz w:val="21"/>
          <w:szCs w:val="21"/>
        </w:rPr>
        <w:t>若基金管理人或基金托管人由于自身原因无法妥善保管基金份额持有人名册，应按有关法规规定各自承担相应的责任。</w:t>
      </w:r>
    </w:p>
    <w:p w14:paraId="43C1DB8C">
      <w:pPr>
        <w:pStyle w:val="8"/>
        <w:spacing w:before="0" w:beforeAutospacing="0" w:after="0" w:afterAutospacing="0" w:line="360" w:lineRule="auto"/>
        <w:ind w:firstLine="420"/>
        <w:rPr>
          <w:sz w:val="21"/>
          <w:szCs w:val="21"/>
        </w:rPr>
      </w:pPr>
      <w:r>
        <w:rPr>
          <w:rStyle w:val="12"/>
          <w:rFonts w:hint="eastAsia"/>
          <w:sz w:val="21"/>
          <w:szCs w:val="21"/>
        </w:rPr>
        <w:t>七、争议解决方式</w:t>
      </w:r>
    </w:p>
    <w:p w14:paraId="1483677C">
      <w:pPr>
        <w:pStyle w:val="8"/>
        <w:spacing w:before="0" w:beforeAutospacing="0" w:after="0" w:afterAutospacing="0" w:line="360" w:lineRule="auto"/>
        <w:ind w:firstLine="420"/>
        <w:rPr>
          <w:b w:val="0"/>
          <w:bCs w:val="0"/>
          <w:sz w:val="21"/>
          <w:szCs w:val="21"/>
        </w:rPr>
      </w:pPr>
      <w:r>
        <w:rPr>
          <w:rStyle w:val="12"/>
          <w:rFonts w:hint="eastAsia"/>
          <w:b w:val="0"/>
          <w:bCs w:val="0"/>
          <w:sz w:val="21"/>
          <w:szCs w:val="21"/>
        </w:rPr>
        <w:t>双方当事人同意，因本协议而产生的或与本协议有关的一切争议如不愿或者不能通过协商、调解解决的，应将争议提交深圳国际仲裁院（深圳仲裁委员会），根据该会当时有效的仲裁规则进行仲裁，仲裁的地点在深圳市，仲裁裁决是终局的，并对相关各方当事人均有约束力。除非仲裁裁决另有规定，仲裁费用、律师费用由败诉方承担。</w:t>
      </w:r>
    </w:p>
    <w:p w14:paraId="4B1E2A88">
      <w:pPr>
        <w:pStyle w:val="8"/>
        <w:spacing w:before="0" w:beforeAutospacing="0" w:after="0" w:afterAutospacing="0" w:line="360" w:lineRule="auto"/>
        <w:ind w:firstLine="420"/>
        <w:rPr>
          <w:b w:val="0"/>
          <w:bCs w:val="0"/>
          <w:sz w:val="21"/>
          <w:szCs w:val="21"/>
        </w:rPr>
      </w:pPr>
      <w:r>
        <w:rPr>
          <w:rStyle w:val="12"/>
          <w:rFonts w:hint="eastAsia"/>
          <w:b w:val="0"/>
          <w:bCs w:val="0"/>
          <w:sz w:val="21"/>
          <w:szCs w:val="21"/>
        </w:rPr>
        <w:t>争议处理期间，双方当事人应恪守基金管理人和基金托管人职责，各自继续忠实、勤勉、尽责地履行基金合同和托管协议规定的义务，维护基金份额持有人的合法权益。</w:t>
      </w:r>
    </w:p>
    <w:p w14:paraId="5C138830">
      <w:pPr>
        <w:pStyle w:val="8"/>
        <w:spacing w:before="0" w:beforeAutospacing="0" w:after="0" w:afterAutospacing="0" w:line="360" w:lineRule="auto"/>
        <w:ind w:firstLine="420"/>
        <w:rPr>
          <w:b w:val="0"/>
          <w:bCs w:val="0"/>
          <w:sz w:val="21"/>
          <w:szCs w:val="21"/>
        </w:rPr>
      </w:pPr>
      <w:r>
        <w:rPr>
          <w:rStyle w:val="12"/>
          <w:rFonts w:hint="eastAsia"/>
          <w:b w:val="0"/>
          <w:bCs w:val="0"/>
          <w:sz w:val="21"/>
          <w:szCs w:val="21"/>
        </w:rPr>
        <w:t>本协议受中国法律（为本托管协议之目的，在此不包括香港、澳门特别行政区和台湾地区法律）管辖并从其解释。</w:t>
      </w:r>
    </w:p>
    <w:p w14:paraId="1CCDE20F">
      <w:pPr>
        <w:pStyle w:val="8"/>
        <w:spacing w:before="0" w:beforeAutospacing="0" w:after="0" w:afterAutospacing="0" w:line="360" w:lineRule="auto"/>
        <w:ind w:firstLine="420"/>
        <w:rPr>
          <w:sz w:val="21"/>
          <w:szCs w:val="21"/>
        </w:rPr>
      </w:pPr>
      <w:r>
        <w:rPr>
          <w:rStyle w:val="12"/>
          <w:rFonts w:hint="eastAsia"/>
          <w:sz w:val="21"/>
          <w:szCs w:val="21"/>
        </w:rPr>
        <w:t>八、托管协议的变更、终止与基金财产的清算</w:t>
      </w:r>
    </w:p>
    <w:p w14:paraId="191CEFB6">
      <w:pPr>
        <w:pStyle w:val="8"/>
        <w:spacing w:before="0" w:beforeAutospacing="0" w:after="0" w:afterAutospacing="0" w:line="360" w:lineRule="auto"/>
        <w:ind w:firstLine="420"/>
        <w:rPr>
          <w:sz w:val="21"/>
          <w:szCs w:val="21"/>
        </w:rPr>
      </w:pPr>
      <w:r>
        <w:rPr>
          <w:rFonts w:hint="eastAsia"/>
          <w:sz w:val="21"/>
          <w:szCs w:val="21"/>
        </w:rPr>
        <w:t>（一）托管协议的变更与终止</w:t>
      </w:r>
    </w:p>
    <w:p w14:paraId="37A2BBA2">
      <w:pPr>
        <w:pStyle w:val="8"/>
        <w:spacing w:before="0" w:beforeAutospacing="0" w:after="0" w:afterAutospacing="0" w:line="360" w:lineRule="auto"/>
        <w:ind w:firstLine="420"/>
        <w:rPr>
          <w:sz w:val="21"/>
          <w:szCs w:val="21"/>
        </w:rPr>
      </w:pPr>
      <w:r>
        <w:rPr>
          <w:rFonts w:hint="eastAsia"/>
          <w:sz w:val="21"/>
          <w:szCs w:val="21"/>
        </w:rPr>
        <w:t>1、托管协议的变更程序</w:t>
      </w:r>
    </w:p>
    <w:p w14:paraId="178BBC06">
      <w:pPr>
        <w:pStyle w:val="8"/>
        <w:spacing w:before="0" w:beforeAutospacing="0" w:after="0" w:afterAutospacing="0" w:line="360" w:lineRule="auto"/>
        <w:ind w:firstLine="420"/>
        <w:rPr>
          <w:sz w:val="21"/>
          <w:szCs w:val="21"/>
        </w:rPr>
      </w:pPr>
      <w:r>
        <w:rPr>
          <w:rFonts w:hint="eastAsia"/>
          <w:sz w:val="21"/>
          <w:szCs w:val="21"/>
        </w:rPr>
        <w:t>本协议双方当事人经协商一致，可以对协议的内容进行变更。变更后的托管协议，其内容不得与《基金合同》的规定有任何冲突。</w:t>
      </w:r>
    </w:p>
    <w:p w14:paraId="278442C9">
      <w:pPr>
        <w:pStyle w:val="8"/>
        <w:spacing w:before="0" w:beforeAutospacing="0" w:after="0" w:afterAutospacing="0" w:line="360" w:lineRule="auto"/>
        <w:ind w:firstLine="420"/>
        <w:rPr>
          <w:sz w:val="21"/>
          <w:szCs w:val="21"/>
        </w:rPr>
      </w:pPr>
      <w:r>
        <w:rPr>
          <w:rFonts w:hint="eastAsia"/>
          <w:sz w:val="21"/>
          <w:szCs w:val="21"/>
        </w:rPr>
        <w:t>2、基金托管协议终止的情形</w:t>
      </w:r>
    </w:p>
    <w:p w14:paraId="2311FADA">
      <w:pPr>
        <w:pStyle w:val="8"/>
        <w:spacing w:before="0" w:beforeAutospacing="0" w:after="0" w:afterAutospacing="0" w:line="360" w:lineRule="auto"/>
        <w:ind w:firstLine="420"/>
        <w:rPr>
          <w:sz w:val="21"/>
          <w:szCs w:val="21"/>
        </w:rPr>
      </w:pPr>
      <w:r>
        <w:rPr>
          <w:rFonts w:hint="eastAsia"/>
          <w:sz w:val="21"/>
          <w:szCs w:val="21"/>
        </w:rPr>
        <w:t>发生以下情况，本托管协议在履行适当程序后终止：</w:t>
      </w:r>
    </w:p>
    <w:p w14:paraId="62A9F522">
      <w:pPr>
        <w:pStyle w:val="8"/>
        <w:spacing w:before="0" w:beforeAutospacing="0" w:after="0" w:afterAutospacing="0" w:line="360" w:lineRule="auto"/>
        <w:ind w:firstLine="420"/>
        <w:rPr>
          <w:sz w:val="21"/>
          <w:szCs w:val="21"/>
        </w:rPr>
      </w:pPr>
      <w:r>
        <w:rPr>
          <w:rFonts w:hint="eastAsia"/>
          <w:sz w:val="21"/>
          <w:szCs w:val="21"/>
        </w:rPr>
        <w:t>（1）《基金合同》终止；</w:t>
      </w:r>
    </w:p>
    <w:p w14:paraId="1AB4927C">
      <w:pPr>
        <w:pStyle w:val="8"/>
        <w:spacing w:before="0" w:beforeAutospacing="0" w:after="0" w:afterAutospacing="0" w:line="360" w:lineRule="auto"/>
        <w:ind w:firstLine="420"/>
        <w:rPr>
          <w:sz w:val="21"/>
          <w:szCs w:val="21"/>
        </w:rPr>
      </w:pPr>
      <w:r>
        <w:rPr>
          <w:rFonts w:hint="eastAsia"/>
          <w:sz w:val="21"/>
          <w:szCs w:val="21"/>
        </w:rPr>
        <w:t>（2）发生法律法规或《基金合同》规定的终止事项。</w:t>
      </w:r>
    </w:p>
    <w:p w14:paraId="4886401C">
      <w:pPr>
        <w:pStyle w:val="8"/>
        <w:spacing w:before="0" w:beforeAutospacing="0" w:after="0" w:afterAutospacing="0" w:line="360" w:lineRule="auto"/>
        <w:ind w:firstLine="420"/>
        <w:rPr>
          <w:sz w:val="21"/>
          <w:szCs w:val="21"/>
        </w:rPr>
      </w:pPr>
      <w:r>
        <w:rPr>
          <w:rFonts w:hint="eastAsia"/>
          <w:sz w:val="21"/>
          <w:szCs w:val="21"/>
        </w:rPr>
        <w:t>（二）基金财产的清算</w:t>
      </w:r>
    </w:p>
    <w:p w14:paraId="6B0491C7">
      <w:pPr>
        <w:pStyle w:val="8"/>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3109B33E">
      <w:pPr>
        <w:pStyle w:val="8"/>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3E399CC0">
      <w:pPr>
        <w:pStyle w:val="8"/>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73A97640">
      <w:pPr>
        <w:pStyle w:val="8"/>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67B8FAFB">
      <w:pPr>
        <w:pStyle w:val="8"/>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3DCF4883">
      <w:pPr>
        <w:pStyle w:val="8"/>
        <w:spacing w:before="0" w:beforeAutospacing="0" w:after="0" w:afterAutospacing="0" w:line="360" w:lineRule="auto"/>
        <w:ind w:firstLine="420"/>
        <w:rPr>
          <w:sz w:val="21"/>
          <w:szCs w:val="21"/>
        </w:rPr>
      </w:pPr>
      <w:r>
        <w:rPr>
          <w:rFonts w:hint="eastAsia"/>
          <w:sz w:val="21"/>
          <w:szCs w:val="21"/>
        </w:rPr>
        <w:t>6、基金财产清算程序：</w:t>
      </w:r>
    </w:p>
    <w:p w14:paraId="51ED00DE">
      <w:pPr>
        <w:pStyle w:val="8"/>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01546A87">
      <w:pPr>
        <w:pStyle w:val="8"/>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26465EC1">
      <w:pPr>
        <w:pStyle w:val="8"/>
        <w:spacing w:before="0" w:beforeAutospacing="0" w:after="0" w:afterAutospacing="0" w:line="360" w:lineRule="auto"/>
        <w:ind w:firstLine="420"/>
        <w:rPr>
          <w:sz w:val="21"/>
          <w:szCs w:val="21"/>
        </w:rPr>
      </w:pPr>
      <w:r>
        <w:rPr>
          <w:rFonts w:hint="eastAsia"/>
          <w:sz w:val="21"/>
          <w:szCs w:val="21"/>
        </w:rPr>
        <w:t>（3）对基金财产进行估值和变现；</w:t>
      </w:r>
    </w:p>
    <w:p w14:paraId="2C516739">
      <w:pPr>
        <w:pStyle w:val="8"/>
        <w:spacing w:before="0" w:beforeAutospacing="0" w:after="0" w:afterAutospacing="0" w:line="360" w:lineRule="auto"/>
        <w:ind w:firstLine="420"/>
        <w:rPr>
          <w:sz w:val="21"/>
          <w:szCs w:val="21"/>
        </w:rPr>
      </w:pPr>
      <w:r>
        <w:rPr>
          <w:rFonts w:hint="eastAsia"/>
          <w:sz w:val="21"/>
          <w:szCs w:val="21"/>
        </w:rPr>
        <w:t>（4）制作清算报告；</w:t>
      </w:r>
    </w:p>
    <w:p w14:paraId="195EE3A0">
      <w:pPr>
        <w:pStyle w:val="8"/>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2FE4C9CD">
      <w:pPr>
        <w:pStyle w:val="8"/>
        <w:spacing w:before="0" w:beforeAutospacing="0" w:after="0" w:afterAutospacing="0" w:line="360" w:lineRule="auto"/>
        <w:ind w:firstLine="420"/>
        <w:rPr>
          <w:sz w:val="21"/>
          <w:szCs w:val="21"/>
        </w:rPr>
      </w:pPr>
      <w:r>
        <w:rPr>
          <w:rFonts w:hint="eastAsia"/>
          <w:sz w:val="21"/>
          <w:szCs w:val="21"/>
        </w:rPr>
        <w:t>（6）将清算报告报中国证监会备案并公告；</w:t>
      </w:r>
    </w:p>
    <w:p w14:paraId="26ACEEFC">
      <w:pPr>
        <w:pStyle w:val="8"/>
        <w:spacing w:before="0" w:beforeAutospacing="0" w:after="0" w:afterAutospacing="0" w:line="360" w:lineRule="auto"/>
        <w:ind w:firstLine="420"/>
        <w:rPr>
          <w:sz w:val="21"/>
          <w:szCs w:val="21"/>
        </w:rPr>
      </w:pPr>
      <w:r>
        <w:rPr>
          <w:rFonts w:hint="eastAsia"/>
          <w:sz w:val="21"/>
          <w:szCs w:val="21"/>
        </w:rPr>
        <w:t>（7）对基金剩余财产进行分配。</w:t>
      </w:r>
    </w:p>
    <w:p w14:paraId="00C30269">
      <w:pPr>
        <w:pStyle w:val="8"/>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14:paraId="70A8F42A">
      <w:pPr>
        <w:pStyle w:val="8"/>
        <w:spacing w:before="0" w:beforeAutospacing="0" w:after="0" w:afterAutospacing="0" w:line="360" w:lineRule="auto"/>
        <w:ind w:firstLine="420"/>
        <w:rPr>
          <w:sz w:val="21"/>
          <w:szCs w:val="21"/>
        </w:rPr>
      </w:pPr>
      <w:r>
        <w:rPr>
          <w:rFonts w:hint="eastAsia"/>
          <w:sz w:val="21"/>
          <w:szCs w:val="21"/>
        </w:rPr>
        <w:t>（三）基金财产清算的公告</w:t>
      </w:r>
    </w:p>
    <w:p w14:paraId="1FC63F86">
      <w:pPr>
        <w:pStyle w:val="8"/>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45D264B1">
      <w:pPr>
        <w:pStyle w:val="8"/>
        <w:spacing w:before="0" w:beforeAutospacing="0" w:after="0" w:afterAutospacing="0" w:line="360" w:lineRule="auto"/>
        <w:ind w:firstLine="420"/>
        <w:rPr>
          <w:sz w:val="21"/>
          <w:szCs w:val="21"/>
        </w:rPr>
      </w:pPr>
      <w:r>
        <w:rPr>
          <w:rFonts w:hint="eastAsia"/>
          <w:sz w:val="21"/>
          <w:szCs w:val="21"/>
        </w:rPr>
        <w:t>（四）基金财产清算账册及文件的保存</w:t>
      </w:r>
    </w:p>
    <w:p w14:paraId="6D6501E1">
      <w:pPr>
        <w:pStyle w:val="8"/>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w:t>
      </w:r>
      <w:bookmarkStart w:id="156" w:name="chapter_level1_23_72_section_1_end"/>
      <w:bookmarkEnd w:id="156"/>
      <w:r>
        <w:rPr>
          <w:rFonts w:hint="eastAsia"/>
          <w:sz w:val="21"/>
          <w:szCs w:val="21"/>
        </w:rPr>
        <w:t>期限。</w:t>
      </w:r>
    </w:p>
    <w:p w14:paraId="413D45A3">
      <w:pPr>
        <w:widowControl/>
        <w:jc w:val="left"/>
        <w:rPr>
          <w:rFonts w:ascii="宋体" w:hAnsi="宋体" w:eastAsia="宋体"/>
        </w:rPr>
      </w:pPr>
      <w:r>
        <w:rPr>
          <w:rFonts w:ascii="宋体" w:hAnsi="宋体" w:eastAsia="宋体"/>
        </w:rPr>
        <w:br w:type="page"/>
      </w:r>
    </w:p>
    <w:p w14:paraId="6C87EF2A">
      <w:pPr>
        <w:pStyle w:val="2"/>
        <w:jc w:val="center"/>
        <w:rPr>
          <w:rFonts w:ascii="宋体" w:hAnsi="宋体" w:eastAsia="宋体"/>
          <w:sz w:val="30"/>
        </w:rPr>
      </w:pPr>
      <w:bookmarkStart w:id="157" w:name="chapter_level1_24_75"/>
      <w:bookmarkStart w:id="158" w:name="_Toc207939917"/>
      <w:r>
        <w:rPr>
          <w:rFonts w:hint="eastAsia" w:ascii="宋体" w:hAnsi="宋体" w:eastAsia="宋体"/>
          <w:sz w:val="30"/>
        </w:rPr>
        <w:t>第二十</w:t>
      </w:r>
      <w:r>
        <w:rPr>
          <w:rFonts w:hint="eastAsia" w:ascii="宋体" w:hAnsi="宋体" w:eastAsia="宋体"/>
          <w:sz w:val="30"/>
          <w:lang w:val="en-US" w:eastAsia="zh-CN"/>
        </w:rPr>
        <w:t>二</w:t>
      </w:r>
      <w:r>
        <w:rPr>
          <w:rFonts w:hint="eastAsia" w:ascii="宋体" w:hAnsi="宋体" w:eastAsia="宋体"/>
          <w:sz w:val="30"/>
        </w:rPr>
        <w:t>部分  对基金份额持有人的服务</w:t>
      </w:r>
      <w:bookmarkEnd w:id="157"/>
      <w:bookmarkEnd w:id="158"/>
    </w:p>
    <w:p w14:paraId="24CADA3C">
      <w:pPr>
        <w:pStyle w:val="8"/>
        <w:spacing w:before="0" w:beforeAutospacing="0" w:after="0" w:afterAutospacing="0" w:line="360" w:lineRule="auto"/>
        <w:ind w:firstLine="420"/>
        <w:rPr>
          <w:sz w:val="21"/>
          <w:szCs w:val="21"/>
        </w:rPr>
      </w:pPr>
      <w:bookmarkStart w:id="159" w:name="chapter_level1_24_75_section_1"/>
      <w:bookmarkEnd w:id="159"/>
      <w:r>
        <w:rPr>
          <w:rFonts w:hint="eastAsia"/>
          <w:sz w:val="21"/>
          <w:szCs w:val="21"/>
        </w:rPr>
        <w:t>对本基金份额持有人的服务主要由基金管理人、基金销售机构提供。基金管理人承诺为基金份额持有人提供一系列的服务，根据基金份额持有人的需要和市场的变化，有权增加或变更服务项目，主要服务内容如下：</w:t>
      </w:r>
    </w:p>
    <w:p w14:paraId="4337F92F">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278DFD61">
      <w:pPr>
        <w:pStyle w:val="8"/>
        <w:spacing w:before="0" w:beforeAutospacing="0" w:after="0" w:afterAutospacing="0" w:line="360" w:lineRule="auto"/>
        <w:ind w:firstLine="420"/>
        <w:rPr>
          <w:sz w:val="21"/>
          <w:szCs w:val="21"/>
        </w:rPr>
      </w:pPr>
      <w:r>
        <w:rPr>
          <w:rFonts w:hint="eastAsia"/>
          <w:sz w:val="21"/>
          <w:szCs w:val="21"/>
        </w:rPr>
        <w:t>1、交易确认单</w:t>
      </w:r>
    </w:p>
    <w:p w14:paraId="27141848">
      <w:pPr>
        <w:pStyle w:val="8"/>
        <w:spacing w:before="0" w:beforeAutospacing="0" w:after="0" w:afterAutospacing="0" w:line="360" w:lineRule="auto"/>
        <w:ind w:firstLine="420"/>
        <w:rPr>
          <w:sz w:val="21"/>
          <w:szCs w:val="21"/>
        </w:rPr>
      </w:pPr>
      <w:r>
        <w:rPr>
          <w:rFonts w:hint="eastAsia"/>
          <w:sz w:val="21"/>
          <w:szCs w:val="21"/>
        </w:rPr>
        <w:t>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w:t>
      </w:r>
    </w:p>
    <w:p w14:paraId="6C5666AF">
      <w:pPr>
        <w:pStyle w:val="8"/>
        <w:spacing w:before="0" w:beforeAutospacing="0" w:after="0" w:afterAutospacing="0" w:line="360" w:lineRule="auto"/>
        <w:ind w:firstLine="420"/>
        <w:rPr>
          <w:sz w:val="21"/>
          <w:szCs w:val="21"/>
        </w:rPr>
      </w:pPr>
      <w:r>
        <w:rPr>
          <w:rFonts w:hint="eastAsia"/>
          <w:sz w:val="21"/>
          <w:szCs w:val="21"/>
        </w:rPr>
        <w:t>2、电子对账单</w:t>
      </w:r>
    </w:p>
    <w:p w14:paraId="0B45E23B">
      <w:pPr>
        <w:pStyle w:val="8"/>
        <w:spacing w:before="0" w:beforeAutospacing="0" w:after="0" w:afterAutospacing="0" w:line="360" w:lineRule="auto"/>
        <w:ind w:firstLine="420"/>
        <w:rPr>
          <w:sz w:val="21"/>
          <w:szCs w:val="21"/>
        </w:rPr>
      </w:pPr>
      <w:r>
        <w:rPr>
          <w:rFonts w:hint="eastAsia"/>
          <w:sz w:val="21"/>
          <w:szCs w:val="21"/>
        </w:rPr>
        <w:t>每月结束后，基金管理人向所有订阅电子邮件对账单的投资者发送电子邮件对账单。</w:t>
      </w:r>
    </w:p>
    <w:p w14:paraId="19D299A2">
      <w:pPr>
        <w:pStyle w:val="8"/>
        <w:spacing w:before="0" w:beforeAutospacing="0" w:after="0" w:afterAutospacing="0" w:line="360" w:lineRule="auto"/>
        <w:ind w:firstLine="420"/>
        <w:rPr>
          <w:sz w:val="21"/>
          <w:szCs w:val="21"/>
        </w:rPr>
      </w:pPr>
      <w:r>
        <w:rPr>
          <w:rFonts w:hint="eastAsia"/>
          <w:sz w:val="21"/>
          <w:szCs w:val="21"/>
        </w:rPr>
        <w:t>投资者可以登录基金管理人网站（http</w:t>
      </w:r>
      <w:r>
        <w:rPr>
          <w:rFonts w:hint="eastAsia"/>
          <w:sz w:val="21"/>
          <w:szCs w:val="21"/>
          <w:lang w:val="en-US" w:eastAsia="zh-CN"/>
        </w:rPr>
        <w:t>s</w:t>
      </w:r>
      <w:r>
        <w:rPr>
          <w:rFonts w:hint="eastAsia"/>
          <w:sz w:val="21"/>
          <w:szCs w:val="21"/>
        </w:rPr>
        <w:t>://www.bosera.com）自助订阅；或发送“订阅电子对账单”邮件到客服邮箱service@bosera.com；也可直接拨打博时一线通95105568（免长途话费）订阅。</w:t>
      </w:r>
    </w:p>
    <w:p w14:paraId="31005623">
      <w:pPr>
        <w:pStyle w:val="8"/>
        <w:spacing w:before="0" w:beforeAutospacing="0" w:after="0" w:afterAutospacing="0" w:line="360" w:lineRule="auto"/>
        <w:ind w:firstLine="420"/>
        <w:rPr>
          <w:sz w:val="21"/>
          <w:szCs w:val="21"/>
        </w:rPr>
      </w:pPr>
      <w:r>
        <w:rPr>
          <w:rFonts w:hint="eastAsia"/>
          <w:sz w:val="21"/>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p>
    <w:p w14:paraId="42805BA0">
      <w:pPr>
        <w:pStyle w:val="8"/>
        <w:spacing w:before="0" w:beforeAutospacing="0" w:after="0" w:afterAutospacing="0" w:line="360" w:lineRule="auto"/>
        <w:ind w:firstLine="420"/>
        <w:rPr>
          <w:sz w:val="21"/>
          <w:szCs w:val="21"/>
        </w:rPr>
      </w:pPr>
      <w:r>
        <w:rPr>
          <w:rFonts w:hint="eastAsia"/>
          <w:sz w:val="21"/>
          <w:szCs w:val="21"/>
        </w:rPr>
        <w:t>二、网上理财服务</w:t>
      </w:r>
    </w:p>
    <w:p w14:paraId="06799F07">
      <w:pPr>
        <w:pStyle w:val="8"/>
        <w:spacing w:before="0" w:beforeAutospacing="0" w:after="0" w:afterAutospacing="0" w:line="360" w:lineRule="auto"/>
        <w:ind w:firstLine="420"/>
        <w:rPr>
          <w:sz w:val="21"/>
          <w:szCs w:val="21"/>
        </w:rPr>
      </w:pPr>
      <w:r>
        <w:rPr>
          <w:rFonts w:hint="eastAsia"/>
          <w:sz w:val="21"/>
          <w:szCs w:val="21"/>
        </w:rPr>
        <w:t>通过基金管理人网站，投资者可获得如下服务：</w:t>
      </w:r>
    </w:p>
    <w:p w14:paraId="50C209BC">
      <w:pPr>
        <w:pStyle w:val="8"/>
        <w:spacing w:before="0" w:beforeAutospacing="0" w:after="0" w:afterAutospacing="0" w:line="360" w:lineRule="auto"/>
        <w:ind w:firstLine="420"/>
        <w:rPr>
          <w:sz w:val="21"/>
          <w:szCs w:val="21"/>
        </w:rPr>
      </w:pPr>
      <w:r>
        <w:rPr>
          <w:rFonts w:hint="eastAsia"/>
          <w:sz w:val="21"/>
          <w:szCs w:val="21"/>
        </w:rPr>
        <w:t>1、自助开户交易</w:t>
      </w:r>
    </w:p>
    <w:p w14:paraId="2CEFAAD5">
      <w:pPr>
        <w:pStyle w:val="8"/>
        <w:spacing w:before="0" w:beforeAutospacing="0" w:after="0" w:afterAutospacing="0" w:line="360" w:lineRule="auto"/>
        <w:ind w:firstLine="420"/>
        <w:rPr>
          <w:sz w:val="21"/>
          <w:szCs w:val="21"/>
        </w:rPr>
      </w:pPr>
      <w:r>
        <w:rPr>
          <w:rFonts w:hint="eastAsia"/>
          <w:sz w:val="21"/>
          <w:szCs w:val="21"/>
        </w:rPr>
        <w:t>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w:t>
      </w:r>
    </w:p>
    <w:p w14:paraId="30A44A30">
      <w:pPr>
        <w:pStyle w:val="8"/>
        <w:spacing w:before="0" w:beforeAutospacing="0" w:after="0" w:afterAutospacing="0" w:line="360" w:lineRule="auto"/>
        <w:ind w:firstLine="420"/>
        <w:rPr>
          <w:sz w:val="21"/>
          <w:szCs w:val="21"/>
        </w:rPr>
      </w:pPr>
      <w:r>
        <w:rPr>
          <w:rFonts w:hint="eastAsia"/>
          <w:sz w:val="21"/>
          <w:szCs w:val="21"/>
        </w:rPr>
        <w:t>2、查询服务</w:t>
      </w:r>
    </w:p>
    <w:p w14:paraId="06A6A5DD">
      <w:pPr>
        <w:pStyle w:val="8"/>
        <w:spacing w:before="0" w:beforeAutospacing="0" w:after="0" w:afterAutospacing="0" w:line="360" w:lineRule="auto"/>
        <w:ind w:firstLine="420"/>
        <w:rPr>
          <w:sz w:val="21"/>
          <w:szCs w:val="21"/>
        </w:rPr>
      </w:pPr>
      <w:r>
        <w:rPr>
          <w:rFonts w:hint="eastAsia"/>
          <w:sz w:val="21"/>
          <w:szCs w:val="21"/>
        </w:rPr>
        <w:t>投资者可以通过基金管理人网站查询所持有基金的基金份额、交易记录等信息，同时可以修改基金账户信息等基本资料。</w:t>
      </w:r>
    </w:p>
    <w:p w14:paraId="3347B209">
      <w:pPr>
        <w:pStyle w:val="8"/>
        <w:spacing w:before="0" w:beforeAutospacing="0" w:after="0" w:afterAutospacing="0" w:line="360" w:lineRule="auto"/>
        <w:ind w:firstLine="420"/>
        <w:rPr>
          <w:sz w:val="21"/>
          <w:szCs w:val="21"/>
        </w:rPr>
      </w:pPr>
      <w:r>
        <w:rPr>
          <w:rFonts w:hint="eastAsia"/>
          <w:sz w:val="21"/>
          <w:szCs w:val="21"/>
        </w:rPr>
        <w:t>3、信息资讯服务</w:t>
      </w:r>
    </w:p>
    <w:p w14:paraId="01A7598F">
      <w:pPr>
        <w:pStyle w:val="8"/>
        <w:spacing w:before="0" w:beforeAutospacing="0" w:after="0" w:afterAutospacing="0" w:line="360" w:lineRule="auto"/>
        <w:ind w:firstLine="420"/>
        <w:rPr>
          <w:sz w:val="21"/>
          <w:szCs w:val="21"/>
        </w:rPr>
      </w:pPr>
      <w:r>
        <w:rPr>
          <w:rFonts w:hint="eastAsia"/>
          <w:sz w:val="21"/>
          <w:szCs w:val="21"/>
        </w:rPr>
        <w:t>投资者可以利用基金管理人网站获取基金和基金管理人各类信息，包括基金法律文件、基金管理人最新动态、热点问题等。</w:t>
      </w:r>
    </w:p>
    <w:p w14:paraId="07AA85C1">
      <w:pPr>
        <w:pStyle w:val="8"/>
        <w:spacing w:before="0" w:beforeAutospacing="0" w:after="0" w:afterAutospacing="0" w:line="360" w:lineRule="auto"/>
        <w:ind w:firstLine="420"/>
        <w:rPr>
          <w:sz w:val="21"/>
          <w:szCs w:val="21"/>
        </w:rPr>
      </w:pPr>
      <w:r>
        <w:rPr>
          <w:rFonts w:hint="eastAsia"/>
          <w:sz w:val="21"/>
          <w:szCs w:val="21"/>
        </w:rPr>
        <w:t>4、在线客服</w:t>
      </w:r>
    </w:p>
    <w:p w14:paraId="7DBAC690">
      <w:pPr>
        <w:pStyle w:val="8"/>
        <w:spacing w:before="0" w:beforeAutospacing="0" w:after="0" w:afterAutospacing="0" w:line="360" w:lineRule="auto"/>
        <w:ind w:firstLine="420"/>
        <w:rPr>
          <w:sz w:val="21"/>
          <w:szCs w:val="21"/>
        </w:rPr>
      </w:pPr>
      <w:r>
        <w:rPr>
          <w:rFonts w:hint="eastAsia"/>
          <w:sz w:val="21"/>
          <w:szCs w:val="21"/>
        </w:rPr>
        <w:t>投资者可以通过基金管理人网站首页“在线客服”功能进行在线咨询。也可以在“您问我答”栏目中，直接提出有关本基金的问题和建议。</w:t>
      </w:r>
    </w:p>
    <w:p w14:paraId="7637AB34">
      <w:pPr>
        <w:pStyle w:val="8"/>
        <w:spacing w:before="0" w:beforeAutospacing="0" w:after="0" w:afterAutospacing="0" w:line="360" w:lineRule="auto"/>
        <w:ind w:firstLine="420"/>
        <w:rPr>
          <w:sz w:val="21"/>
          <w:szCs w:val="21"/>
        </w:rPr>
      </w:pPr>
      <w:r>
        <w:rPr>
          <w:rStyle w:val="12"/>
          <w:rFonts w:hint="eastAsia"/>
          <w:sz w:val="21"/>
          <w:szCs w:val="21"/>
        </w:rPr>
        <w:t>三、短信服务</w:t>
      </w:r>
    </w:p>
    <w:p w14:paraId="070C02D3">
      <w:pPr>
        <w:pStyle w:val="8"/>
        <w:spacing w:before="0" w:beforeAutospacing="0" w:after="0" w:afterAutospacing="0" w:line="360" w:lineRule="auto"/>
        <w:ind w:firstLine="420"/>
        <w:rPr>
          <w:sz w:val="21"/>
          <w:szCs w:val="21"/>
        </w:rPr>
      </w:pPr>
      <w:r>
        <w:rPr>
          <w:rFonts w:hint="eastAsia"/>
          <w:sz w:val="21"/>
          <w:szCs w:val="21"/>
        </w:rPr>
        <w:t>基金管理人向订制短信服务的基金份额持有人提供相应短信服务。</w:t>
      </w:r>
    </w:p>
    <w:p w14:paraId="6325D228">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3C813271">
      <w:pPr>
        <w:pStyle w:val="8"/>
        <w:spacing w:before="0" w:beforeAutospacing="0" w:after="0" w:afterAutospacing="0" w:line="360" w:lineRule="auto"/>
        <w:ind w:firstLine="420"/>
        <w:rPr>
          <w:sz w:val="21"/>
          <w:szCs w:val="21"/>
        </w:rPr>
      </w:pPr>
      <w:r>
        <w:rPr>
          <w:rFonts w:hint="eastAsia"/>
          <w:sz w:val="21"/>
          <w:szCs w:val="21"/>
        </w:rPr>
        <w:t>基金管理人为投资者提供电子邮件方式的业务咨询、投诉受理、基金份额净值等服务。</w:t>
      </w:r>
    </w:p>
    <w:p w14:paraId="353A79BB">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36E09B36">
      <w:pPr>
        <w:pStyle w:val="8"/>
        <w:spacing w:before="0" w:beforeAutospacing="0" w:after="0" w:afterAutospacing="0" w:line="360" w:lineRule="auto"/>
        <w:ind w:firstLine="420"/>
        <w:rPr>
          <w:sz w:val="21"/>
          <w:szCs w:val="21"/>
        </w:rPr>
      </w:pPr>
      <w:r>
        <w:rPr>
          <w:rFonts w:hint="eastAsia"/>
          <w:sz w:val="21"/>
          <w:szCs w:val="21"/>
        </w:rPr>
        <w:t>投资者通过手机博时移动版直销网上交易系统（http://m.bosera.com）和博时App版直销网上交易系统，可以使用基金理财所需的基金交易、理财查询、账户管理、信息资讯等功能和服务。</w:t>
      </w:r>
    </w:p>
    <w:p w14:paraId="7F750965">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37F027B6">
      <w:pPr>
        <w:pStyle w:val="8"/>
        <w:spacing w:before="0" w:beforeAutospacing="0" w:after="0" w:afterAutospacing="0" w:line="360" w:lineRule="auto"/>
        <w:ind w:firstLine="420"/>
        <w:rPr>
          <w:sz w:val="21"/>
          <w:szCs w:val="21"/>
        </w:rPr>
      </w:pPr>
      <w:r>
        <w:rPr>
          <w:rFonts w:hint="eastAsia"/>
          <w:sz w:val="21"/>
          <w:szCs w:val="21"/>
        </w:rPr>
        <w:t>投资者可以通过基金管理人网站、客服中心提交信息订制的申请，基金管理人将以电子邮件、手机短信的形式定期为投资者发送所订制的信息。</w:t>
      </w:r>
    </w:p>
    <w:p w14:paraId="4173FCE4">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06AD8267">
      <w:pPr>
        <w:pStyle w:val="8"/>
        <w:spacing w:before="0" w:beforeAutospacing="0" w:after="0" w:afterAutospacing="0" w:line="360" w:lineRule="auto"/>
        <w:ind w:firstLine="420"/>
        <w:rPr>
          <w:sz w:val="21"/>
          <w:szCs w:val="21"/>
        </w:rPr>
      </w:pPr>
      <w:r>
        <w:rPr>
          <w:rFonts w:hint="eastAsia"/>
          <w:sz w:val="21"/>
          <w:szCs w:val="21"/>
        </w:rPr>
        <w:t>投资者拨打博时一线通：95105568（免长途话费）可享有投资理财交易的一站式综合服务：</w:t>
      </w:r>
    </w:p>
    <w:p w14:paraId="0A3C347B">
      <w:pPr>
        <w:pStyle w:val="8"/>
        <w:spacing w:before="0" w:beforeAutospacing="0" w:after="0" w:afterAutospacing="0" w:line="360" w:lineRule="auto"/>
        <w:ind w:firstLine="420"/>
        <w:rPr>
          <w:sz w:val="21"/>
          <w:szCs w:val="21"/>
        </w:rPr>
      </w:pPr>
      <w:r>
        <w:rPr>
          <w:rFonts w:hint="eastAsia"/>
          <w:sz w:val="21"/>
          <w:szCs w:val="21"/>
        </w:rPr>
        <w:t>1、自助语音服务：基金管理人自助语音系统提供7×24小时的全天候服务，投资者可以自助查询账户余额、交易情况、基金净值等信息，也可以进行直销交易、密码修改、传真索取等操作。</w:t>
      </w:r>
    </w:p>
    <w:p w14:paraId="5F376727">
      <w:pPr>
        <w:pStyle w:val="8"/>
        <w:spacing w:before="0" w:beforeAutospacing="0" w:after="0" w:afterAutospacing="0" w:line="360" w:lineRule="auto"/>
        <w:ind w:firstLine="420"/>
        <w:rPr>
          <w:sz w:val="21"/>
          <w:szCs w:val="21"/>
        </w:rPr>
      </w:pPr>
      <w:r>
        <w:rPr>
          <w:rFonts w:hint="eastAsia"/>
          <w:sz w:val="21"/>
          <w:szCs w:val="21"/>
        </w:rPr>
        <w:t>2、电话交易服务：基金管理人直销投资者可通过博时一线通电话交易平台在线办理基金的赎回、变更分红方式、撤单等直销交易业务。</w:t>
      </w:r>
    </w:p>
    <w:p w14:paraId="3ACCA35E">
      <w:pPr>
        <w:pStyle w:val="8"/>
        <w:spacing w:before="0" w:beforeAutospacing="0" w:after="0" w:afterAutospacing="0" w:line="360" w:lineRule="auto"/>
        <w:ind w:firstLine="420"/>
        <w:rPr>
          <w:sz w:val="21"/>
          <w:szCs w:val="21"/>
        </w:rPr>
      </w:pPr>
      <w:r>
        <w:rPr>
          <w:rFonts w:hint="eastAsia"/>
          <w:sz w:val="21"/>
          <w:szCs w:val="21"/>
        </w:rPr>
        <w:t>3、人工电话服务：投资者可以获得业务咨询、信息查询、资料修改、投诉受理、信息订制、账户诊断等服务。</w:t>
      </w:r>
    </w:p>
    <w:p w14:paraId="0931FF33">
      <w:pPr>
        <w:pStyle w:val="8"/>
        <w:spacing w:before="0" w:beforeAutospacing="0" w:after="0" w:afterAutospacing="0" w:line="360" w:lineRule="auto"/>
        <w:ind w:firstLine="420"/>
        <w:rPr>
          <w:sz w:val="21"/>
          <w:szCs w:val="21"/>
        </w:rPr>
      </w:pPr>
      <w:r>
        <w:rPr>
          <w:rFonts w:hint="eastAsia"/>
          <w:sz w:val="21"/>
          <w:szCs w:val="21"/>
        </w:rPr>
        <w:t>4、电话留言服务：非人工服务时间或线路繁忙时，投资者可进行电话留言。</w:t>
      </w:r>
    </w:p>
    <w:p w14:paraId="078072A9">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5EF53B30">
      <w:pPr>
        <w:pStyle w:val="8"/>
        <w:spacing w:before="0" w:beforeAutospacing="0" w:after="0" w:afterAutospacing="0" w:line="360" w:lineRule="auto"/>
        <w:ind w:firstLine="420"/>
        <w:rPr>
          <w:sz w:val="21"/>
          <w:szCs w:val="21"/>
        </w:rPr>
      </w:pPr>
      <w:r>
        <w:rPr>
          <w:rFonts w:hint="eastAsia"/>
          <w:sz w:val="21"/>
          <w:szCs w:val="21"/>
        </w:rPr>
        <w:t>公司网址： www.bosera.com </w:t>
      </w:r>
    </w:p>
    <w:p w14:paraId="5D081CE1">
      <w:pPr>
        <w:pStyle w:val="8"/>
        <w:spacing w:before="0" w:beforeAutospacing="0" w:after="0" w:afterAutospacing="0" w:line="360" w:lineRule="auto"/>
        <w:ind w:firstLine="420"/>
        <w:rPr>
          <w:sz w:val="21"/>
          <w:szCs w:val="21"/>
        </w:rPr>
      </w:pPr>
      <w:r>
        <w:rPr>
          <w:rFonts w:hint="eastAsia"/>
          <w:sz w:val="21"/>
          <w:szCs w:val="21"/>
        </w:rPr>
        <w:t>电子信箱：service@bosera.com</w:t>
      </w:r>
    </w:p>
    <w:p w14:paraId="33FB879A">
      <w:pPr>
        <w:pStyle w:val="8"/>
        <w:spacing w:before="0" w:beforeAutospacing="0" w:after="0" w:afterAutospacing="0" w:line="360" w:lineRule="auto"/>
        <w:ind w:firstLine="420"/>
        <w:rPr>
          <w:sz w:val="21"/>
          <w:szCs w:val="21"/>
        </w:rPr>
      </w:pPr>
      <w:r>
        <w:rPr>
          <w:rFonts w:hint="eastAsia"/>
          <w:sz w:val="21"/>
          <w:szCs w:val="21"/>
        </w:rPr>
        <w:t>博时一线通客服电话：95105568（免长途话费）</w:t>
      </w:r>
    </w:p>
    <w:p w14:paraId="723D06B3">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160" w:name="chapter_level1_24_75_section_1_end"/>
      <w:bookmarkEnd w:id="160"/>
      <w:r>
        <w:rPr>
          <w:rStyle w:val="12"/>
          <w:rFonts w:hint="eastAsia"/>
          <w:sz w:val="21"/>
          <w:szCs w:val="21"/>
        </w:rPr>
        <w:t>理人。请确保投资前，您/贵机构已经全面理解了本招募说明书。</w:t>
      </w:r>
    </w:p>
    <w:p w14:paraId="4D917862">
      <w:pPr>
        <w:widowControl/>
        <w:jc w:val="left"/>
        <w:rPr>
          <w:rFonts w:ascii="宋体" w:hAnsi="宋体" w:eastAsia="宋体"/>
        </w:rPr>
      </w:pPr>
      <w:r>
        <w:rPr>
          <w:rFonts w:ascii="宋体" w:hAnsi="宋体" w:eastAsia="宋体"/>
        </w:rPr>
        <w:br w:type="page"/>
      </w:r>
    </w:p>
    <w:p w14:paraId="1C663922">
      <w:pPr>
        <w:pStyle w:val="2"/>
        <w:jc w:val="center"/>
        <w:rPr>
          <w:rFonts w:ascii="宋体" w:hAnsi="宋体" w:eastAsia="宋体"/>
          <w:sz w:val="30"/>
        </w:rPr>
      </w:pPr>
      <w:bookmarkStart w:id="161" w:name="chapter_level1_25_3499"/>
      <w:bookmarkStart w:id="162" w:name="_Toc207939918"/>
      <w:r>
        <w:rPr>
          <w:rFonts w:hint="eastAsia" w:ascii="宋体" w:hAnsi="宋体" w:eastAsia="宋体"/>
          <w:sz w:val="30"/>
        </w:rPr>
        <w:t>第二十</w:t>
      </w:r>
      <w:r>
        <w:rPr>
          <w:rFonts w:hint="eastAsia" w:ascii="宋体" w:hAnsi="宋体" w:eastAsia="宋体"/>
          <w:sz w:val="30"/>
          <w:lang w:val="en-US" w:eastAsia="zh-CN"/>
        </w:rPr>
        <w:t>三</w:t>
      </w:r>
      <w:r>
        <w:rPr>
          <w:rFonts w:hint="eastAsia" w:ascii="宋体" w:hAnsi="宋体" w:eastAsia="宋体"/>
          <w:sz w:val="30"/>
        </w:rPr>
        <w:t>部分</w:t>
      </w:r>
      <w:r>
        <w:rPr>
          <w:rFonts w:hint="eastAsia" w:ascii="宋体" w:hAnsi="宋体" w:eastAsia="宋体"/>
          <w:sz w:val="30"/>
          <w:lang w:val="en-US" w:eastAsia="zh-CN"/>
        </w:rPr>
        <w:t xml:space="preserve"> </w:t>
      </w:r>
      <w:r>
        <w:rPr>
          <w:rFonts w:hint="eastAsia" w:ascii="宋体" w:hAnsi="宋体" w:eastAsia="宋体"/>
          <w:sz w:val="30"/>
        </w:rPr>
        <w:t xml:space="preserve"> 其他应披露的事项</w:t>
      </w:r>
      <w:bookmarkEnd w:id="161"/>
      <w:bookmarkEnd w:id="162"/>
    </w:p>
    <w:p w14:paraId="6B8EC4FC">
      <w:pPr>
        <w:pStyle w:val="8"/>
        <w:spacing w:before="0" w:beforeAutospacing="0" w:after="0" w:afterAutospacing="0" w:line="360" w:lineRule="auto"/>
        <w:ind w:firstLine="420"/>
        <w:rPr>
          <w:sz w:val="21"/>
          <w:szCs w:val="21"/>
        </w:rPr>
      </w:pPr>
      <w:bookmarkStart w:id="163" w:name="field_0_bsrevealinfo_1_start"/>
      <w:bookmarkEnd w:id="163"/>
      <w:bookmarkStart w:id="164" w:name="chapter_level1_25_3499_section_1"/>
      <w:bookmarkEnd w:id="164"/>
      <w:r>
        <w:rPr>
          <w:rFonts w:hint="eastAsia"/>
          <w:sz w:val="21"/>
          <w:szCs w:val="21"/>
        </w:rPr>
        <w:t>（一）、2025年8月29日，我公司公告了《</w:t>
      </w:r>
      <w:r>
        <w:rPr>
          <w:rFonts w:hint="eastAsia"/>
          <w:sz w:val="21"/>
          <w:szCs w:val="21"/>
          <w:lang w:eastAsia="zh-CN"/>
        </w:rPr>
        <w:t>博时国证粮食产业交易型开放式指数证券投资基金发起式联接基金</w:t>
      </w:r>
      <w:r>
        <w:rPr>
          <w:rFonts w:hint="eastAsia"/>
          <w:sz w:val="21"/>
          <w:szCs w:val="21"/>
        </w:rPr>
        <w:t>2025年中期报告》；</w:t>
      </w:r>
    </w:p>
    <w:p w14:paraId="2411CC2B">
      <w:pPr>
        <w:pStyle w:val="8"/>
        <w:spacing w:before="0" w:beforeAutospacing="0" w:after="0" w:afterAutospacing="0" w:line="360" w:lineRule="auto"/>
        <w:ind w:firstLine="420"/>
        <w:rPr>
          <w:sz w:val="21"/>
          <w:szCs w:val="21"/>
        </w:rPr>
      </w:pPr>
      <w:r>
        <w:rPr>
          <w:rFonts w:hint="eastAsia"/>
          <w:sz w:val="21"/>
          <w:szCs w:val="21"/>
        </w:rPr>
        <w:t>（二）、2025年7月21日，我公司公告了《</w:t>
      </w:r>
      <w:r>
        <w:rPr>
          <w:rFonts w:hint="eastAsia"/>
          <w:sz w:val="21"/>
          <w:szCs w:val="21"/>
          <w:lang w:eastAsia="zh-CN"/>
        </w:rPr>
        <w:t>博时国证粮食产业交易型开放式指数证券投资基金发起式联接基金</w:t>
      </w:r>
      <w:r>
        <w:rPr>
          <w:rFonts w:hint="eastAsia"/>
          <w:sz w:val="21"/>
          <w:szCs w:val="21"/>
        </w:rPr>
        <w:t>2025年第2季度报告》；</w:t>
      </w:r>
    </w:p>
    <w:p w14:paraId="481FE375">
      <w:pPr>
        <w:pStyle w:val="8"/>
        <w:spacing w:before="0" w:beforeAutospacing="0" w:after="0" w:afterAutospacing="0" w:line="360" w:lineRule="auto"/>
        <w:ind w:firstLine="420"/>
        <w:rPr>
          <w:sz w:val="21"/>
          <w:szCs w:val="21"/>
        </w:rPr>
      </w:pPr>
      <w:r>
        <w:rPr>
          <w:rFonts w:hint="eastAsia"/>
          <w:sz w:val="21"/>
          <w:szCs w:val="21"/>
        </w:rPr>
        <w:t>（三）、2025年6月26日，我公司公告了《</w:t>
      </w:r>
      <w:r>
        <w:rPr>
          <w:rFonts w:hint="eastAsia"/>
          <w:sz w:val="21"/>
          <w:szCs w:val="21"/>
          <w:lang w:eastAsia="zh-CN"/>
        </w:rPr>
        <w:t>博时国证粮食产业交易型开放式指数证券投资基金发起式联接基金</w:t>
      </w:r>
      <w:r>
        <w:rPr>
          <w:rFonts w:hint="eastAsia"/>
          <w:sz w:val="21"/>
          <w:szCs w:val="21"/>
        </w:rPr>
        <w:t>（博时国证粮食产业指数发起式C）基金产品资料概要更新》、《</w:t>
      </w:r>
      <w:r>
        <w:rPr>
          <w:rFonts w:hint="eastAsia"/>
          <w:sz w:val="21"/>
          <w:szCs w:val="21"/>
          <w:lang w:eastAsia="zh-CN"/>
        </w:rPr>
        <w:t>博时国证粮食产业交易型开放式指数证券投资基金发起式联接基金</w:t>
      </w:r>
      <w:r>
        <w:rPr>
          <w:rFonts w:hint="eastAsia"/>
          <w:sz w:val="21"/>
          <w:szCs w:val="21"/>
        </w:rPr>
        <w:t>（博时国证粮食产业指数发起式A）基金产品资料概要更新》；</w:t>
      </w:r>
    </w:p>
    <w:p w14:paraId="36B493D3">
      <w:pPr>
        <w:pStyle w:val="8"/>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14:paraId="4EA95E42">
      <w:pPr>
        <w:pStyle w:val="8"/>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14:paraId="07378430">
      <w:pPr>
        <w:pStyle w:val="8"/>
        <w:spacing w:before="0" w:beforeAutospacing="0" w:after="0" w:afterAutospacing="0" w:line="360" w:lineRule="auto"/>
        <w:ind w:firstLine="420"/>
        <w:rPr>
          <w:sz w:val="21"/>
          <w:szCs w:val="21"/>
        </w:rPr>
      </w:pPr>
      <w:r>
        <w:rPr>
          <w:rFonts w:hint="eastAsia"/>
          <w:sz w:val="21"/>
          <w:szCs w:val="21"/>
        </w:rPr>
        <w:t>（六）、2025年4月22日，我公司公告了《</w:t>
      </w:r>
      <w:r>
        <w:rPr>
          <w:rFonts w:hint="eastAsia"/>
          <w:sz w:val="21"/>
          <w:szCs w:val="21"/>
          <w:lang w:eastAsia="zh-CN"/>
        </w:rPr>
        <w:t>博时国证粮食产业交易型开放式指数证券投资基金发起式联接基金</w:t>
      </w:r>
      <w:r>
        <w:rPr>
          <w:rFonts w:hint="eastAsia"/>
          <w:sz w:val="21"/>
          <w:szCs w:val="21"/>
        </w:rPr>
        <w:t>2025年第1季度报告》；</w:t>
      </w:r>
    </w:p>
    <w:p w14:paraId="16740100">
      <w:pPr>
        <w:pStyle w:val="8"/>
        <w:spacing w:before="0" w:beforeAutospacing="0" w:after="0" w:afterAutospacing="0" w:line="360" w:lineRule="auto"/>
        <w:ind w:firstLine="420"/>
        <w:rPr>
          <w:sz w:val="21"/>
          <w:szCs w:val="21"/>
        </w:rPr>
      </w:pPr>
      <w:r>
        <w:rPr>
          <w:rFonts w:hint="eastAsia"/>
          <w:sz w:val="21"/>
          <w:szCs w:val="21"/>
        </w:rPr>
        <w:t>（七）、2025年4月12日，我公司公告了《</w:t>
      </w:r>
      <w:r>
        <w:rPr>
          <w:rFonts w:hint="eastAsia"/>
          <w:sz w:val="21"/>
          <w:szCs w:val="21"/>
          <w:lang w:eastAsia="zh-CN"/>
        </w:rPr>
        <w:t>博时国证粮食产业交易型开放式指数证券投资基金发起式联接基金</w:t>
      </w:r>
      <w:r>
        <w:rPr>
          <w:rFonts w:hint="eastAsia"/>
          <w:sz w:val="21"/>
          <w:szCs w:val="21"/>
        </w:rPr>
        <w:t>恢复大额申购、转换转入、定期定额投资业务的公告》；</w:t>
      </w:r>
    </w:p>
    <w:p w14:paraId="493419F7">
      <w:pPr>
        <w:pStyle w:val="8"/>
        <w:spacing w:before="0" w:beforeAutospacing="0" w:after="0" w:afterAutospacing="0" w:line="360" w:lineRule="auto"/>
        <w:ind w:firstLine="420"/>
        <w:rPr>
          <w:sz w:val="21"/>
          <w:szCs w:val="21"/>
        </w:rPr>
      </w:pPr>
      <w:r>
        <w:rPr>
          <w:rFonts w:hint="eastAsia"/>
          <w:sz w:val="21"/>
          <w:szCs w:val="21"/>
        </w:rPr>
        <w:t>（八）、2025年4月10日，我公司公告了《</w:t>
      </w:r>
      <w:r>
        <w:rPr>
          <w:rFonts w:hint="eastAsia"/>
          <w:sz w:val="21"/>
          <w:szCs w:val="21"/>
          <w:lang w:eastAsia="zh-CN"/>
        </w:rPr>
        <w:t>博时国证粮食产业交易型开放式指数证券投资基金发起式联接基金</w:t>
      </w:r>
      <w:r>
        <w:rPr>
          <w:rFonts w:hint="eastAsia"/>
          <w:sz w:val="21"/>
          <w:szCs w:val="21"/>
        </w:rPr>
        <w:t>暂停大额申购、转换转入、定期定额投资业务的公告》；</w:t>
      </w:r>
    </w:p>
    <w:p w14:paraId="3EA55665">
      <w:pPr>
        <w:pStyle w:val="8"/>
        <w:spacing w:before="0" w:beforeAutospacing="0" w:after="0" w:afterAutospacing="0" w:line="360" w:lineRule="auto"/>
        <w:ind w:firstLine="420"/>
        <w:rPr>
          <w:sz w:val="21"/>
          <w:szCs w:val="21"/>
        </w:rPr>
      </w:pPr>
      <w:r>
        <w:rPr>
          <w:rFonts w:hint="eastAsia"/>
          <w:sz w:val="21"/>
          <w:szCs w:val="21"/>
        </w:rPr>
        <w:t>（九）、2025年4月8日，我公司公告了《博时基金管理有限公司关于运用公司固有资金投资旗下公募基金的公告》、《博时基金管理有限公司关于旗下基金持有的长期停牌股票调整估值方法的公告-20250408》；</w:t>
      </w:r>
    </w:p>
    <w:p w14:paraId="185A521C">
      <w:pPr>
        <w:pStyle w:val="8"/>
        <w:spacing w:before="0" w:beforeAutospacing="0" w:after="0" w:afterAutospacing="0" w:line="360" w:lineRule="auto"/>
        <w:ind w:firstLine="420"/>
        <w:rPr>
          <w:sz w:val="21"/>
          <w:szCs w:val="21"/>
        </w:rPr>
      </w:pPr>
      <w:r>
        <w:rPr>
          <w:rFonts w:hint="eastAsia"/>
          <w:sz w:val="21"/>
          <w:szCs w:val="21"/>
        </w:rPr>
        <w:t>（十）、2025年3月31日，我公司公告了《博时基金管理有限公司旗下公募基金通过证券公司证券交易及佣金支付情况（2024年度）》、《</w:t>
      </w:r>
      <w:r>
        <w:rPr>
          <w:rFonts w:hint="eastAsia"/>
          <w:sz w:val="21"/>
          <w:szCs w:val="21"/>
          <w:lang w:eastAsia="zh-CN"/>
        </w:rPr>
        <w:t>博时国证粮食产业交易型开放式指数证券投资基金发起式联接基金</w:t>
      </w:r>
      <w:r>
        <w:rPr>
          <w:rFonts w:hint="eastAsia"/>
          <w:sz w:val="21"/>
          <w:szCs w:val="21"/>
        </w:rPr>
        <w:t>2024年年度报告》；</w:t>
      </w:r>
    </w:p>
    <w:p w14:paraId="7F7C2B3E">
      <w:pPr>
        <w:pStyle w:val="8"/>
        <w:spacing w:before="0" w:beforeAutospacing="0" w:after="0" w:afterAutospacing="0" w:line="360" w:lineRule="auto"/>
        <w:ind w:firstLine="420"/>
        <w:rPr>
          <w:sz w:val="21"/>
          <w:szCs w:val="21"/>
        </w:rPr>
      </w:pPr>
      <w:r>
        <w:rPr>
          <w:rFonts w:hint="eastAsia"/>
          <w:sz w:val="21"/>
          <w:szCs w:val="21"/>
        </w:rPr>
        <w:t>（十一）、2025年3月25日，我公司公告了《博时基金管理有限公司关于旗下基金持有的长期停牌股票调整估值方法的公告-20250325》；</w:t>
      </w:r>
    </w:p>
    <w:p w14:paraId="24D08641">
      <w:pPr>
        <w:pStyle w:val="8"/>
        <w:spacing w:before="0" w:beforeAutospacing="0" w:after="0" w:afterAutospacing="0" w:line="360" w:lineRule="auto"/>
        <w:ind w:firstLine="420"/>
        <w:rPr>
          <w:sz w:val="21"/>
          <w:szCs w:val="21"/>
        </w:rPr>
      </w:pPr>
      <w:r>
        <w:rPr>
          <w:rFonts w:hint="eastAsia"/>
          <w:sz w:val="21"/>
          <w:szCs w:val="21"/>
        </w:rPr>
        <w:t>（十二）、2025年3月3日，我公司公告了《</w:t>
      </w:r>
      <w:r>
        <w:rPr>
          <w:rFonts w:hint="eastAsia"/>
          <w:sz w:val="21"/>
          <w:szCs w:val="21"/>
          <w:lang w:eastAsia="zh-CN"/>
        </w:rPr>
        <w:t>博时国证粮食产业交易型开放式指数证券投资基金发起式联接基金</w:t>
      </w:r>
      <w:r>
        <w:rPr>
          <w:rFonts w:hint="eastAsia"/>
          <w:sz w:val="21"/>
          <w:szCs w:val="21"/>
        </w:rPr>
        <w:t>（博时国证粮食产业指数发起式A）基金产品资料概要更新》、《</w:t>
      </w:r>
      <w:r>
        <w:rPr>
          <w:rFonts w:hint="eastAsia"/>
          <w:sz w:val="21"/>
          <w:szCs w:val="21"/>
          <w:lang w:eastAsia="zh-CN"/>
        </w:rPr>
        <w:t>博时国证粮食产业交易型开放式指数证券投资基金发起式联接基金</w:t>
      </w:r>
      <w:r>
        <w:rPr>
          <w:rFonts w:hint="eastAsia"/>
          <w:sz w:val="21"/>
          <w:szCs w:val="21"/>
        </w:rPr>
        <w:t>（博时国证粮食产业指数发起式C）基金产品资料概要更新》；</w:t>
      </w:r>
    </w:p>
    <w:p w14:paraId="30FA6139">
      <w:pPr>
        <w:pStyle w:val="8"/>
        <w:spacing w:before="0" w:beforeAutospacing="0" w:after="0" w:afterAutospacing="0" w:line="360" w:lineRule="auto"/>
        <w:ind w:firstLine="420"/>
        <w:rPr>
          <w:sz w:val="21"/>
          <w:szCs w:val="21"/>
        </w:rPr>
      </w:pPr>
      <w:r>
        <w:rPr>
          <w:rFonts w:hint="eastAsia"/>
          <w:sz w:val="21"/>
          <w:szCs w:val="21"/>
        </w:rPr>
        <w:t>（十三）、2025年1月22日，我公司公告了《</w:t>
      </w:r>
      <w:r>
        <w:rPr>
          <w:rFonts w:hint="eastAsia"/>
          <w:sz w:val="21"/>
          <w:szCs w:val="21"/>
          <w:lang w:eastAsia="zh-CN"/>
        </w:rPr>
        <w:t>博时国证粮食产业交易型开放式指数证券投资基金发起式联接基金</w:t>
      </w:r>
      <w:r>
        <w:rPr>
          <w:rFonts w:hint="eastAsia"/>
          <w:sz w:val="21"/>
          <w:szCs w:val="21"/>
        </w:rPr>
        <w:t>2024年第4季度报告》；</w:t>
      </w:r>
    </w:p>
    <w:p w14:paraId="3558E9AC">
      <w:pPr>
        <w:pStyle w:val="8"/>
        <w:spacing w:before="0" w:beforeAutospacing="0" w:after="0" w:afterAutospacing="0" w:line="360" w:lineRule="auto"/>
        <w:ind w:firstLine="420"/>
        <w:rPr>
          <w:sz w:val="21"/>
          <w:szCs w:val="21"/>
        </w:rPr>
      </w:pPr>
      <w:r>
        <w:rPr>
          <w:rFonts w:hint="eastAsia"/>
          <w:sz w:val="21"/>
          <w:szCs w:val="21"/>
        </w:rPr>
        <w:t>（十四）、2024年12月7日，我公司公告了《博时基金管理有限公司关于高级管理人员变更的公告》；</w:t>
      </w:r>
    </w:p>
    <w:p w14:paraId="7DABEB59">
      <w:pPr>
        <w:pStyle w:val="8"/>
        <w:spacing w:before="0" w:beforeAutospacing="0" w:after="0" w:afterAutospacing="0" w:line="360" w:lineRule="auto"/>
        <w:ind w:firstLine="420"/>
        <w:rPr>
          <w:sz w:val="21"/>
          <w:szCs w:val="21"/>
        </w:rPr>
      </w:pPr>
      <w:r>
        <w:rPr>
          <w:rFonts w:hint="eastAsia"/>
          <w:sz w:val="21"/>
          <w:szCs w:val="21"/>
        </w:rPr>
        <w:t>（十五）、2024年11月18日，我公司公告了《博时基金管理有限公司关于终止乾道基金销售有限公司办理旗下基金销售业务的公告》；</w:t>
      </w:r>
    </w:p>
    <w:p w14:paraId="1C095394">
      <w:pPr>
        <w:pStyle w:val="8"/>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71492D74">
      <w:pPr>
        <w:pStyle w:val="8"/>
        <w:spacing w:before="0" w:beforeAutospacing="0" w:after="0" w:afterAutospacing="0" w:line="360" w:lineRule="auto"/>
        <w:ind w:firstLine="420"/>
        <w:rPr>
          <w:sz w:val="21"/>
          <w:szCs w:val="21"/>
        </w:rPr>
      </w:pPr>
      <w:r>
        <w:rPr>
          <w:rFonts w:hint="eastAsia"/>
          <w:sz w:val="21"/>
          <w:szCs w:val="21"/>
        </w:rPr>
        <w:t>（十七）、2024年10月25日，我公司公告了《</w:t>
      </w:r>
      <w:r>
        <w:rPr>
          <w:rFonts w:hint="eastAsia"/>
          <w:sz w:val="21"/>
          <w:szCs w:val="21"/>
          <w:lang w:eastAsia="zh-CN"/>
        </w:rPr>
        <w:t>博时国证粮食产业交易型开放式指数证券投资基金发起式联接基金</w:t>
      </w:r>
      <w:r>
        <w:rPr>
          <w:rFonts w:hint="eastAsia"/>
          <w:sz w:val="21"/>
          <w:szCs w:val="21"/>
        </w:rPr>
        <w:t>2024年第3季度报告》；</w:t>
      </w:r>
    </w:p>
    <w:p w14:paraId="13409BE0">
      <w:pPr>
        <w:pStyle w:val="8"/>
        <w:spacing w:before="0" w:beforeAutospacing="0" w:after="0" w:afterAutospacing="0" w:line="360" w:lineRule="auto"/>
        <w:ind w:firstLine="420"/>
        <w:rPr>
          <w:sz w:val="21"/>
          <w:szCs w:val="21"/>
        </w:rPr>
      </w:pPr>
      <w:r>
        <w:rPr>
          <w:rFonts w:hint="eastAsia"/>
          <w:sz w:val="21"/>
          <w:szCs w:val="21"/>
        </w:rPr>
        <w:t>（十八）、2024年9月30日，我公司公告了《</w:t>
      </w:r>
      <w:r>
        <w:rPr>
          <w:rFonts w:hint="eastAsia"/>
          <w:sz w:val="21"/>
          <w:szCs w:val="21"/>
          <w:lang w:eastAsia="zh-CN"/>
        </w:rPr>
        <w:t>博时国证粮食产业交易型开放式指数证券投资基金发起式联接基金</w:t>
      </w:r>
      <w:r>
        <w:rPr>
          <w:rFonts w:hint="eastAsia"/>
          <w:sz w:val="21"/>
          <w:szCs w:val="21"/>
        </w:rPr>
        <w:t>更新招募说明书》；</w:t>
      </w:r>
    </w:p>
    <w:p w14:paraId="162FE136">
      <w:pPr>
        <w:pStyle w:val="8"/>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32728F8E">
      <w:pPr>
        <w:pStyle w:val="8"/>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165" w:name="chapter_level1_25_3499_section_1_end"/>
      <w:bookmarkEnd w:id="165"/>
      <w:r>
        <w:rPr>
          <w:rFonts w:hint="eastAsia"/>
          <w:sz w:val="21"/>
          <w:szCs w:val="21"/>
        </w:rPr>
        <w:t>变更的公告》。</w:t>
      </w:r>
      <w:bookmarkStart w:id="166" w:name="field_0_bsrevealinfo_1_end"/>
      <w:bookmarkEnd w:id="166"/>
      <w:r>
        <w:rPr>
          <w:rFonts w:hint="eastAsia"/>
          <w:sz w:val="21"/>
          <w:szCs w:val="21"/>
        </w:rPr>
        <w:t xml:space="preserve"> </w:t>
      </w:r>
    </w:p>
    <w:p w14:paraId="30B35A7B">
      <w:pPr>
        <w:widowControl/>
        <w:jc w:val="left"/>
        <w:rPr>
          <w:rFonts w:ascii="宋体" w:hAnsi="宋体" w:eastAsia="宋体"/>
        </w:rPr>
      </w:pPr>
      <w:r>
        <w:rPr>
          <w:rFonts w:ascii="宋体" w:hAnsi="宋体" w:eastAsia="宋体"/>
        </w:rPr>
        <w:br w:type="page"/>
      </w:r>
    </w:p>
    <w:p w14:paraId="762D222E">
      <w:pPr>
        <w:pStyle w:val="2"/>
        <w:jc w:val="center"/>
        <w:rPr>
          <w:rFonts w:ascii="宋体" w:hAnsi="宋体" w:eastAsia="宋体"/>
          <w:sz w:val="30"/>
        </w:rPr>
      </w:pPr>
      <w:bookmarkStart w:id="167" w:name="chapter_level1_26_77"/>
      <w:bookmarkStart w:id="168" w:name="_Toc207939919"/>
      <w:r>
        <w:rPr>
          <w:rFonts w:hint="eastAsia" w:ascii="宋体" w:hAnsi="宋体" w:eastAsia="宋体"/>
          <w:sz w:val="30"/>
        </w:rPr>
        <w:t>第二十</w:t>
      </w:r>
      <w:r>
        <w:rPr>
          <w:rFonts w:hint="eastAsia" w:ascii="宋体" w:hAnsi="宋体" w:eastAsia="宋体"/>
          <w:sz w:val="30"/>
          <w:lang w:val="en-US" w:eastAsia="zh-CN"/>
        </w:rPr>
        <w:t>四</w:t>
      </w:r>
      <w:r>
        <w:rPr>
          <w:rFonts w:hint="eastAsia" w:ascii="宋体" w:hAnsi="宋体" w:eastAsia="宋体"/>
          <w:sz w:val="30"/>
        </w:rPr>
        <w:t>部分  招募说明书的存放及查阅方式</w:t>
      </w:r>
      <w:bookmarkEnd w:id="167"/>
      <w:bookmarkEnd w:id="168"/>
    </w:p>
    <w:p w14:paraId="1F4A7952">
      <w:pPr>
        <w:pStyle w:val="8"/>
        <w:spacing w:before="0" w:beforeAutospacing="0" w:after="0" w:afterAutospacing="0" w:line="360" w:lineRule="auto"/>
        <w:ind w:firstLine="420"/>
        <w:rPr>
          <w:sz w:val="21"/>
          <w:szCs w:val="21"/>
        </w:rPr>
      </w:pPr>
      <w:bookmarkStart w:id="169" w:name="chapter_level1_26_77_section_1"/>
      <w:bookmarkEnd w:id="169"/>
      <w:r>
        <w:rPr>
          <w:rFonts w:hint="eastAsia"/>
          <w:sz w:val="21"/>
          <w:szCs w:val="21"/>
        </w:rPr>
        <w:t>本招募说明书存放在本基金管理人、基金托管人、基金销售机构的住所，投资人可在办公时间免费查阅；也可按工本费购买本招募说明书复制件或复印件，但应以招募说明书正本为准。</w:t>
      </w:r>
    </w:p>
    <w:p w14:paraId="2FC61824">
      <w:pPr>
        <w:pStyle w:val="8"/>
        <w:spacing w:before="0" w:beforeAutospacing="0" w:after="0" w:afterAutospacing="0" w:line="360" w:lineRule="auto"/>
        <w:ind w:firstLine="420"/>
        <w:rPr>
          <w:sz w:val="21"/>
          <w:szCs w:val="21"/>
        </w:rPr>
      </w:pPr>
      <w:bookmarkStart w:id="170" w:name="chapter_level1_26_77_section_1_end"/>
      <w:bookmarkEnd w:id="170"/>
      <w:r>
        <w:rPr>
          <w:rFonts w:hint="eastAsia"/>
          <w:sz w:val="21"/>
          <w:szCs w:val="21"/>
        </w:rPr>
        <w:t>基金管理人和基金托管人保证文本的内容与所公告的内容完全一致。</w:t>
      </w:r>
    </w:p>
    <w:p w14:paraId="56CF4503">
      <w:pPr>
        <w:widowControl/>
        <w:jc w:val="left"/>
        <w:rPr>
          <w:rFonts w:ascii="宋体" w:hAnsi="宋体" w:eastAsia="宋体"/>
        </w:rPr>
      </w:pPr>
      <w:r>
        <w:rPr>
          <w:rFonts w:ascii="宋体" w:hAnsi="宋体" w:eastAsia="宋体"/>
        </w:rPr>
        <w:br w:type="page"/>
      </w:r>
    </w:p>
    <w:p w14:paraId="79DEC1E0">
      <w:pPr>
        <w:pStyle w:val="2"/>
        <w:jc w:val="center"/>
        <w:rPr>
          <w:rFonts w:ascii="宋体" w:hAnsi="宋体" w:eastAsia="宋体"/>
          <w:sz w:val="30"/>
        </w:rPr>
      </w:pPr>
      <w:bookmarkStart w:id="171" w:name="_Toc207939920"/>
      <w:bookmarkStart w:id="172" w:name="chapter_level1_27_332"/>
      <w:r>
        <w:rPr>
          <w:rFonts w:hint="eastAsia" w:ascii="宋体" w:hAnsi="宋体" w:eastAsia="宋体"/>
          <w:sz w:val="30"/>
        </w:rPr>
        <w:t>第二十</w:t>
      </w:r>
      <w:r>
        <w:rPr>
          <w:rFonts w:hint="eastAsia" w:ascii="宋体" w:hAnsi="宋体" w:eastAsia="宋体"/>
          <w:sz w:val="30"/>
          <w:lang w:val="en-US" w:eastAsia="zh-CN"/>
        </w:rPr>
        <w:t>五</w:t>
      </w:r>
      <w:r>
        <w:rPr>
          <w:rFonts w:hint="eastAsia" w:ascii="宋体" w:hAnsi="宋体" w:eastAsia="宋体"/>
          <w:sz w:val="30"/>
        </w:rPr>
        <w:t>部分  备查文件</w:t>
      </w:r>
      <w:bookmarkEnd w:id="171"/>
      <w:bookmarkEnd w:id="172"/>
    </w:p>
    <w:p w14:paraId="1170D5B9">
      <w:pPr>
        <w:pStyle w:val="8"/>
        <w:spacing w:before="0" w:beforeAutospacing="0" w:after="0" w:afterAutospacing="0" w:line="360" w:lineRule="auto"/>
        <w:ind w:firstLine="420"/>
        <w:rPr>
          <w:sz w:val="21"/>
          <w:szCs w:val="21"/>
        </w:rPr>
      </w:pPr>
      <w:bookmarkStart w:id="173" w:name="chapter_level1_27_332_section_1"/>
      <w:bookmarkEnd w:id="173"/>
      <w:r>
        <w:rPr>
          <w:rFonts w:hint="eastAsia"/>
          <w:sz w:val="21"/>
          <w:szCs w:val="21"/>
        </w:rPr>
        <w:t xml:space="preserve">以下备查文件存放在基金管理人的办公场所，在办公时间可供免费查阅。 </w:t>
      </w:r>
    </w:p>
    <w:p w14:paraId="01BFD7A6">
      <w:pPr>
        <w:pStyle w:val="8"/>
        <w:spacing w:before="0" w:beforeAutospacing="0" w:after="0" w:afterAutospacing="0" w:line="360" w:lineRule="auto"/>
        <w:ind w:firstLine="420"/>
        <w:rPr>
          <w:sz w:val="21"/>
          <w:szCs w:val="21"/>
        </w:rPr>
      </w:pPr>
      <w:r>
        <w:rPr>
          <w:rFonts w:hint="eastAsia"/>
          <w:sz w:val="21"/>
          <w:szCs w:val="21"/>
        </w:rPr>
        <w:t xml:space="preserve">（一）中国证监会准予博时国证粮食产业指数型发起式证券投资基金注册的文件 </w:t>
      </w:r>
    </w:p>
    <w:p w14:paraId="7E2D952E">
      <w:pPr>
        <w:pStyle w:val="8"/>
        <w:spacing w:before="0" w:beforeAutospacing="0" w:after="0" w:afterAutospacing="0" w:line="360" w:lineRule="auto"/>
        <w:ind w:firstLine="420"/>
        <w:rPr>
          <w:sz w:val="21"/>
          <w:szCs w:val="21"/>
        </w:rPr>
      </w:pPr>
      <w:r>
        <w:rPr>
          <w:rFonts w:hint="eastAsia"/>
          <w:sz w:val="21"/>
          <w:szCs w:val="21"/>
        </w:rPr>
        <w:t>（二）《</w:t>
      </w:r>
      <w:r>
        <w:rPr>
          <w:rFonts w:hint="eastAsia"/>
          <w:sz w:val="21"/>
          <w:szCs w:val="21"/>
          <w:lang w:eastAsia="zh-CN"/>
        </w:rPr>
        <w:t>博时国证粮食产业交易型开放式指数证券投资基金发起式联接基金</w:t>
      </w:r>
      <w:r>
        <w:rPr>
          <w:rFonts w:hint="eastAsia"/>
          <w:sz w:val="21"/>
          <w:szCs w:val="21"/>
        </w:rPr>
        <w:t xml:space="preserve">基金合同》 </w:t>
      </w:r>
    </w:p>
    <w:p w14:paraId="0756F996">
      <w:pPr>
        <w:pStyle w:val="8"/>
        <w:spacing w:before="0" w:beforeAutospacing="0" w:after="0" w:afterAutospacing="0" w:line="360" w:lineRule="auto"/>
        <w:ind w:firstLine="420"/>
        <w:rPr>
          <w:sz w:val="21"/>
          <w:szCs w:val="21"/>
        </w:rPr>
      </w:pPr>
      <w:r>
        <w:rPr>
          <w:rFonts w:hint="eastAsia"/>
          <w:sz w:val="21"/>
          <w:szCs w:val="21"/>
        </w:rPr>
        <w:t>（三）《</w:t>
      </w:r>
      <w:r>
        <w:rPr>
          <w:rFonts w:hint="eastAsia"/>
          <w:sz w:val="21"/>
          <w:szCs w:val="21"/>
          <w:lang w:eastAsia="zh-CN"/>
        </w:rPr>
        <w:t>博时国证粮食产业交易型开放式指数证券投资基金发起式联接基金</w:t>
      </w:r>
      <w:r>
        <w:rPr>
          <w:rFonts w:hint="eastAsia"/>
          <w:sz w:val="21"/>
          <w:szCs w:val="21"/>
        </w:rPr>
        <w:t xml:space="preserve">托管协议》 </w:t>
      </w:r>
    </w:p>
    <w:p w14:paraId="18A20BBF">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77A7CB5E">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00B2EDD9">
      <w:pPr>
        <w:pStyle w:val="8"/>
        <w:spacing w:before="0" w:beforeAutospacing="0" w:after="0" w:afterAutospacing="0" w:line="360" w:lineRule="auto"/>
        <w:ind w:firstLine="420"/>
        <w:rPr>
          <w:sz w:val="21"/>
          <w:szCs w:val="21"/>
        </w:rPr>
      </w:pPr>
      <w:r>
        <w:rPr>
          <w:rFonts w:hint="eastAsia"/>
          <w:sz w:val="21"/>
          <w:szCs w:val="21"/>
        </w:rPr>
        <w:t xml:space="preserve">（六）法律意见书 </w:t>
      </w:r>
    </w:p>
    <w:p w14:paraId="686F8D7A">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7F68ECB7">
      <w:pPr>
        <w:pStyle w:val="8"/>
        <w:spacing w:before="0" w:beforeAutospacing="0" w:after="0" w:afterAutospacing="0" w:line="360" w:lineRule="auto"/>
        <w:ind w:firstLine="420"/>
        <w:rPr>
          <w:sz w:val="21"/>
          <w:szCs w:val="21"/>
        </w:rPr>
      </w:pPr>
      <w:bookmarkStart w:id="174" w:name="chapter_level1_27_332_section_1_end"/>
      <w:bookmarkEnd w:id="174"/>
      <w:r>
        <w:rPr>
          <w:rFonts w:hint="eastAsia"/>
          <w:sz w:val="21"/>
          <w:szCs w:val="21"/>
        </w:rPr>
        <w:t xml:space="preserve">查阅方式：投资者可在营业时间免费查阅，也可按工本费购买复印件。 </w:t>
      </w:r>
    </w:p>
    <w:p w14:paraId="0132B1E8">
      <w:pPr>
        <w:pStyle w:val="8"/>
        <w:spacing w:before="0" w:beforeAutospacing="0" w:after="0" w:afterAutospacing="0" w:line="360" w:lineRule="auto"/>
        <w:ind w:firstLine="420"/>
        <w:rPr>
          <w:sz w:val="21"/>
          <w:szCs w:val="21"/>
        </w:rPr>
      </w:pPr>
      <w:bookmarkStart w:id="175" w:name="chapter_level1_27_332_section_2"/>
      <w:bookmarkEnd w:id="175"/>
    </w:p>
    <w:p w14:paraId="1F986582">
      <w:pPr>
        <w:pStyle w:val="8"/>
        <w:spacing w:before="0" w:beforeAutospacing="0" w:after="0" w:afterAutospacing="0" w:line="360" w:lineRule="auto"/>
        <w:ind w:firstLine="420"/>
        <w:rPr>
          <w:sz w:val="21"/>
          <w:szCs w:val="21"/>
        </w:rPr>
      </w:pPr>
    </w:p>
    <w:p w14:paraId="28F60250">
      <w:pPr>
        <w:pStyle w:val="8"/>
        <w:spacing w:before="0" w:beforeAutospacing="0" w:after="0" w:afterAutospacing="0" w:line="360" w:lineRule="auto"/>
        <w:ind w:firstLine="420"/>
        <w:rPr>
          <w:sz w:val="21"/>
          <w:szCs w:val="21"/>
        </w:rPr>
      </w:pPr>
    </w:p>
    <w:p w14:paraId="3D55B7A3">
      <w:pPr>
        <w:pStyle w:val="8"/>
        <w:spacing w:before="0" w:beforeAutospacing="0" w:after="0" w:afterAutospacing="0" w:line="360" w:lineRule="auto"/>
        <w:ind w:firstLine="420"/>
        <w:rPr>
          <w:sz w:val="21"/>
          <w:szCs w:val="21"/>
        </w:rPr>
      </w:pPr>
    </w:p>
    <w:p w14:paraId="5CDF609D">
      <w:pPr>
        <w:pStyle w:val="8"/>
        <w:spacing w:before="0" w:beforeAutospacing="0" w:after="0" w:afterAutospacing="0" w:line="360" w:lineRule="auto"/>
        <w:ind w:firstLine="420"/>
        <w:jc w:val="right"/>
        <w:rPr>
          <w:sz w:val="21"/>
          <w:szCs w:val="21"/>
        </w:rPr>
      </w:pPr>
      <w:bookmarkStart w:id="176" w:name="field_0_managerorgfullname_1"/>
      <w:r>
        <w:rPr>
          <w:rFonts w:hint="eastAsia"/>
          <w:sz w:val="21"/>
          <w:szCs w:val="21"/>
        </w:rPr>
        <w:t>博时基金管理有限公司</w:t>
      </w:r>
      <w:bookmarkEnd w:id="176"/>
      <w:r>
        <w:rPr>
          <w:rFonts w:hint="eastAsia"/>
          <w:sz w:val="21"/>
          <w:szCs w:val="21"/>
        </w:rPr>
        <w:t xml:space="preserve">  </w:t>
      </w:r>
    </w:p>
    <w:p w14:paraId="447D1A28">
      <w:pPr>
        <w:pStyle w:val="8"/>
        <w:spacing w:before="0" w:beforeAutospacing="0" w:after="0" w:afterAutospacing="0" w:line="360" w:lineRule="auto"/>
        <w:ind w:firstLine="420"/>
        <w:jc w:val="right"/>
        <w:rPr>
          <w:sz w:val="21"/>
          <w:szCs w:val="21"/>
        </w:rPr>
      </w:pPr>
      <w:bookmarkStart w:id="177" w:name="chapter_level1_27_332_section_2_end"/>
      <w:bookmarkEnd w:id="177"/>
      <w:bookmarkStart w:id="178" w:name="field_0_commitmenttime_1"/>
      <w:r>
        <w:rPr>
          <w:sz w:val="21"/>
          <w:szCs w:val="21"/>
        </w:rPr>
        <w:t>202</w:t>
      </w:r>
      <w:r>
        <w:rPr>
          <w:rFonts w:hint="eastAsia"/>
          <w:sz w:val="21"/>
          <w:szCs w:val="21"/>
          <w:lang w:val="en-US" w:eastAsia="zh-CN"/>
        </w:rPr>
        <w:t>6</w:t>
      </w:r>
      <w:r>
        <w:rPr>
          <w:sz w:val="21"/>
          <w:szCs w:val="21"/>
        </w:rPr>
        <w:t>年</w:t>
      </w:r>
      <w:bookmarkEnd w:id="178"/>
      <w:r>
        <w:rPr>
          <w:rFonts w:hint="eastAsia"/>
          <w:sz w:val="21"/>
          <w:szCs w:val="21"/>
        </w:rPr>
        <w:t>6月</w:t>
      </w:r>
      <w:r>
        <w:rPr>
          <w:rFonts w:hint="eastAsia"/>
          <w:sz w:val="21"/>
          <w:szCs w:val="21"/>
          <w:lang w:val="en-US" w:eastAsia="zh-CN"/>
        </w:rPr>
        <w:t>3</w:t>
      </w:r>
      <w:r>
        <w:rPr>
          <w:rFonts w:hint="eastAsia"/>
          <w:sz w:val="21"/>
          <w:szCs w:val="21"/>
        </w:rPr>
        <w:t xml:space="preserve">日  </w:t>
      </w:r>
    </w:p>
    <w:p w14:paraId="44CF81C0">
      <w:pPr>
        <w:rPr>
          <w:rFonts w:ascii="宋体" w:hAnsi="宋体" w:eastAsia="宋体"/>
        </w:rPr>
      </w:pPr>
      <w:bookmarkStart w:id="179" w:name="end"/>
      <w:bookmarkEnd w:id="179"/>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4DC65">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146</w:t>
    </w:r>
    <w:r>
      <w:fldChar w:fldCharType="end"/>
    </w:r>
    <w:r>
      <w:rPr>
        <w:rFonts w:hint="eastAsia"/>
      </w:rPr>
      <w:t>页 共</w:t>
    </w:r>
    <w:r>
      <w:fldChar w:fldCharType="begin"/>
    </w:r>
    <w:r>
      <w:instrText xml:space="preserve"> NumPages \* MERGEFORMAT </w:instrText>
    </w:r>
    <w:r>
      <w:fldChar w:fldCharType="separate"/>
    </w:r>
    <w:r>
      <w:t>146</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17F1">
    <w:pPr>
      <w:pStyle w:val="6"/>
      <w:jc w:val="both"/>
    </w:pPr>
    <w: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622AA201">
    <w:pPr>
      <w:pStyle w:val="6"/>
      <w:jc w:val="right"/>
    </w:pPr>
    <w:r>
      <w:rPr>
        <w:rFonts w:hint="eastAsia"/>
        <w:lang w:eastAsia="zh-CN"/>
      </w:rPr>
      <w:t>博时国证粮食产业交易型开放式指数证券投资基金发起式联接基金</w:t>
    </w:r>
    <w:r>
      <w:rPr>
        <w:rFonts w:hint="eastAsia"/>
      </w:rPr>
      <w:t>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083"/>
    <w:rsid w:val="001117C5"/>
    <w:rsid w:val="003978C9"/>
    <w:rsid w:val="00AC6083"/>
    <w:rsid w:val="00CC555D"/>
    <w:rsid w:val="00FF6AFB"/>
    <w:rsid w:val="019726A7"/>
    <w:rsid w:val="02355837"/>
    <w:rsid w:val="03255982"/>
    <w:rsid w:val="03647BA8"/>
    <w:rsid w:val="0441390A"/>
    <w:rsid w:val="05476E5D"/>
    <w:rsid w:val="05700779"/>
    <w:rsid w:val="05742A02"/>
    <w:rsid w:val="078227BB"/>
    <w:rsid w:val="080674B8"/>
    <w:rsid w:val="09373086"/>
    <w:rsid w:val="098826F0"/>
    <w:rsid w:val="09A45C60"/>
    <w:rsid w:val="09CD35A1"/>
    <w:rsid w:val="0A2574B3"/>
    <w:rsid w:val="0A36774D"/>
    <w:rsid w:val="0A5C540E"/>
    <w:rsid w:val="0B3C19E4"/>
    <w:rsid w:val="0C220867"/>
    <w:rsid w:val="0C221DAA"/>
    <w:rsid w:val="0C663265"/>
    <w:rsid w:val="0CAF61E6"/>
    <w:rsid w:val="0D500C64"/>
    <w:rsid w:val="0EAB28EE"/>
    <w:rsid w:val="0EF0290F"/>
    <w:rsid w:val="0F386586"/>
    <w:rsid w:val="0F773AEC"/>
    <w:rsid w:val="0FCB1378"/>
    <w:rsid w:val="107A0EE2"/>
    <w:rsid w:val="10C57012"/>
    <w:rsid w:val="10CC3055"/>
    <w:rsid w:val="123F4E15"/>
    <w:rsid w:val="12A82A2A"/>
    <w:rsid w:val="13841326"/>
    <w:rsid w:val="14075E6A"/>
    <w:rsid w:val="1491254B"/>
    <w:rsid w:val="14A20267"/>
    <w:rsid w:val="14D13334"/>
    <w:rsid w:val="15A77B14"/>
    <w:rsid w:val="15B50D11"/>
    <w:rsid w:val="15C319C3"/>
    <w:rsid w:val="162C5B6F"/>
    <w:rsid w:val="166516B4"/>
    <w:rsid w:val="168411C4"/>
    <w:rsid w:val="16DF5613"/>
    <w:rsid w:val="171F3E7E"/>
    <w:rsid w:val="175A07E0"/>
    <w:rsid w:val="18EE0096"/>
    <w:rsid w:val="1B666D00"/>
    <w:rsid w:val="1C427968"/>
    <w:rsid w:val="1CD63A5F"/>
    <w:rsid w:val="1CFB4B98"/>
    <w:rsid w:val="1D617DC0"/>
    <w:rsid w:val="1DB10E44"/>
    <w:rsid w:val="1F542D83"/>
    <w:rsid w:val="20194AB6"/>
    <w:rsid w:val="204D1A8C"/>
    <w:rsid w:val="21CC797F"/>
    <w:rsid w:val="229009C2"/>
    <w:rsid w:val="234207E5"/>
    <w:rsid w:val="241678C4"/>
    <w:rsid w:val="248C2D86"/>
    <w:rsid w:val="25E37AB4"/>
    <w:rsid w:val="27182EAE"/>
    <w:rsid w:val="27A40D9A"/>
    <w:rsid w:val="28AA2846"/>
    <w:rsid w:val="28D72813"/>
    <w:rsid w:val="2ADE4D64"/>
    <w:rsid w:val="2AE65F68"/>
    <w:rsid w:val="2C825664"/>
    <w:rsid w:val="2D136965"/>
    <w:rsid w:val="2E7745CB"/>
    <w:rsid w:val="2FDD3B12"/>
    <w:rsid w:val="2FE67214"/>
    <w:rsid w:val="30283F91"/>
    <w:rsid w:val="303828DA"/>
    <w:rsid w:val="31DD626C"/>
    <w:rsid w:val="330F26D0"/>
    <w:rsid w:val="33917406"/>
    <w:rsid w:val="33EE22C7"/>
    <w:rsid w:val="34A45FE9"/>
    <w:rsid w:val="35572E64"/>
    <w:rsid w:val="35F75996"/>
    <w:rsid w:val="360F303D"/>
    <w:rsid w:val="36751AE8"/>
    <w:rsid w:val="378F5AB8"/>
    <w:rsid w:val="37CD1D19"/>
    <w:rsid w:val="389712B7"/>
    <w:rsid w:val="38ED59F4"/>
    <w:rsid w:val="3A7E7084"/>
    <w:rsid w:val="3A9D7939"/>
    <w:rsid w:val="3AD26B0E"/>
    <w:rsid w:val="3CCB46CA"/>
    <w:rsid w:val="40D048E5"/>
    <w:rsid w:val="40EA1C0C"/>
    <w:rsid w:val="4142391F"/>
    <w:rsid w:val="41911120"/>
    <w:rsid w:val="42B92207"/>
    <w:rsid w:val="42DC7E3D"/>
    <w:rsid w:val="44181DC4"/>
    <w:rsid w:val="44242A3A"/>
    <w:rsid w:val="44C125DD"/>
    <w:rsid w:val="467E74A1"/>
    <w:rsid w:val="4734572B"/>
    <w:rsid w:val="47461F7B"/>
    <w:rsid w:val="47F5689C"/>
    <w:rsid w:val="48827784"/>
    <w:rsid w:val="48A37F64"/>
    <w:rsid w:val="48EC5B2F"/>
    <w:rsid w:val="492F3120"/>
    <w:rsid w:val="4A622219"/>
    <w:rsid w:val="4A83274D"/>
    <w:rsid w:val="4B2079EB"/>
    <w:rsid w:val="4B234855"/>
    <w:rsid w:val="4BA82530"/>
    <w:rsid w:val="4DF9657C"/>
    <w:rsid w:val="4DFA3FFE"/>
    <w:rsid w:val="4E6E3FBD"/>
    <w:rsid w:val="4F906245"/>
    <w:rsid w:val="4FBF6DE2"/>
    <w:rsid w:val="4FEF5573"/>
    <w:rsid w:val="50463BC3"/>
    <w:rsid w:val="50CC731F"/>
    <w:rsid w:val="51170698"/>
    <w:rsid w:val="522917DA"/>
    <w:rsid w:val="526609AB"/>
    <w:rsid w:val="52C825DD"/>
    <w:rsid w:val="5409426E"/>
    <w:rsid w:val="540B7771"/>
    <w:rsid w:val="5425031B"/>
    <w:rsid w:val="564A221E"/>
    <w:rsid w:val="569E1CA8"/>
    <w:rsid w:val="56F0042E"/>
    <w:rsid w:val="576553EC"/>
    <w:rsid w:val="585D6406"/>
    <w:rsid w:val="586F4122"/>
    <w:rsid w:val="590E07A8"/>
    <w:rsid w:val="59281352"/>
    <w:rsid w:val="59A72F25"/>
    <w:rsid w:val="5A81253D"/>
    <w:rsid w:val="5AD65B96"/>
    <w:rsid w:val="5B9D249F"/>
    <w:rsid w:val="5BE90142"/>
    <w:rsid w:val="5C0A270F"/>
    <w:rsid w:val="5CA22ED7"/>
    <w:rsid w:val="5D3476B8"/>
    <w:rsid w:val="5D7C12EC"/>
    <w:rsid w:val="5D8B7388"/>
    <w:rsid w:val="5DD83C04"/>
    <w:rsid w:val="5E0559CD"/>
    <w:rsid w:val="5E841B1E"/>
    <w:rsid w:val="5ECA6A10"/>
    <w:rsid w:val="5F257BD5"/>
    <w:rsid w:val="5FD1210B"/>
    <w:rsid w:val="604C004F"/>
    <w:rsid w:val="605B3923"/>
    <w:rsid w:val="607A54CE"/>
    <w:rsid w:val="6093187E"/>
    <w:rsid w:val="60E66DAC"/>
    <w:rsid w:val="61E35D28"/>
    <w:rsid w:val="62F435E7"/>
    <w:rsid w:val="647E786B"/>
    <w:rsid w:val="653E7CA9"/>
    <w:rsid w:val="664663E8"/>
    <w:rsid w:val="66583FA2"/>
    <w:rsid w:val="667C18AF"/>
    <w:rsid w:val="67413BF6"/>
    <w:rsid w:val="67D121E0"/>
    <w:rsid w:val="68D423D1"/>
    <w:rsid w:val="6A547D01"/>
    <w:rsid w:val="6B8538F6"/>
    <w:rsid w:val="6D4449B9"/>
    <w:rsid w:val="6D9248D0"/>
    <w:rsid w:val="6E487FA3"/>
    <w:rsid w:val="706F1805"/>
    <w:rsid w:val="71BA7D0A"/>
    <w:rsid w:val="720F7C2C"/>
    <w:rsid w:val="731B6E65"/>
    <w:rsid w:val="736153DB"/>
    <w:rsid w:val="73B415E2"/>
    <w:rsid w:val="74026044"/>
    <w:rsid w:val="744C085C"/>
    <w:rsid w:val="74BA6911"/>
    <w:rsid w:val="76070B31"/>
    <w:rsid w:val="769F3AEE"/>
    <w:rsid w:val="77245A86"/>
    <w:rsid w:val="772A1B8E"/>
    <w:rsid w:val="772E3E17"/>
    <w:rsid w:val="773B78A9"/>
    <w:rsid w:val="790F182A"/>
    <w:rsid w:val="79287455"/>
    <w:rsid w:val="793A2BF2"/>
    <w:rsid w:val="79F41B44"/>
    <w:rsid w:val="7A68455E"/>
    <w:rsid w:val="7AB620DF"/>
    <w:rsid w:val="7C6D7232"/>
    <w:rsid w:val="7CE1176F"/>
    <w:rsid w:val="7D345976"/>
    <w:rsid w:val="7D417D69"/>
    <w:rsid w:val="7D8E7309"/>
    <w:rsid w:val="7DCA16EC"/>
    <w:rsid w:val="7DF45DB4"/>
    <w:rsid w:val="7E021846"/>
    <w:rsid w:val="7E233080"/>
    <w:rsid w:val="7E5C0C5B"/>
    <w:rsid w:val="7FBB5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8"/>
    <w:semiHidden/>
    <w:unhideWhenUsed/>
    <w:qFormat/>
    <w:uiPriority w:val="99"/>
    <w:rPr>
      <w:sz w:val="18"/>
      <w:szCs w:val="18"/>
    </w:rPr>
  </w:style>
  <w:style w:type="paragraph" w:styleId="5">
    <w:name w:val="footer"/>
    <w:basedOn w:val="1"/>
    <w:link w:val="17"/>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themeColor="hyperlink"/>
      <w:u w:val="single"/>
      <w14:textFill>
        <w14:solidFill>
          <w14:schemeClr w14:val="hlink"/>
        </w14:solidFill>
      </w14:textFill>
    </w:rPr>
  </w:style>
  <w:style w:type="character" w:styleId="14">
    <w:name w:val="annotation reference"/>
    <w:basedOn w:val="11"/>
    <w:semiHidden/>
    <w:unhideWhenUsed/>
    <w:qFormat/>
    <w:uiPriority w:val="99"/>
    <w:rPr>
      <w:sz w:val="21"/>
      <w:szCs w:val="21"/>
    </w:rPr>
  </w:style>
  <w:style w:type="character" w:customStyle="1" w:styleId="15">
    <w:name w:val="标题 2 Char"/>
    <w:basedOn w:val="11"/>
    <w:link w:val="2"/>
    <w:qFormat/>
    <w:uiPriority w:val="9"/>
    <w:rPr>
      <w:rFonts w:asciiTheme="majorHAnsi" w:hAnsiTheme="majorHAnsi" w:eastAsiaTheme="majorEastAsia" w:cstheme="majorBidi"/>
      <w:b/>
      <w:bCs/>
      <w:sz w:val="32"/>
      <w:szCs w:val="32"/>
    </w:rPr>
  </w:style>
  <w:style w:type="character" w:customStyle="1" w:styleId="16">
    <w:name w:val="页眉 Char"/>
    <w:basedOn w:val="11"/>
    <w:link w:val="6"/>
    <w:qFormat/>
    <w:uiPriority w:val="99"/>
    <w:rPr>
      <w:sz w:val="18"/>
      <w:szCs w:val="18"/>
    </w:rPr>
  </w:style>
  <w:style w:type="character" w:customStyle="1" w:styleId="17">
    <w:name w:val="页脚 Char"/>
    <w:basedOn w:val="11"/>
    <w:link w:val="5"/>
    <w:qFormat/>
    <w:uiPriority w:val="99"/>
    <w:rPr>
      <w:sz w:val="18"/>
      <w:szCs w:val="18"/>
    </w:rPr>
  </w:style>
  <w:style w:type="character" w:customStyle="1" w:styleId="18">
    <w:name w:val="批注框文本 Char"/>
    <w:basedOn w:val="11"/>
    <w:link w:val="4"/>
    <w:semiHidden/>
    <w:qFormat/>
    <w:uiPriority w:val="99"/>
    <w:rPr>
      <w:sz w:val="18"/>
      <w:szCs w:val="18"/>
    </w:rPr>
  </w:style>
  <w:style w:type="paragraph" w:customStyle="1" w:styleId="19">
    <w:name w:val="HD正文"/>
    <w:basedOn w:val="1"/>
    <w:qFormat/>
    <w:uiPriority w:val="0"/>
    <w:pPr>
      <w:snapToGrid w:val="0"/>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148</Pages>
  <Words>17157</Words>
  <Characters>97799</Characters>
  <Lines>814</Lines>
  <Paragraphs>229</Paragraphs>
  <TotalTime>8</TotalTime>
  <ScaleCrop>false</ScaleCrop>
  <LinksUpToDate>false</LinksUpToDate>
  <CharactersWithSpaces>114727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2025-09-04T20:44:00Z</dcterms:created>
  <dc:creator>BSKMadminDev</dc:creator>
  <cp:lastModifiedBy>qlx</cp:lastModifiedBy>
  <dcterms:modified xsi:type="dcterms:W3CDTF">2026-06-02T09:29:33Z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872F00EEC1344DFB9F99B32C74A671E4</vt:lpwstr>
  </property>
</Properties>
</file>